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eastAsia="zh-CN"/>
        </w:rPr>
        <w:t>附件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佛山市装配式混凝土工业建筑技术指引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highlight w:val="none"/>
        </w:rPr>
        <w:t>（试行）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根据《装配式建筑评价标准》（GB/T51129-2017）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广东省《装配式建筑评价标准》(DBJ/T15-163-2019）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市工业和信息化局等4部门联合印发的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关于规范“工业上楼”厂房建设标准的指导意见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以及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市住房和城乡建设局印发的《佛山市装配式标准厂房建设技术指引》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结合我市实际情况，鼓励多层、高层通用厂房采用装配式方式建造，制定本技术指引。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多高层通用厂房土建按传统现浇施工，支模难度大，模板和支撑费用高，通用厂房装配式建筑与装配式住宅相比，应重点关注主体结构和围护墙、内隔墙技术选型，采用可实现免支模、免支撑或少支撑的装配式方式建造，减少施工措施费用，进而降低建造成本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指引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对应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广东省《装配式建筑评价标准》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DBJ/T15-163-2019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和202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月市住房城乡建设局发布的《广东省&lt;装配式建筑评价标准&gt;佛山市补充实施指引（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2024版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）》,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按照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装配式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建筑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评价项要求，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提出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可实现高效建造的单项技术选型和整套装配式技术方案建议，供参建单位参考。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注：1.高层通用厂房是指采用标准柱距、标准荷载，四层及四层以上，建筑高度大于24.0m小于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60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m的厂房、仓库类建筑；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highlight w:val="none"/>
        </w:rPr>
        <w:t>建筑高度不大于24.0m的多层通用厂房参考执行。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6"/>
          <w:sz w:val="32"/>
          <w:szCs w:val="32"/>
          <w:highlight w:val="none"/>
          <w:lang w:eastAsia="zh-CN"/>
        </w:rPr>
        <w:t>）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主编单位：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佛山市装配式建筑与智能建造协会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佛山建发绿色建材有限公司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广东博意建筑设计院有限公司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参编单位：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佛山建装建筑科技有限公司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广东睿住住工科技有限公司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广东天元建筑设计有限公司（睿住天元）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广东瑞谷建设有限公司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深圳市立方都市工程设计有限公司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佛山市市政建设工程有限公司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佛山市城市建设工程有限公司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856" w:leftChars="0" w:hanging="1856" w:hangingChars="7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-28"/>
          <w:sz w:val="32"/>
          <w:szCs w:val="32"/>
          <w:lang w:val="en-US" w:eastAsia="zh-CN"/>
        </w:rPr>
        <w:t>主要起草人：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黄莉萍  许文杰  谷  昊  何铨来  罗  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邓宝瑜  卢国枨  刘佳瑞  梁尧培  王裕阳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梁鉴权  刘丰峰  余伯轩  段绍军  江棹荣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赖  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920" w:firstLineChars="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237" w:firstLineChars="4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pacing w:val="-6"/>
          <w:sz w:val="32"/>
          <w:szCs w:val="32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237" w:firstLineChars="4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pacing w:val="-6"/>
          <w:sz w:val="32"/>
          <w:szCs w:val="32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237" w:firstLineChars="400"/>
        <w:textAlignment w:val="auto"/>
        <w:rPr>
          <w:rFonts w:hint="eastAsia" w:ascii="仿宋" w:hAnsi="仿宋" w:eastAsia="仿宋" w:cs="仿宋"/>
          <w:b/>
          <w:bCs/>
          <w:color w:val="auto"/>
          <w:spacing w:val="-6"/>
          <w:sz w:val="32"/>
          <w:szCs w:val="32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1237" w:firstLineChars="400"/>
        <w:textAlignment w:val="auto"/>
        <w:rPr>
          <w:rFonts w:hint="eastAsia" w:ascii="仿宋" w:hAnsi="仿宋" w:eastAsia="仿宋" w:cs="仿宋"/>
          <w:b/>
          <w:bCs/>
          <w:color w:val="auto"/>
          <w:spacing w:val="-6"/>
          <w:sz w:val="32"/>
          <w:szCs w:val="32"/>
          <w:highlight w:val="none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ascii="黑体" w:hAnsi="宋体" w:eastAsia="黑体" w:cs="黑体"/>
          <w:color w:val="auto"/>
          <w:sz w:val="32"/>
          <w:highlight w:val="none"/>
        </w:rPr>
      </w:pPr>
      <w:r>
        <w:rPr>
          <w:rFonts w:hint="default" w:ascii="黑体" w:hAnsi="宋体" w:eastAsia="黑体" w:cs="黑体"/>
          <w:color w:val="auto"/>
          <w:kern w:val="2"/>
          <w:sz w:val="32"/>
          <w:szCs w:val="20"/>
          <w:lang w:val="en-US" w:eastAsia="zh-CN" w:bidi="ar-SA"/>
        </w:rPr>
        <w:t>一、</w:t>
      </w:r>
      <w:r>
        <w:rPr>
          <w:rFonts w:hint="eastAsia" w:ascii="黑体" w:hAnsi="宋体" w:eastAsia="黑体" w:cs="黑体"/>
          <w:color w:val="auto"/>
          <w:sz w:val="32"/>
          <w:highlight w:val="none"/>
        </w:rPr>
        <w:t>可选用的装配式技术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28"/>
          <w:szCs w:val="28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28"/>
          <w:szCs w:val="28"/>
          <w:highlight w:val="none"/>
        </w:rPr>
        <w:t>装配式混凝土工业建筑技术选型表</w:t>
      </w:r>
    </w:p>
    <w:tbl>
      <w:tblPr>
        <w:tblStyle w:val="8"/>
        <w:tblW w:w="5350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45" w:type="dxa"/>
          <w:bottom w:w="0" w:type="dxa"/>
          <w:right w:w="45" w:type="dxa"/>
        </w:tblCellMar>
      </w:tblPr>
      <w:tblGrid>
        <w:gridCol w:w="840"/>
        <w:gridCol w:w="506"/>
        <w:gridCol w:w="1439"/>
        <w:gridCol w:w="1829"/>
        <w:gridCol w:w="50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495" w:hRule="atLeast"/>
          <w:tblHeader/>
          <w:jc w:val="center"/>
        </w:trPr>
        <w:tc>
          <w:tcPr>
            <w:tcW w:w="1438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highlight w:val="none"/>
              </w:rPr>
              <w:t>评价项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highlight w:val="none"/>
              </w:rPr>
              <w:t>评价分值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4"/>
                <w:szCs w:val="24"/>
                <w:highlight w:val="none"/>
              </w:rPr>
              <w:t>可选用技术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1426" w:hRule="atLeast"/>
          <w:jc w:val="center"/>
        </w:trPr>
        <w:tc>
          <w:tcPr>
            <w:tcW w:w="43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1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：主体 结构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(50分)</w:t>
            </w: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1a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柱、支撑、承重墙、延性墙板等竖向构件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30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(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35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%≤比例≤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8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0%)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混凝土构件：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①混凝土预制柱；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②预制剪力墙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i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/>
                <w:i/>
                <w:color w:val="auto"/>
                <w:sz w:val="18"/>
                <w:szCs w:val="18"/>
                <w:highlight w:val="none"/>
              </w:rPr>
              <w:t>注：竖向构件也可采用免支撑工具式模板现浇柱、成型钢筋笼等工业化施工方式，按评价标准不得分，但施工提效显著。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4325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1b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梁、板、楼梯、阳台、空调板等构件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10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(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70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%≤比例≤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8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0%)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Cs w:val="24"/>
                <w:highlight w:val="none"/>
              </w:rPr>
              <w:t>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ascii="仿宋" w:hAnsi="仿宋" w:eastAsia="仿宋" w:cs="Calibri"/>
                <w:color w:val="auto"/>
                <w:szCs w:val="24"/>
                <w:highlight w:val="none"/>
              </w:rPr>
              <w:t>①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预制（或预应力）叠合梁；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ascii="仿宋" w:hAnsi="仿宋" w:eastAsia="仿宋" w:cs="Calibri"/>
                <w:color w:val="auto"/>
                <w:szCs w:val="24"/>
                <w:highlight w:val="none"/>
              </w:rPr>
              <w:t>②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钢包混凝土组合梁；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ascii="仿宋" w:hAnsi="仿宋" w:eastAsia="仿宋" w:cs="Calibri"/>
                <w:color w:val="auto"/>
                <w:szCs w:val="24"/>
                <w:highlight w:val="none"/>
              </w:rPr>
              <w:t>③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钢梁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b/>
                <w:bCs/>
                <w:color w:val="auto"/>
                <w:szCs w:val="24"/>
                <w:highlight w:val="none"/>
              </w:rPr>
              <w:t>板：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ascii="仿宋" w:hAnsi="仿宋" w:eastAsia="仿宋" w:cs="Calibri"/>
                <w:color w:val="auto"/>
                <w:szCs w:val="24"/>
                <w:highlight w:val="none"/>
              </w:rPr>
              <w:t>①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双T板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ascii="仿宋" w:hAnsi="仿宋" w:eastAsia="仿宋" w:cs="Calibri"/>
                <w:color w:val="auto"/>
                <w:szCs w:val="24"/>
                <w:highlight w:val="none"/>
              </w:rPr>
              <w:t>②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预应力钢管桁架叠合板；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ascii="仿宋" w:hAnsi="仿宋" w:eastAsia="仿宋" w:cs="Calibri"/>
                <w:color w:val="auto"/>
                <w:szCs w:val="24"/>
                <w:highlight w:val="none"/>
              </w:rPr>
              <w:t>③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预应力空心板；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④</w:t>
            </w:r>
            <w:r>
              <w:rPr>
                <w:rFonts w:ascii="仿宋" w:hAnsi="仿宋" w:eastAsia="仿宋" w:cs="Calibri"/>
                <w:color w:val="auto"/>
                <w:szCs w:val="24"/>
                <w:highlight w:val="none"/>
              </w:rPr>
              <w:t>预应力叠合板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⑤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水泥基楼承板或钢筋桁架楼承板；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⑥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叠合板等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b/>
                <w:bCs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b/>
                <w:bCs/>
                <w:color w:val="auto"/>
                <w:szCs w:val="24"/>
                <w:highlight w:val="none"/>
              </w:rPr>
              <w:t>楼梯：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ascii="仿宋" w:hAnsi="仿宋" w:eastAsia="仿宋" w:cs="Calibri"/>
                <w:color w:val="auto"/>
                <w:szCs w:val="24"/>
                <w:highlight w:val="none"/>
              </w:rPr>
              <w:t>①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预制混凝土楼梯；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ascii="仿宋" w:hAnsi="仿宋" w:eastAsia="仿宋" w:cs="Calibri"/>
                <w:color w:val="auto"/>
                <w:szCs w:val="24"/>
                <w:highlight w:val="none"/>
              </w:rPr>
              <w:t>②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钢楼梯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i/>
                <w:color w:val="auto"/>
                <w:sz w:val="18"/>
                <w:szCs w:val="24"/>
                <w:highlight w:val="none"/>
              </w:rPr>
              <w:t>注：阳台和空调板（或设备用房）在厂房建筑中比较少见，可仅采用预制楼板（选型同楼板）或整体预制。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2375" w:hRule="atLeast"/>
          <w:jc w:val="center"/>
        </w:trPr>
        <w:tc>
          <w:tcPr>
            <w:tcW w:w="43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：围护 墙和内 隔墙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(20分)</w:t>
            </w: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2a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非承重围护墙非砌筑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5分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(比例≥80%)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  <w:lang w:val="en-US" w:eastAsia="zh-CN"/>
              </w:rPr>
              <w:t>①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预制混凝土外墙板；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  <w:lang w:val="en-US" w:eastAsia="zh-CN"/>
              </w:rPr>
              <w:t>②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ALC外墙板等其他满足建筑性能及国家规范要求的轻质外墙板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  <w:lang w:val="en-US" w:eastAsia="zh-CN"/>
              </w:rPr>
              <w:t>③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幕墙；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④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轻钢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</w:rPr>
              <w:t>龙骨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外挂墙板；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⑤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压型钢板复合保温板或彩钢夹心板等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i/>
                <w:color w:val="auto"/>
                <w:sz w:val="18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i/>
                <w:color w:val="auto"/>
                <w:sz w:val="18"/>
                <w:szCs w:val="24"/>
                <w:highlight w:val="none"/>
              </w:rPr>
              <w:t>注：1</w:t>
            </w:r>
            <w:r>
              <w:rPr>
                <w:rFonts w:ascii="仿宋" w:hAnsi="仿宋" w:eastAsia="仿宋"/>
                <w:i/>
                <w:color w:val="auto"/>
                <w:sz w:val="18"/>
                <w:szCs w:val="24"/>
                <w:highlight w:val="none"/>
              </w:rPr>
              <w:t>.</w:t>
            </w:r>
            <w:r>
              <w:rPr>
                <w:rFonts w:hint="eastAsia" w:ascii="仿宋" w:hAnsi="仿宋" w:eastAsia="仿宋"/>
                <w:i/>
                <w:color w:val="auto"/>
                <w:sz w:val="18"/>
                <w:szCs w:val="24"/>
                <w:highlight w:val="none"/>
              </w:rPr>
              <w:t>现浇墙对主体结构刚度影响较大，设计应做好计算分析并采取措施；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i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i/>
                <w:color w:val="auto"/>
                <w:sz w:val="18"/>
                <w:szCs w:val="24"/>
                <w:highlight w:val="none"/>
              </w:rPr>
              <w:t>2.</w:t>
            </w:r>
            <w:r>
              <w:rPr>
                <w:rFonts w:ascii="仿宋" w:hAnsi="仿宋" w:eastAsia="仿宋"/>
                <w:i/>
                <w:color w:val="auto"/>
                <w:sz w:val="18"/>
                <w:szCs w:val="24"/>
                <w:highlight w:val="none"/>
              </w:rPr>
              <w:t>ALC外墙</w:t>
            </w:r>
            <w:r>
              <w:rPr>
                <w:rFonts w:hint="eastAsia" w:ascii="仿宋" w:hAnsi="仿宋" w:eastAsia="仿宋"/>
                <w:i/>
                <w:color w:val="auto"/>
                <w:sz w:val="18"/>
                <w:szCs w:val="24"/>
                <w:highlight w:val="none"/>
              </w:rPr>
              <w:t>应用必须处理好节点和拼缝连接构造，应根据建筑体型和温差应力等因素有针对性地精细化设计，并加强施工管控。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1114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2b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围护墙与保温、隔热、装饰集成一体化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2～5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(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50%≤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比例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≤80%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lang w:val="en-US" w:eastAsia="zh-CN"/>
              </w:rPr>
              <w:t>①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框架式幕墙或单元式幕墙；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②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轻钢龙骨外挂墙+干法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</w:rPr>
              <w:t>饰面板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③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预制混凝土外墙板（饰面工厂完成）；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④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压型钢板复合保温板等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737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2c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内隔墙非砌筑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5分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(比例≥50%)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  <w:lang w:val="en-US" w:eastAsia="zh-CN"/>
              </w:rPr>
              <w:t>①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轻质混凝土内隔墙；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②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轻钢龙骨内隔墙；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③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玻璃隔断；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④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其他满足建筑性能及国家规范要求的轻质内墙板等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258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2d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内隔墙与管线、装修集成一体化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2～5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(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50%≤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比例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≤80%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lang w:val="en-US" w:eastAsia="zh-CN"/>
              </w:rPr>
              <w:t>①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轻钢龙骨内隔墙；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②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空腔类轻质隔墙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981" w:hRule="atLeast"/>
          <w:jc w:val="center"/>
        </w:trPr>
        <w:tc>
          <w:tcPr>
            <w:tcW w:w="43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3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：装修 和设备 管线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(30分)</w:t>
            </w: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3a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全装修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6分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全装修（确定功能的区域采用全装修）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1575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3b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干式工法楼面、地面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6分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(比例≥70%)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lang w:val="en-US" w:eastAsia="zh-CN"/>
              </w:rPr>
              <w:t>①</w:t>
            </w: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高精度地面+地砖薄贴；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②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高精度地面+成品地板；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③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普通楼地面+龙骨或螺栓架空地面；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④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普通楼地面+木龙骨+木地板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  <w:lang w:val="en-US" w:eastAsia="zh-CN"/>
              </w:rPr>
              <w:t>⑤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lang w:val="en-US" w:eastAsia="zh-CN"/>
              </w:rPr>
              <w:t>高精度地面无装饰层（无装饰要求的车间等）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1007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3c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集成厨房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-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一般为缺省项，如有厨房，根据实际需求确定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1255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3d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集成卫生间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3～6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(70%≤比例≤90%)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  <w:lang w:val="en-US" w:eastAsia="zh-CN"/>
              </w:rPr>
              <w:t>①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吊顶+墙面薄贴；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②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集成卫生间（工厂生产的楼地面+干式挂板+成品吊顶）；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③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整体卫生间（防水底盘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</w:rPr>
              <w:t>+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壁板+顶板的主体框架）等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1178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3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e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管线分离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4～6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(50%≤比例≤70%)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  <w:lang w:val="en-US" w:eastAsia="zh-CN"/>
              </w:rPr>
              <w:t>①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电线管沿桥架/吊顶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</w:rPr>
              <w:t>/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空心墙板敷设；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</w:rPr>
              <w:t>②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水管、风管在吊顶敷设；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Calibri"/>
                <w:color w:val="auto"/>
                <w:szCs w:val="24"/>
                <w:highlight w:val="none"/>
                <w:lang w:val="en-US" w:eastAsia="zh-CN"/>
              </w:rPr>
              <w:t>③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管线沿轻钢龙骨隔墙或架空墙面、吊顶敷设等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1060" w:hRule="atLeast"/>
          <w:jc w:val="center"/>
        </w:trPr>
        <w:tc>
          <w:tcPr>
            <w:tcW w:w="43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5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：细化 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(22分)</w:t>
            </w: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51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主体结构竖向构件或预制外墙板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7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10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如Q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项最低分不满足要求时，可采用此项补充得分，相关技术选型参考Q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1a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和Q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a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839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52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围护墙和内隔墙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2.5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当Q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b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和Q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d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比例不满足Q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项对应的要求时，可采用Q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52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补充得分，相关技术选型参考Q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b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和Q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d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839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53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装修和设备管线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2.0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  <w:vertAlign w:val="superscript"/>
              </w:rPr>
              <w:t>*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</w:tc>
        <w:tc>
          <w:tcPr>
            <w:tcW w:w="261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当Q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3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b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、Q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3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c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和Q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3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d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比例不满足Q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3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项对应的要求时，可采用此项补充得分，相关技术选型参考Q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3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b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、Q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3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c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和Q</w:t>
            </w:r>
            <w:r>
              <w:rPr>
                <w:rFonts w:ascii="仿宋" w:hAnsi="仿宋" w:eastAsia="仿宋"/>
                <w:color w:val="auto"/>
                <w:szCs w:val="24"/>
                <w:highlight w:val="none"/>
                <w:vertAlign w:val="subscript"/>
              </w:rPr>
              <w:t>3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d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839" w:hRule="atLeast"/>
          <w:jc w:val="center"/>
        </w:trPr>
        <w:tc>
          <w:tcPr>
            <w:tcW w:w="43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6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：鼓励 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(8分)</w:t>
            </w: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61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标准化设计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～3分</w:t>
            </w:r>
          </w:p>
        </w:tc>
        <w:tc>
          <w:tcPr>
            <w:tcW w:w="2616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left"/>
              <w:textAlignment w:val="auto"/>
              <w:rPr>
                <w:rFonts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不涉及技术选型，根据项目实际应用情况确定是否得分。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839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62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绿色与信息化应用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0.5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4.5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</w:tc>
        <w:tc>
          <w:tcPr>
            <w:tcW w:w="2616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45" w:type="dxa"/>
            <w:bottom w:w="0" w:type="dxa"/>
            <w:right w:w="45" w:type="dxa"/>
          </w:tblCellMar>
        </w:tblPrEx>
        <w:trPr>
          <w:trHeight w:val="839" w:hRule="atLeast"/>
          <w:jc w:val="center"/>
        </w:trPr>
        <w:tc>
          <w:tcPr>
            <w:tcW w:w="43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Q</w:t>
            </w:r>
            <w:r>
              <w:rPr>
                <w:rFonts w:hint="eastAsia" w:ascii="仿宋" w:hAnsi="仿宋" w:eastAsia="仿宋"/>
                <w:color w:val="auto"/>
                <w:szCs w:val="24"/>
                <w:highlight w:val="none"/>
                <w:vertAlign w:val="subscript"/>
              </w:rPr>
              <w:t>63</w:t>
            </w:r>
          </w:p>
        </w:tc>
        <w:tc>
          <w:tcPr>
            <w:tcW w:w="743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both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Cs w:val="24"/>
                <w:highlight w:val="none"/>
              </w:rPr>
              <w:t>施工与管理</w:t>
            </w:r>
          </w:p>
        </w:tc>
        <w:tc>
          <w:tcPr>
            <w:tcW w:w="944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center"/>
              <w:textAlignment w:val="auto"/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0.5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～</w:t>
            </w:r>
            <w:r>
              <w:rPr>
                <w:rFonts w:ascii="仿宋" w:hAnsi="仿宋" w:eastAsia="仿宋"/>
                <w:color w:val="auto"/>
                <w:sz w:val="21"/>
                <w:szCs w:val="21"/>
                <w:highlight w:val="none"/>
              </w:rPr>
              <w:t>1.5</w:t>
            </w:r>
            <w:r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</w:rPr>
              <w:t>分</w:t>
            </w:r>
          </w:p>
        </w:tc>
        <w:tc>
          <w:tcPr>
            <w:tcW w:w="2616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/>
              <w:jc w:val="left"/>
              <w:textAlignment w:val="auto"/>
              <w:rPr>
                <w:rFonts w:ascii="仿宋" w:hAnsi="仿宋" w:eastAsia="仿宋"/>
                <w:color w:val="auto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注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  <w:lang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color w:val="auto"/>
          <w:spacing w:val="1"/>
          <w:kern w:val="0"/>
          <w:sz w:val="24"/>
          <w:szCs w:val="24"/>
          <w:highlight w:val="none"/>
        </w:rPr>
        <w:t>1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.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表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中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带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“</w:t>
      </w:r>
      <w:r>
        <w:rPr>
          <w:rFonts w:hint="eastAsia" w:ascii="楷体" w:hAnsi="楷体" w:eastAsia="楷体" w:cs="楷体"/>
          <w:b w:val="0"/>
          <w:bCs w:val="0"/>
          <w:color w:val="auto"/>
          <w:spacing w:val="1"/>
          <w:kern w:val="0"/>
          <w:sz w:val="24"/>
          <w:szCs w:val="24"/>
          <w:highlight w:val="none"/>
        </w:rPr>
        <w:t>*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”项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的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分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值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采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用“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内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插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法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”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计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算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，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计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算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结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果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取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小</w:t>
      </w:r>
      <w:r>
        <w:rPr>
          <w:rFonts w:hint="eastAsia" w:ascii="楷体" w:hAnsi="楷体" w:eastAsia="楷体" w:cs="楷体"/>
          <w:b w:val="0"/>
          <w:bCs w:val="0"/>
          <w:color w:val="auto"/>
          <w:spacing w:val="2"/>
          <w:kern w:val="0"/>
          <w:sz w:val="24"/>
          <w:szCs w:val="24"/>
          <w:highlight w:val="none"/>
        </w:rPr>
        <w:t>数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点后1位。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hanging="720" w:hangingChars="30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2.表中相关评分细则及计算方法，按DBJ/T 15-163-2019和佛山市补充实施指引执行。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left"/>
        <w:textAlignment w:val="auto"/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24"/>
          <w:szCs w:val="24"/>
          <w:highlight w:val="none"/>
        </w:rPr>
        <w:t>3.各评价项其他未尽技术做法通过专家评审的，也可采用。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黑体" w:hAnsi="宋体" w:eastAsia="黑体" w:cs="黑体"/>
          <w:color w:val="auto"/>
          <w:kern w:val="2"/>
          <w:sz w:val="32"/>
          <w:szCs w:val="20"/>
          <w:lang w:val="en-US" w:eastAsia="zh-CN" w:bidi="ar-SA"/>
        </w:rPr>
      </w:pPr>
      <w:r>
        <w:rPr>
          <w:rFonts w:hint="default" w:ascii="黑体" w:hAnsi="宋体" w:eastAsia="黑体" w:cs="黑体"/>
          <w:color w:val="auto"/>
          <w:kern w:val="2"/>
          <w:sz w:val="32"/>
          <w:szCs w:val="20"/>
          <w:lang w:val="en-US" w:eastAsia="zh-CN" w:bidi="ar-SA"/>
        </w:rPr>
        <w:t>二、</w:t>
      </w:r>
      <w:r>
        <w:rPr>
          <w:rFonts w:hint="eastAsia" w:ascii="黑体" w:hAnsi="宋体" w:eastAsia="黑体" w:cs="黑体"/>
          <w:color w:val="auto"/>
          <w:kern w:val="2"/>
          <w:sz w:val="32"/>
          <w:szCs w:val="20"/>
          <w:lang w:val="en-US" w:eastAsia="zh-CN" w:bidi="ar-SA"/>
        </w:rPr>
        <w:t>主要技术工艺说明（针对前述装配式技术选型表中可选技术进行工艺说明）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22"/>
          <w:lang w:val="en-US" w:eastAsia="zh-CN" w:bidi="ar-SA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主体结构混凝土构件，如预制柱、预制剪力墙、预制（预应力）叠合梁、预应力空心板、预应力双T板、预应力钢管桁架楼承板、叠合板等。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2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竖向构件（预制柱、预制剪力墙）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（1）技术说明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1）预制混凝土构件宜采用标准规范或图集中推荐的连接节点，并充分考虑生产、运输、堆放、安装难易，减少现场钢筋绑扎和混凝土浇筑，方便施工提效。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2）预制混凝土构件的深化设计应满足建筑、结构和机电设备等各专业以及构件生产、运输、安装等各环节的综合要求，并在工厂一次性集成预留预埋，避免后期打凿修补。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22"/>
          <w:lang w:val="en-US" w:eastAsia="zh-CN" w:bidi="ar-SA"/>
        </w:rPr>
        <w:t>（2）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适用性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 xml:space="preserve">适用于框架结构或剪力墙结构。适用于装配率要求较高、空间要求相对灵活可变的项目，如厂房、仓库等。 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2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水平构件（预制（预应力）叠合梁、预应力空心板、预应力双T板、预应力钢管桁架楼承板、叠合板、预制楼梯等）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（1）技术说明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1）预制预应力混凝土构件技术属于《建筑业10项新技术》中的内容，可节约大量钢材、减少构件断面，减轻结构自重，具有抗裂、抗渗、整体刚度好等技术性能。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2）预制预应力技术可实施免支模、免支撑或少支撑，节省大量的人工费用及工期时间。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3）空心板、双T板、预应力钢管桁架楼承板均属于标准化生产，产品精度高，可有效提高效率和降低构件成本。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（2）适用性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1）双T板适用于跨度9~30m的建筑中，可满足不同荷载的建筑。如大型停车场、仓库、厂房、大型商场等对空间有较大要求的工程。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2）预应力混凝土空心板适用于跨度范围为4~18m，可满足大多数多层工业厂房、文化娱乐建筑、学校建筑、体育馆等的要求。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3）叠合板技术成熟，适用于各类建筑。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4）预应力梁适用于大跨度、重荷载、结构高度受限的情况，具有明显经济优势。相同跨度和荷载情况下，采用预应力技术的板或梁，结构高度相对可降低15~30%。每平米综合用钢量和混凝土用量均可减小约20~30%。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22"/>
          <w:lang w:val="en-US" w:eastAsia="zh-CN" w:bidi="ar-SA"/>
        </w:rPr>
        <w:t>（二）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装配式墙体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（1）技术说明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1）ALC板具有较好的隔音、耐火、耐久、容重轻等特点，可使建筑物结构成本减低。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2）轻质墙板及预制混凝土墙板均具有平整度高，且预制混凝土墙板出厂时可达到清水混凝土的效果，可实现免抹灰，减少空鼓开裂及现场湿作业工序。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3）幕墙系统技术成熟，装饰效果好、质量轻、安装速度快、装配化较理想的形式，在现代大型和高层建筑上被广泛应用。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4）压型钢板复合保温板立面效果工业风格浓厚，更多适用于工业厂房。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（2）适用性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1）预制混凝土墙板不受主体结构形式及高度限制，范围广，但结构自重会有所增加。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2）ALC墙板适用于各类建筑的内外墙，用于外墙板时，连接构造与内墙有所不同，注意区分应用。外墙温差大，容易开裂，需做好拼接处的防开裂措施及防水措施。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3）压型钢板复合保温板多用于钢结构建筑。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22"/>
          <w:highlight w:val="none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22"/>
          <w:lang w:val="en-US" w:eastAsia="zh-CN" w:bidi="ar-SA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22"/>
          <w:highlight w:val="none"/>
        </w:rPr>
        <w:t>装修和设备管线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2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全装修技术说明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全装修是装配式建筑的必要要求，全装修标准在广东省《装配式建筑评价标准》中讲解已较明细。针对工业建筑，公共区域和确定使用功能的室内区域均要求全装修。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2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干式工法楼面、地面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（1）技术说明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干式工法楼面、地面计算范围参照广东省《装配式建筑评价标准》。对使用功能未明确的厂房开间，仅在结构层实施高精度地坪也可算干式工法楼面、地面。干式工法楼面、地面，可减少现场湿作业传统贴砖工艺空鼓等质量通病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22"/>
          <w:highlight w:val="none"/>
          <w:lang w:val="en-US" w:eastAsia="zh-CN"/>
        </w:rPr>
        <w:t>（2）适用性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停车库、物流仓库、工业建筑等建筑开间较大，基本无隔断，且对地面处理要求相对简单，干式工法楼面、地面可采用高精地面无饰面层、高精地面+地胶、高精地面+地砖薄贴等形式。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2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22"/>
          <w:lang w:val="en-US" w:eastAsia="zh-CN" w:bidi="ar-SA"/>
        </w:rPr>
        <w:t>（四）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22"/>
          <w:highlight w:val="none"/>
          <w:lang w:val="en-US" w:eastAsia="zh-CN"/>
        </w:rPr>
        <w:t>全装配式建造体系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多、高层通用厂房，在轴网开间、楼面荷载等方面，均属于标准化程度高的特点。现有的技术，如预应力双T板、预应力叠合梁等预制构件，可提高建造效率、减少人工、提供质量。与土建按传统现浇施工对比，可实现免支模、免支撑或少支撑的装配式方式建造，减少施工措施费用，进而降低建造成本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宋体" w:eastAsia="黑体" w:cs="黑体"/>
          <w:color w:val="auto"/>
          <w:sz w:val="32"/>
          <w:highlight w:val="none"/>
        </w:rPr>
      </w:pPr>
      <w:r>
        <w:rPr>
          <w:rFonts w:hint="default" w:ascii="黑体" w:hAnsi="宋体" w:eastAsia="黑体" w:cs="黑体"/>
          <w:color w:val="auto"/>
          <w:kern w:val="2"/>
          <w:sz w:val="32"/>
          <w:szCs w:val="20"/>
          <w:lang w:val="en-US" w:eastAsia="zh-CN" w:bidi="ar-SA"/>
        </w:rPr>
        <w:t>三、</w:t>
      </w:r>
      <w:r>
        <w:rPr>
          <w:rFonts w:hint="eastAsia" w:ascii="黑体" w:hAnsi="宋体" w:eastAsia="黑体" w:cs="黑体"/>
          <w:color w:val="auto"/>
          <w:sz w:val="32"/>
          <w:highlight w:val="none"/>
        </w:rPr>
        <w:t>推荐技术方案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附表1：广东省《装配式建筑评价标准》DBJ/T15-163-2019基本级推荐技术方案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附表2：广东省《装配式建筑评价标准》DBJ/T15-163-2019 A、AA、AAA级推荐技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术方案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附表3：广东省《装配式建筑评价标准》佛山市补充实施指引（2024版）推荐技术方案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sectPr>
      <w:footerReference r:id="rId5" w:type="default"/>
      <w:pgSz w:w="11906" w:h="16838"/>
      <w:pgMar w:top="2154" w:right="1474" w:bottom="1474" w:left="1474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Noto Sans CJK SC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Noto Sans CJK SC">
    <w:panose1 w:val="020B0500000000000000"/>
    <w:charset w:val="86"/>
    <w:family w:val="auto"/>
    <w:pitch w:val="default"/>
    <w:sig w:usb0="30000003" w:usb1="2BDF3C10" w:usb2="00000016" w:usb3="00000000" w:csb0="602E0107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Noto Sans CJK SC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E5YjAzZDkxYzIyYTExOTNlMzIwMmUwYzVhNTJlYWEifQ=="/>
  </w:docVars>
  <w:rsids>
    <w:rsidRoot w:val="00922275"/>
    <w:rsid w:val="00000878"/>
    <w:rsid w:val="00034553"/>
    <w:rsid w:val="0004779E"/>
    <w:rsid w:val="000934F0"/>
    <w:rsid w:val="00096EDA"/>
    <w:rsid w:val="000F7E45"/>
    <w:rsid w:val="00112862"/>
    <w:rsid w:val="00127FB9"/>
    <w:rsid w:val="001716DA"/>
    <w:rsid w:val="001D0A17"/>
    <w:rsid w:val="001E1703"/>
    <w:rsid w:val="00231CD5"/>
    <w:rsid w:val="00242192"/>
    <w:rsid w:val="002429C0"/>
    <w:rsid w:val="0025304F"/>
    <w:rsid w:val="002567E0"/>
    <w:rsid w:val="002859AB"/>
    <w:rsid w:val="002C13FA"/>
    <w:rsid w:val="002D12C8"/>
    <w:rsid w:val="002F117E"/>
    <w:rsid w:val="00342697"/>
    <w:rsid w:val="003D382D"/>
    <w:rsid w:val="0040157F"/>
    <w:rsid w:val="004163AB"/>
    <w:rsid w:val="0042492F"/>
    <w:rsid w:val="004F6831"/>
    <w:rsid w:val="005479AA"/>
    <w:rsid w:val="005D7CDA"/>
    <w:rsid w:val="006A3992"/>
    <w:rsid w:val="00763CCB"/>
    <w:rsid w:val="007955E6"/>
    <w:rsid w:val="007A49B0"/>
    <w:rsid w:val="007B78FC"/>
    <w:rsid w:val="007D2058"/>
    <w:rsid w:val="0087248C"/>
    <w:rsid w:val="00880F87"/>
    <w:rsid w:val="008C30D9"/>
    <w:rsid w:val="00914CBD"/>
    <w:rsid w:val="00922275"/>
    <w:rsid w:val="009404A8"/>
    <w:rsid w:val="00964396"/>
    <w:rsid w:val="0097211C"/>
    <w:rsid w:val="00993530"/>
    <w:rsid w:val="009B4FFB"/>
    <w:rsid w:val="009C7852"/>
    <w:rsid w:val="009F3154"/>
    <w:rsid w:val="009F3EF2"/>
    <w:rsid w:val="00A03C9E"/>
    <w:rsid w:val="00A96A0D"/>
    <w:rsid w:val="00AC13E6"/>
    <w:rsid w:val="00B12060"/>
    <w:rsid w:val="00C32BB1"/>
    <w:rsid w:val="00C43599"/>
    <w:rsid w:val="00C44C15"/>
    <w:rsid w:val="00C54CDA"/>
    <w:rsid w:val="00C90ECF"/>
    <w:rsid w:val="00CA0D1B"/>
    <w:rsid w:val="00CA18DF"/>
    <w:rsid w:val="00D605B8"/>
    <w:rsid w:val="00DB2CCB"/>
    <w:rsid w:val="00E56D66"/>
    <w:rsid w:val="00ED0C87"/>
    <w:rsid w:val="00EF4AA7"/>
    <w:rsid w:val="00F738C9"/>
    <w:rsid w:val="00FD39D5"/>
    <w:rsid w:val="01341807"/>
    <w:rsid w:val="040E6340"/>
    <w:rsid w:val="05191440"/>
    <w:rsid w:val="061C4F0E"/>
    <w:rsid w:val="06333391"/>
    <w:rsid w:val="12313CE5"/>
    <w:rsid w:val="141C5FC6"/>
    <w:rsid w:val="14F4276A"/>
    <w:rsid w:val="16673CE9"/>
    <w:rsid w:val="1EC975DB"/>
    <w:rsid w:val="21380A48"/>
    <w:rsid w:val="2255003C"/>
    <w:rsid w:val="22867251"/>
    <w:rsid w:val="232C3D06"/>
    <w:rsid w:val="23986973"/>
    <w:rsid w:val="25D876A5"/>
    <w:rsid w:val="288A6297"/>
    <w:rsid w:val="2A352FE3"/>
    <w:rsid w:val="2A727C33"/>
    <w:rsid w:val="2AD7157A"/>
    <w:rsid w:val="2ADE45C5"/>
    <w:rsid w:val="2CB73169"/>
    <w:rsid w:val="2DF95EFB"/>
    <w:rsid w:val="2E544842"/>
    <w:rsid w:val="2EC33D37"/>
    <w:rsid w:val="2FA865D9"/>
    <w:rsid w:val="38695210"/>
    <w:rsid w:val="40BD7E43"/>
    <w:rsid w:val="429C28D7"/>
    <w:rsid w:val="440A7727"/>
    <w:rsid w:val="461616C6"/>
    <w:rsid w:val="4B6F1600"/>
    <w:rsid w:val="4E33668C"/>
    <w:rsid w:val="4FC1412C"/>
    <w:rsid w:val="51BA7EA1"/>
    <w:rsid w:val="52307901"/>
    <w:rsid w:val="54D264E2"/>
    <w:rsid w:val="56772E9D"/>
    <w:rsid w:val="57A001D2"/>
    <w:rsid w:val="580E0EB7"/>
    <w:rsid w:val="5CC55041"/>
    <w:rsid w:val="60C05441"/>
    <w:rsid w:val="68CA3301"/>
    <w:rsid w:val="69983D07"/>
    <w:rsid w:val="69C02956"/>
    <w:rsid w:val="6DC711A6"/>
    <w:rsid w:val="6E587601"/>
    <w:rsid w:val="6F927E46"/>
    <w:rsid w:val="7525273D"/>
    <w:rsid w:val="761D41D5"/>
    <w:rsid w:val="76FF8757"/>
    <w:rsid w:val="789537E5"/>
    <w:rsid w:val="78FF1004"/>
    <w:rsid w:val="796E0A0F"/>
    <w:rsid w:val="7BFC593E"/>
    <w:rsid w:val="7C977546"/>
    <w:rsid w:val="7D4C01C7"/>
    <w:rsid w:val="7E7B7117"/>
    <w:rsid w:val="7FF058EB"/>
    <w:rsid w:val="F4E3C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rPr>
      <w:rFonts w:ascii="Calibri" w:hAnsi="Calibri" w:eastAsia="宋体" w:cs="Calibri"/>
      <w:sz w:val="24"/>
      <w:szCs w:val="20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lang w:val="en-US" w:eastAsia="zh-CN" w:bidi="ar-SA"/>
    </w:rPr>
  </w:style>
  <w:style w:type="character" w:customStyle="1" w:styleId="14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3616</Words>
  <Characters>3910</Characters>
  <Lines>16</Lines>
  <Paragraphs>4</Paragraphs>
  <TotalTime>92</TotalTime>
  <ScaleCrop>false</ScaleCrop>
  <LinksUpToDate>false</LinksUpToDate>
  <CharactersWithSpaces>4498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2024-01-30T17:26:00Z</dcterms:created>
  <dc:creator>User</dc:creator>
  <cp:lastModifiedBy>市住建局</cp:lastModifiedBy>
  <dcterms:modified xsi:type="dcterms:W3CDTF">2024-04-30T16:59:05Z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91DC74F1CE11439A86F5F4C3907BBAB0</vt:lpwstr>
  </property>
</Properties>
</file>