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Fonts w:ascii="Arial" w:hAnsi="Arial" w:eastAsia="黑体" w:cs="Arial"/>
          <w:sz w:val="56"/>
          <w:szCs w:val="52"/>
        </w:rPr>
      </w:pPr>
      <w:bookmarkStart w:id="0" w:name="_Toc405369255"/>
      <w:r>
        <w:rPr>
          <w:rFonts w:hint="eastAsia" w:ascii="Arial" w:hAnsi="Arial" w:eastAsia="黑体" w:cs="Arial"/>
          <w:sz w:val="56"/>
          <w:szCs w:val="52"/>
        </w:rPr>
        <w:t>上海市房屋建筑工程</w:t>
      </w:r>
    </w:p>
    <w:p>
      <w:pPr>
        <w:widowControl/>
        <w:spacing w:line="360" w:lineRule="auto"/>
        <w:jc w:val="center"/>
        <w:rPr>
          <w:rFonts w:hint="eastAsia" w:ascii="Arial" w:hAnsi="Arial" w:eastAsia="黑体" w:cs="Arial"/>
          <w:sz w:val="44"/>
          <w:szCs w:val="44"/>
        </w:rPr>
      </w:pPr>
      <w:r>
        <w:rPr>
          <w:rFonts w:hint="eastAsia" w:ascii="Arial" w:hAnsi="Arial" w:eastAsia="黑体" w:cs="Arial"/>
          <w:sz w:val="56"/>
          <w:szCs w:val="52"/>
        </w:rPr>
        <w:t>施工图设计文件技术审查要点</w:t>
      </w:r>
    </w:p>
    <w:p>
      <w:pPr>
        <w:widowControl/>
        <w:adjustRightInd w:val="0"/>
        <w:snapToGrid w:val="0"/>
        <w:spacing w:line="360" w:lineRule="auto"/>
        <w:jc w:val="center"/>
        <w:rPr>
          <w:rFonts w:hint="eastAsia" w:ascii="Arial" w:hAnsi="Arial" w:eastAsia="黑体" w:cs="Arial"/>
          <w:sz w:val="56"/>
          <w:szCs w:val="56"/>
          <w:lang w:val="en-US" w:eastAsia="zh-CN"/>
        </w:rPr>
      </w:pPr>
      <w:r>
        <w:rPr>
          <w:rFonts w:hint="eastAsia" w:ascii="Arial" w:hAnsi="Arial" w:eastAsia="黑体" w:cs="Arial"/>
          <w:sz w:val="56"/>
          <w:szCs w:val="56"/>
          <w:lang w:val="en-US" w:eastAsia="zh-CN"/>
        </w:rPr>
        <w:t>（建筑设备篇）</w:t>
      </w:r>
    </w:p>
    <w:p>
      <w:pPr>
        <w:widowControl/>
        <w:adjustRightInd w:val="0"/>
        <w:snapToGrid w:val="0"/>
        <w:spacing w:line="360" w:lineRule="auto"/>
        <w:jc w:val="center"/>
        <w:rPr>
          <w:rFonts w:hint="eastAsia" w:ascii="Arial" w:hAnsi="Arial" w:eastAsia="黑体" w:cs="Arial"/>
          <w:sz w:val="56"/>
          <w:szCs w:val="56"/>
          <w:lang w:val="en-US" w:eastAsia="zh-CN"/>
        </w:rPr>
      </w:pPr>
    </w:p>
    <w:p>
      <w:pPr>
        <w:widowControl/>
        <w:adjustRightInd w:val="0"/>
        <w:snapToGrid w:val="0"/>
        <w:spacing w:line="360" w:lineRule="auto"/>
        <w:jc w:val="center"/>
        <w:rPr>
          <w:rFonts w:hint="eastAsia" w:ascii="Arial" w:hAnsi="Arial" w:eastAsia="黑体" w:cs="Arial"/>
          <w:sz w:val="44"/>
          <w:szCs w:val="44"/>
        </w:rPr>
      </w:pPr>
      <w:r>
        <w:rPr>
          <w:rFonts w:hint="eastAsia" w:ascii="Arial" w:hAnsi="Arial" w:eastAsia="黑体" w:cs="Arial"/>
          <w:sz w:val="44"/>
          <w:szCs w:val="44"/>
        </w:rPr>
        <w:t>（3.0版）</w:t>
      </w:r>
    </w:p>
    <w:p>
      <w:pPr>
        <w:widowControl/>
        <w:jc w:val="center"/>
        <w:rPr>
          <w:rFonts w:ascii="Arial" w:hAnsi="Arial" w:eastAsia="黑体" w:cs="Arial"/>
          <w:sz w:val="56"/>
        </w:rPr>
      </w:pPr>
    </w:p>
    <w:p>
      <w:pPr>
        <w:widowControl/>
        <w:jc w:val="center"/>
        <w:rPr>
          <w:rFonts w:ascii="Arial" w:hAnsi="Arial" w:eastAsia="黑体" w:cs="Arial"/>
          <w:sz w:val="56"/>
        </w:rPr>
      </w:pPr>
      <w:bookmarkStart w:id="52" w:name="_GoBack"/>
      <w:bookmarkEnd w:id="52"/>
    </w:p>
    <w:p>
      <w:pPr>
        <w:widowControl/>
        <w:jc w:val="center"/>
        <w:rPr>
          <w:rFonts w:ascii="Arial" w:hAnsi="Arial" w:eastAsia="黑体" w:cs="Arial"/>
          <w:sz w:val="56"/>
        </w:rPr>
      </w:pPr>
    </w:p>
    <w:p>
      <w:pPr>
        <w:widowControl/>
        <w:jc w:val="center"/>
        <w:rPr>
          <w:rFonts w:ascii="Arial" w:hAnsi="Arial" w:eastAsia="黑体" w:cs="Arial"/>
          <w:sz w:val="56"/>
        </w:rPr>
      </w:pPr>
    </w:p>
    <w:p>
      <w:pPr>
        <w:jc w:val="center"/>
        <w:rPr>
          <w:rFonts w:ascii="Arial" w:hAnsi="Arial" w:eastAsia="黑体" w:cs="Arial"/>
          <w:sz w:val="32"/>
          <w:szCs w:val="28"/>
        </w:rPr>
      </w:pPr>
    </w:p>
    <w:p>
      <w:pPr>
        <w:jc w:val="center"/>
        <w:rPr>
          <w:rFonts w:ascii="Arial" w:hAnsi="Arial" w:eastAsia="黑体" w:cs="Arial"/>
          <w:sz w:val="32"/>
          <w:szCs w:val="28"/>
        </w:rPr>
      </w:pPr>
    </w:p>
    <w:p>
      <w:pPr>
        <w:jc w:val="center"/>
        <w:rPr>
          <w:rFonts w:ascii="Arial" w:hAnsi="Arial" w:eastAsia="黑体" w:cs="Arial"/>
          <w:sz w:val="32"/>
          <w:szCs w:val="28"/>
        </w:rPr>
      </w:pPr>
    </w:p>
    <w:p>
      <w:pPr>
        <w:jc w:val="center"/>
        <w:rPr>
          <w:rFonts w:ascii="Arial" w:hAnsi="Arial" w:eastAsia="黑体" w:cs="Arial"/>
          <w:sz w:val="32"/>
          <w:szCs w:val="28"/>
        </w:rPr>
      </w:pPr>
    </w:p>
    <w:p>
      <w:pPr>
        <w:adjustRightInd w:val="0"/>
        <w:snapToGrid w:val="0"/>
        <w:spacing w:line="360" w:lineRule="auto"/>
        <w:jc w:val="center"/>
        <w:rPr>
          <w:rFonts w:ascii="Arial" w:hAnsi="Arial" w:eastAsia="黑体" w:cs="Arial"/>
          <w:sz w:val="32"/>
          <w:szCs w:val="28"/>
        </w:rPr>
      </w:pPr>
      <w:r>
        <w:rPr>
          <w:rFonts w:hint="eastAsia" w:ascii="Arial" w:hAnsi="Arial" w:eastAsia="黑体" w:cs="Arial"/>
          <w:sz w:val="32"/>
          <w:szCs w:val="28"/>
        </w:rPr>
        <w:t>上海市住房和城乡建设管理委员会</w:t>
      </w:r>
    </w:p>
    <w:p>
      <w:pPr>
        <w:adjustRightInd w:val="0"/>
        <w:snapToGrid w:val="0"/>
        <w:spacing w:line="360" w:lineRule="auto"/>
        <w:jc w:val="center"/>
        <w:rPr>
          <w:rFonts w:ascii="Arial" w:hAnsi="Arial" w:eastAsia="黑体" w:cs="Arial"/>
          <w:sz w:val="32"/>
          <w:szCs w:val="28"/>
        </w:rPr>
      </w:pPr>
      <w:r>
        <w:rPr>
          <w:rFonts w:hint="eastAsia" w:ascii="Arial" w:hAnsi="Arial" w:eastAsia="黑体" w:cs="Arial"/>
          <w:sz w:val="32"/>
          <w:szCs w:val="28"/>
          <w:lang w:val="en-US" w:eastAsia="zh-CN"/>
        </w:rPr>
        <w:t>2024</w:t>
      </w:r>
      <w:r>
        <w:rPr>
          <w:rFonts w:hint="eastAsia" w:ascii="Arial" w:hAnsi="Arial" w:eastAsia="黑体" w:cs="Arial"/>
          <w:sz w:val="32"/>
          <w:szCs w:val="28"/>
        </w:rPr>
        <w:t>年</w:t>
      </w:r>
      <w:r>
        <w:rPr>
          <w:rFonts w:hint="eastAsia" w:ascii="Arial" w:hAnsi="Arial" w:eastAsia="黑体" w:cs="Arial"/>
          <w:sz w:val="32"/>
          <w:szCs w:val="28"/>
          <w:lang w:val="en-US" w:eastAsia="zh-CN"/>
        </w:rPr>
        <w:t>1</w:t>
      </w:r>
      <w:r>
        <w:rPr>
          <w:rFonts w:hint="eastAsia" w:ascii="Arial" w:hAnsi="Arial" w:eastAsia="黑体" w:cs="Arial"/>
          <w:sz w:val="32"/>
          <w:szCs w:val="28"/>
        </w:rPr>
        <w:t>月</w:t>
      </w:r>
    </w:p>
    <w:p>
      <w:pPr>
        <w:spacing w:line="360" w:lineRule="auto"/>
        <w:jc w:val="center"/>
        <w:rPr>
          <w:rFonts w:ascii="黑体" w:hAnsi="黑体" w:eastAsia="黑体" w:cs="Arial"/>
          <w:sz w:val="36"/>
          <w:szCs w:val="21"/>
        </w:rPr>
      </w:pPr>
    </w:p>
    <w:p>
      <w:pPr>
        <w:spacing w:line="360" w:lineRule="auto"/>
        <w:jc w:val="center"/>
        <w:rPr>
          <w:rFonts w:ascii="黑体" w:hAnsi="黑体" w:eastAsia="黑体" w:cs="Arial"/>
          <w:sz w:val="36"/>
          <w:szCs w:val="21"/>
        </w:rPr>
      </w:pPr>
    </w:p>
    <w:p>
      <w:pPr>
        <w:pStyle w:val="2"/>
        <w:adjustRightInd w:val="0"/>
        <w:snapToGrid w:val="0"/>
        <w:spacing w:beforeLines="0" w:afterLines="0" w:line="480" w:lineRule="auto"/>
        <w:sectPr>
          <w:pgSz w:w="11906" w:h="16838"/>
          <w:pgMar w:top="1440" w:right="1800" w:bottom="1440" w:left="1800" w:header="851" w:footer="659" w:gutter="0"/>
          <w:cols w:space="720" w:num="1"/>
          <w:docGrid w:type="lines" w:linePitch="312" w:charSpace="0"/>
        </w:sectPr>
      </w:pPr>
      <w:bookmarkStart w:id="1" w:name="_Toc151315781"/>
      <w:bookmarkStart w:id="2" w:name="_Toc151717112"/>
      <w:bookmarkStart w:id="3" w:name="_Toc151717064"/>
      <w:bookmarkStart w:id="4" w:name="_Toc154331126"/>
    </w:p>
    <w:p>
      <w:pPr>
        <w:pStyle w:val="2"/>
        <w:adjustRightInd w:val="0"/>
        <w:snapToGrid w:val="0"/>
        <w:spacing w:beforeLines="0" w:afterLines="0" w:line="480" w:lineRule="auto"/>
      </w:pPr>
      <w:r>
        <w:t>编制说明</w:t>
      </w:r>
      <w:bookmarkEnd w:id="1"/>
      <w:bookmarkEnd w:id="2"/>
      <w:bookmarkEnd w:id="3"/>
      <w:bookmarkEnd w:id="4"/>
    </w:p>
    <w:p>
      <w:pPr>
        <w:adjustRightInd w:val="0"/>
        <w:snapToGrid w:val="0"/>
        <w:spacing w:line="360" w:lineRule="auto"/>
        <w:ind w:firstLine="480" w:firstLineChars="200"/>
        <w:rPr>
          <w:rFonts w:ascii="Arial" w:hAnsi="Arial" w:cs="Arial"/>
          <w:sz w:val="24"/>
          <w:szCs w:val="21"/>
        </w:rPr>
      </w:pPr>
      <w:bookmarkStart w:id="5" w:name="_Hlk154323765"/>
      <w:r>
        <w:rPr>
          <w:rFonts w:ascii="Arial" w:hAnsi="宋体" w:cs="Arial"/>
          <w:sz w:val="24"/>
          <w:szCs w:val="21"/>
        </w:rPr>
        <w:t>受上海市住房和城乡建设管理委员会委托，上海市建设工程勘察设计管理事务中心组织上海市勘察设计行业协会施工图审查分会编写了</w:t>
      </w:r>
      <w:bookmarkEnd w:id="5"/>
      <w:r>
        <w:rPr>
          <w:rFonts w:ascii="Arial" w:hAnsi="宋体" w:cs="Arial"/>
          <w:sz w:val="24"/>
          <w:szCs w:val="21"/>
        </w:rPr>
        <w:t>《上海市房屋建筑工程施工图设计文件技术审查要点（建筑设备篇）》</w:t>
      </w:r>
      <w:bookmarkStart w:id="6" w:name="_Hlk154323806"/>
      <w:r>
        <w:rPr>
          <w:rFonts w:hint="eastAsia" w:ascii="Arial" w:hAnsi="宋体" w:cs="Arial"/>
          <w:sz w:val="24"/>
          <w:szCs w:val="21"/>
          <w:lang w:eastAsia="zh-CN"/>
        </w:rPr>
        <w:t>（</w:t>
      </w:r>
      <w:r>
        <w:rPr>
          <w:rFonts w:ascii="Arial" w:hAnsi="Arial" w:cs="Arial"/>
          <w:sz w:val="24"/>
          <w:szCs w:val="21"/>
        </w:rPr>
        <w:t>3.0</w:t>
      </w:r>
      <w:bookmarkEnd w:id="6"/>
      <w:r>
        <w:rPr>
          <w:rFonts w:hint="eastAsia" w:ascii="Arial" w:hAnsi="Arial" w:cs="Arial"/>
          <w:sz w:val="24"/>
          <w:szCs w:val="21"/>
          <w:lang w:val="en-US" w:eastAsia="zh-CN"/>
        </w:rPr>
        <w:t>版）</w:t>
      </w:r>
      <w:r>
        <w:rPr>
          <w:rFonts w:ascii="Arial" w:hAnsi="宋体" w:cs="Arial"/>
          <w:sz w:val="24"/>
          <w:szCs w:val="21"/>
        </w:rPr>
        <w:t>（以下简称</w:t>
      </w:r>
      <w:r>
        <w:rPr>
          <w:rFonts w:hint="eastAsia" w:ascii="Arial" w:hAnsi="宋体" w:cs="Arial"/>
          <w:sz w:val="24"/>
          <w:szCs w:val="21"/>
          <w:lang w:eastAsia="zh-CN"/>
        </w:rPr>
        <w:t>《上海审查要点（建筑设备篇）》3.0</w:t>
      </w:r>
      <w:r>
        <w:rPr>
          <w:rFonts w:ascii="Arial" w:hAnsi="宋体" w:cs="Arial"/>
          <w:sz w:val="24"/>
          <w:szCs w:val="21"/>
        </w:rPr>
        <w:t>）。为使房屋建筑工程的施工图审查人员、设计人员了解</w:t>
      </w:r>
      <w:r>
        <w:rPr>
          <w:rFonts w:hint="eastAsia" w:ascii="Arial" w:hAnsi="宋体" w:cs="Arial"/>
          <w:sz w:val="24"/>
          <w:szCs w:val="21"/>
          <w:lang w:eastAsia="zh-CN"/>
        </w:rPr>
        <w:t>《上海审查要点（建筑设备篇）》3.0</w:t>
      </w:r>
      <w:r>
        <w:rPr>
          <w:rFonts w:ascii="Arial" w:hAnsi="宋体" w:cs="Arial"/>
          <w:sz w:val="24"/>
          <w:szCs w:val="21"/>
        </w:rPr>
        <w:t>的编制思路，现对有关问题予以简要说明，供相关人员参考。</w:t>
      </w:r>
    </w:p>
    <w:p>
      <w:pPr>
        <w:adjustRightInd w:val="0"/>
        <w:snapToGrid w:val="0"/>
        <w:spacing w:line="360" w:lineRule="auto"/>
        <w:ind w:firstLine="480" w:firstLineChars="200"/>
        <w:rPr>
          <w:rFonts w:ascii="Arial" w:hAnsi="Arial" w:cs="Arial"/>
          <w:sz w:val="24"/>
          <w:szCs w:val="21"/>
        </w:rPr>
      </w:pPr>
      <w:r>
        <w:rPr>
          <w:rFonts w:ascii="Arial" w:hAnsi="宋体" w:cs="Arial"/>
          <w:sz w:val="24"/>
          <w:szCs w:val="21"/>
        </w:rPr>
        <w:t>一、根据《房屋建筑和市政基础设施工程施工图设计文件审查管理办法》（中华人民共和国住房和城乡建设部令第</w:t>
      </w:r>
      <w:r>
        <w:rPr>
          <w:rFonts w:ascii="Arial" w:hAnsi="Arial" w:cs="Arial"/>
          <w:sz w:val="24"/>
          <w:szCs w:val="21"/>
        </w:rPr>
        <w:t>13</w:t>
      </w:r>
      <w:r>
        <w:rPr>
          <w:rFonts w:ascii="Arial" w:hAnsi="宋体" w:cs="Arial"/>
          <w:sz w:val="24"/>
          <w:szCs w:val="21"/>
        </w:rPr>
        <w:t>号）第十一条对审查内容的规定，施工图审查按下列原则确定技术审查内容：</w:t>
      </w:r>
    </w:p>
    <w:p>
      <w:pPr>
        <w:adjustRightInd w:val="0"/>
        <w:snapToGrid w:val="0"/>
        <w:spacing w:line="360" w:lineRule="auto"/>
        <w:ind w:firstLine="480" w:firstLineChars="200"/>
        <w:rPr>
          <w:rFonts w:ascii="Arial" w:hAnsi="Arial" w:cs="Arial"/>
          <w:sz w:val="24"/>
          <w:szCs w:val="21"/>
        </w:rPr>
      </w:pPr>
      <w:r>
        <w:rPr>
          <w:rFonts w:ascii="Arial" w:hAnsi="宋体" w:cs="Arial"/>
          <w:sz w:val="24"/>
          <w:szCs w:val="21"/>
        </w:rPr>
        <w:t>（一）</w:t>
      </w:r>
      <w:r>
        <w:rPr>
          <w:rFonts w:hint="eastAsia" w:ascii="Arial" w:hAnsi="Arial" w:cs="Arial"/>
          <w:sz w:val="24"/>
          <w:szCs w:val="21"/>
        </w:rPr>
        <w:t>现行国家标准强制性工程建设规范（简称通用规范）中全部条文，现行工程建设标准（含国家标准、行业标准、地方标准）中的强制性条文</w:t>
      </w:r>
      <w:r>
        <w:rPr>
          <w:rFonts w:ascii="Arial" w:hAnsi="宋体" w:cs="Arial"/>
          <w:sz w:val="24"/>
          <w:szCs w:val="21"/>
        </w:rPr>
        <w:t>，均为施工图审查内容，</w:t>
      </w:r>
      <w:r>
        <w:rPr>
          <w:rFonts w:hint="eastAsia" w:ascii="Arial" w:hAnsi="宋体" w:cs="Arial"/>
          <w:sz w:val="24"/>
          <w:szCs w:val="21"/>
          <w:lang w:eastAsia="zh-CN"/>
        </w:rPr>
        <w:t>《上海审查要点（建筑设备篇）》3.0</w:t>
      </w:r>
      <w:r>
        <w:rPr>
          <w:rFonts w:ascii="Arial" w:hAnsi="宋体" w:cs="Arial"/>
          <w:sz w:val="24"/>
          <w:szCs w:val="21"/>
        </w:rPr>
        <w:t>不再重复列出。</w:t>
      </w:r>
    </w:p>
    <w:p>
      <w:pPr>
        <w:adjustRightInd w:val="0"/>
        <w:snapToGrid w:val="0"/>
        <w:spacing w:line="360" w:lineRule="auto"/>
        <w:ind w:firstLine="480" w:firstLineChars="200"/>
        <w:rPr>
          <w:rFonts w:ascii="Arial" w:hAnsi="Arial" w:cs="Arial"/>
          <w:sz w:val="24"/>
          <w:szCs w:val="21"/>
        </w:rPr>
      </w:pPr>
      <w:r>
        <w:rPr>
          <w:rFonts w:ascii="Arial" w:hAnsi="宋体" w:cs="Arial"/>
          <w:sz w:val="24"/>
          <w:szCs w:val="21"/>
        </w:rPr>
        <w:t>（二）</w:t>
      </w:r>
      <w:bookmarkStart w:id="7" w:name="_Hlk154326084"/>
      <w:r>
        <w:rPr>
          <w:rFonts w:ascii="Arial" w:hAnsi="宋体" w:cs="Arial"/>
          <w:sz w:val="24"/>
          <w:szCs w:val="21"/>
        </w:rPr>
        <w:t>本次修订不包含已颁布的专项技术审查要点。</w:t>
      </w:r>
      <w:bookmarkEnd w:id="7"/>
    </w:p>
    <w:p>
      <w:pPr>
        <w:adjustRightInd w:val="0"/>
        <w:snapToGrid w:val="0"/>
        <w:spacing w:line="360" w:lineRule="auto"/>
        <w:ind w:firstLine="480" w:firstLineChars="200"/>
        <w:rPr>
          <w:rFonts w:ascii="Arial" w:hAnsi="Arial" w:cs="Arial"/>
          <w:sz w:val="24"/>
          <w:szCs w:val="21"/>
        </w:rPr>
      </w:pPr>
      <w:r>
        <w:rPr>
          <w:rFonts w:ascii="Arial" w:hAnsi="宋体" w:cs="Arial"/>
          <w:sz w:val="24"/>
          <w:szCs w:val="21"/>
        </w:rPr>
        <w:t>（三）</w:t>
      </w:r>
      <w:r>
        <w:rPr>
          <w:rFonts w:hint="eastAsia" w:ascii="Arial" w:hAnsi="宋体" w:cs="Arial"/>
          <w:sz w:val="24"/>
          <w:szCs w:val="21"/>
          <w:lang w:eastAsia="zh-CN"/>
        </w:rPr>
        <w:t>《上海审查要点（建筑设备篇）》3.0</w:t>
      </w:r>
      <w:r>
        <w:rPr>
          <w:rFonts w:ascii="Arial" w:hAnsi="宋体" w:cs="Arial"/>
          <w:sz w:val="24"/>
          <w:szCs w:val="21"/>
        </w:rPr>
        <w:t>主要根据住房城乡建设部《建筑工程施工图设计文件技术审查要点》的覆盖范围，</w:t>
      </w:r>
      <w:r>
        <w:rPr>
          <w:rFonts w:ascii="Arial" w:hAnsi="Arial" w:cs="Arial"/>
          <w:sz w:val="24"/>
          <w:szCs w:val="21"/>
        </w:rPr>
        <w:t>整理</w:t>
      </w:r>
      <w:r>
        <w:rPr>
          <w:rFonts w:hint="eastAsia" w:ascii="Arial" w:hAnsi="Arial" w:cs="Arial"/>
          <w:sz w:val="24"/>
          <w:szCs w:val="21"/>
        </w:rPr>
        <w:t>了</w:t>
      </w:r>
      <w:r>
        <w:rPr>
          <w:rFonts w:ascii="Arial" w:hAnsi="Arial" w:cs="Arial"/>
          <w:sz w:val="24"/>
          <w:szCs w:val="21"/>
        </w:rPr>
        <w:t>上海地方</w:t>
      </w:r>
      <w:r>
        <w:rPr>
          <w:rFonts w:hint="eastAsia" w:ascii="Arial" w:hAnsi="Arial" w:cs="Arial"/>
          <w:sz w:val="24"/>
          <w:szCs w:val="21"/>
        </w:rPr>
        <w:t>标准</w:t>
      </w:r>
      <w:r>
        <w:rPr>
          <w:rFonts w:ascii="Arial" w:hAnsi="Arial" w:cs="Arial"/>
          <w:sz w:val="24"/>
          <w:szCs w:val="21"/>
        </w:rPr>
        <w:t>中的相关内容，重点突出与国家规范、规程有不同要求的条款，以及地方法律、法规、规范性文件对建筑工程</w:t>
      </w:r>
      <w:r>
        <w:rPr>
          <w:rFonts w:hint="eastAsia" w:ascii="Arial" w:hAnsi="Arial" w:cs="Arial"/>
          <w:sz w:val="24"/>
          <w:szCs w:val="21"/>
        </w:rPr>
        <w:t>勘察</w:t>
      </w:r>
      <w:r>
        <w:rPr>
          <w:rFonts w:ascii="Arial" w:hAnsi="Arial" w:cs="Arial"/>
          <w:sz w:val="24"/>
          <w:szCs w:val="21"/>
        </w:rPr>
        <w:t>的要求，并少量增加与安全、公众利益直接相关的其他规范条款</w:t>
      </w:r>
      <w:r>
        <w:rPr>
          <w:rFonts w:hint="eastAsia" w:ascii="Arial" w:hAnsi="Arial" w:cs="Arial"/>
          <w:sz w:val="24"/>
          <w:szCs w:val="21"/>
        </w:rPr>
        <w:t>。</w:t>
      </w:r>
    </w:p>
    <w:p>
      <w:pPr>
        <w:adjustRightInd w:val="0"/>
        <w:snapToGrid w:val="0"/>
        <w:spacing w:line="360" w:lineRule="auto"/>
        <w:ind w:firstLine="480" w:firstLineChars="200"/>
        <w:rPr>
          <w:rFonts w:ascii="Arial" w:hAnsi="Arial" w:cs="Arial"/>
          <w:kern w:val="0"/>
          <w:sz w:val="24"/>
          <w:szCs w:val="24"/>
        </w:rPr>
      </w:pPr>
      <w:r>
        <w:rPr>
          <w:rFonts w:ascii="Arial" w:hAnsi="宋体" w:cs="Arial"/>
          <w:kern w:val="0"/>
          <w:sz w:val="24"/>
          <w:szCs w:val="24"/>
        </w:rPr>
        <w:t>（四）根据《上海市工程建设项目施工图设计文件</w:t>
      </w:r>
      <w:r>
        <w:rPr>
          <w:rFonts w:ascii="Arial" w:hAnsi="Arial" w:cs="Arial"/>
          <w:kern w:val="0"/>
          <w:sz w:val="24"/>
          <w:szCs w:val="24"/>
        </w:rPr>
        <w:t>“</w:t>
      </w:r>
      <w:r>
        <w:rPr>
          <w:rFonts w:ascii="Arial" w:hAnsi="宋体" w:cs="Arial"/>
          <w:kern w:val="0"/>
          <w:sz w:val="24"/>
          <w:szCs w:val="24"/>
        </w:rPr>
        <w:t>多图联审</w:t>
      </w:r>
      <w:r>
        <w:rPr>
          <w:rFonts w:ascii="Arial" w:hAnsi="Arial" w:cs="Arial"/>
          <w:kern w:val="0"/>
          <w:sz w:val="24"/>
          <w:szCs w:val="24"/>
        </w:rPr>
        <w:t>”</w:t>
      </w:r>
      <w:r>
        <w:rPr>
          <w:rFonts w:ascii="Arial" w:hAnsi="宋体" w:cs="Arial"/>
          <w:kern w:val="0"/>
          <w:sz w:val="24"/>
          <w:szCs w:val="24"/>
        </w:rPr>
        <w:t>管理办法》，消防、民防、卫生、水务、抗震等管理部门的技术审查事项并入施工图设计文件审查，施工图审查机构对施工图设计文件以及其中的消防设计、结合民用建筑修建防空地下室设计、预防性卫生设计、节水设施设计、抗震设防设计（超限高层专项设防审查除外）等采用数字化在线审图进行统一审查，</w:t>
      </w:r>
      <w:r>
        <w:rPr>
          <w:rFonts w:hint="eastAsia" w:ascii="Arial" w:hAnsi="宋体" w:cs="Arial"/>
          <w:kern w:val="0"/>
          <w:sz w:val="24"/>
          <w:szCs w:val="24"/>
          <w:lang w:eastAsia="zh-CN"/>
        </w:rPr>
        <w:t>《上海审查要点（建筑设备篇）》3.0</w:t>
      </w:r>
      <w:r>
        <w:rPr>
          <w:rFonts w:ascii="Arial" w:hAnsi="宋体" w:cs="Arial"/>
          <w:kern w:val="0"/>
          <w:sz w:val="24"/>
          <w:szCs w:val="24"/>
        </w:rPr>
        <w:t>不再重复列出。</w:t>
      </w:r>
    </w:p>
    <w:p>
      <w:pPr>
        <w:adjustRightInd w:val="0"/>
        <w:snapToGrid w:val="0"/>
        <w:spacing w:line="360" w:lineRule="auto"/>
        <w:ind w:firstLine="480" w:firstLineChars="200"/>
        <w:rPr>
          <w:rFonts w:ascii="Arial" w:hAnsi="Arial" w:cs="Arial"/>
          <w:kern w:val="0"/>
          <w:sz w:val="24"/>
          <w:szCs w:val="24"/>
        </w:rPr>
      </w:pPr>
      <w:r>
        <w:rPr>
          <w:rFonts w:ascii="Arial" w:hAnsi="宋体" w:cs="Arial"/>
          <w:kern w:val="0"/>
          <w:sz w:val="24"/>
          <w:szCs w:val="24"/>
        </w:rPr>
        <w:t>（五）近年发布的规范性文件列在本审查要点后，作为附录供相关人员参考。</w:t>
      </w:r>
    </w:p>
    <w:p>
      <w:pPr>
        <w:adjustRightInd w:val="0"/>
        <w:snapToGrid w:val="0"/>
        <w:spacing w:line="360" w:lineRule="auto"/>
        <w:ind w:firstLine="480" w:firstLineChars="200"/>
        <w:rPr>
          <w:rFonts w:ascii="Arial" w:hAnsi="Arial" w:cs="Arial"/>
          <w:sz w:val="24"/>
          <w:szCs w:val="21"/>
        </w:rPr>
      </w:pPr>
      <w:r>
        <w:rPr>
          <w:rFonts w:ascii="Arial" w:hAnsi="宋体" w:cs="Arial"/>
          <w:sz w:val="24"/>
          <w:szCs w:val="21"/>
        </w:rPr>
        <w:t>二、施工图设计文件存在不符合本编制说明第一条所列内容时，审查机构应出具审查整改意见，说明不合格原因退回修改，并上报建设行政管理部门。如设计未严格执行本要点的规定，应有充分依据，可按规范用词的严格程度予以把握，允许设计单位根据工程设计的实际需要，在不降低质量要求的前提下，采取行之有效的</w:t>
      </w:r>
      <w:r>
        <w:rPr>
          <w:rFonts w:hint="eastAsia" w:ascii="Arial" w:hAnsi="宋体" w:cs="Arial"/>
          <w:sz w:val="24"/>
          <w:szCs w:val="21"/>
        </w:rPr>
        <w:t>技术</w:t>
      </w:r>
      <w:r>
        <w:rPr>
          <w:rFonts w:ascii="Arial" w:hAnsi="宋体" w:cs="Arial"/>
          <w:sz w:val="24"/>
          <w:szCs w:val="21"/>
        </w:rPr>
        <w:t>措施来解决问题，</w:t>
      </w:r>
      <w:bookmarkStart w:id="8" w:name="_Hlk154328167"/>
      <w:r>
        <w:rPr>
          <w:rFonts w:ascii="Arial" w:hAnsi="宋体" w:cs="Arial"/>
          <w:sz w:val="24"/>
          <w:szCs w:val="21"/>
        </w:rPr>
        <w:t>但应有充分依据。</w:t>
      </w:r>
      <w:bookmarkEnd w:id="8"/>
    </w:p>
    <w:p>
      <w:pPr>
        <w:adjustRightInd w:val="0"/>
        <w:snapToGrid w:val="0"/>
        <w:spacing w:line="360" w:lineRule="auto"/>
        <w:ind w:firstLine="480" w:firstLineChars="200"/>
        <w:rPr>
          <w:rFonts w:ascii="Arial" w:hAnsi="Arial" w:cs="Arial"/>
          <w:sz w:val="24"/>
          <w:szCs w:val="21"/>
        </w:rPr>
      </w:pPr>
      <w:r>
        <w:rPr>
          <w:rFonts w:ascii="Arial" w:hAnsi="宋体" w:cs="Arial"/>
          <w:sz w:val="24"/>
          <w:szCs w:val="21"/>
        </w:rPr>
        <w:t>三、</w:t>
      </w:r>
      <w:r>
        <w:rPr>
          <w:rFonts w:hint="eastAsia" w:ascii="Arial" w:hAnsi="宋体" w:cs="Arial"/>
          <w:sz w:val="24"/>
          <w:szCs w:val="21"/>
          <w:lang w:eastAsia="zh-CN"/>
        </w:rPr>
        <w:t>《上海审查要点（建筑设备篇）》3.0</w:t>
      </w:r>
      <w:r>
        <w:rPr>
          <w:rFonts w:ascii="Arial" w:hAnsi="宋体" w:cs="Arial"/>
          <w:sz w:val="24"/>
          <w:szCs w:val="21"/>
        </w:rPr>
        <w:t>所列审查内容是保证工程设计质量的基本要求，并不是工程设计的全部内容。设计单位和设计人员应全面执行工程建设标准和法规的有关规定，审查机构和审查人员应在理解工程建设标准和法规内涵的前提下执行本要点。</w:t>
      </w:r>
    </w:p>
    <w:p>
      <w:pPr>
        <w:adjustRightInd w:val="0"/>
        <w:snapToGrid w:val="0"/>
        <w:spacing w:line="360" w:lineRule="auto"/>
        <w:ind w:firstLine="480" w:firstLineChars="200"/>
        <w:rPr>
          <w:rFonts w:ascii="Arial" w:hAnsi="Arial" w:cs="Arial"/>
          <w:sz w:val="24"/>
          <w:szCs w:val="21"/>
        </w:rPr>
      </w:pPr>
      <w:r>
        <w:rPr>
          <w:rFonts w:ascii="Arial" w:hAnsi="宋体" w:cs="Arial"/>
          <w:sz w:val="24"/>
          <w:szCs w:val="21"/>
        </w:rPr>
        <w:t>四、</w:t>
      </w:r>
      <w:r>
        <w:rPr>
          <w:rFonts w:hint="eastAsia" w:ascii="Arial" w:hAnsi="宋体" w:cs="Arial"/>
          <w:sz w:val="24"/>
          <w:szCs w:val="21"/>
        </w:rPr>
        <w:t>除</w:t>
      </w:r>
      <w:r>
        <w:rPr>
          <w:rFonts w:hint="eastAsia" w:ascii="Arial" w:hAnsi="宋体" w:cs="Arial"/>
          <w:sz w:val="24"/>
          <w:szCs w:val="21"/>
          <w:lang w:eastAsia="zh-CN"/>
        </w:rPr>
        <w:t>《上海审查要点（建筑设备篇）》3.0</w:t>
      </w:r>
      <w:r>
        <w:rPr>
          <w:rFonts w:ascii="Arial" w:hAnsi="宋体" w:cs="Arial"/>
          <w:sz w:val="24"/>
          <w:szCs w:val="21"/>
        </w:rPr>
        <w:t>所列审查内容</w:t>
      </w:r>
      <w:r>
        <w:rPr>
          <w:rFonts w:hint="eastAsia" w:ascii="Arial" w:hAnsi="宋体" w:cs="Arial"/>
          <w:sz w:val="24"/>
          <w:szCs w:val="21"/>
        </w:rPr>
        <w:t>外</w:t>
      </w:r>
      <w:r>
        <w:rPr>
          <w:rFonts w:ascii="Arial" w:hAnsi="宋体" w:cs="Arial"/>
          <w:sz w:val="24"/>
          <w:szCs w:val="21"/>
        </w:rPr>
        <w:t>，强制性条文部分应按建设部第</w:t>
      </w:r>
      <w:r>
        <w:rPr>
          <w:rFonts w:ascii="Arial" w:hAnsi="Arial" w:cs="Arial"/>
          <w:sz w:val="24"/>
          <w:szCs w:val="21"/>
        </w:rPr>
        <w:t>81</w:t>
      </w:r>
      <w:r>
        <w:rPr>
          <w:rFonts w:ascii="Arial" w:hAnsi="宋体" w:cs="Arial"/>
          <w:sz w:val="24"/>
          <w:szCs w:val="21"/>
        </w:rPr>
        <w:t>号令《实施工程建设强制性标准监督规定》执行，非强制性条文部分应按住房城乡建设部《关于印发建筑工程施工图设计文件技术审查要点、市政公用工程施工图设计文件技术审查要点、岩土工程勘察文件技术审查要点的通知》（建质［</w:t>
      </w:r>
      <w:r>
        <w:rPr>
          <w:rFonts w:ascii="Arial" w:hAnsi="Arial" w:cs="Arial"/>
          <w:sz w:val="24"/>
          <w:szCs w:val="21"/>
        </w:rPr>
        <w:t>2013</w:t>
      </w:r>
      <w:r>
        <w:rPr>
          <w:rFonts w:ascii="Arial" w:hAnsi="宋体" w:cs="Arial"/>
          <w:sz w:val="24"/>
          <w:szCs w:val="21"/>
        </w:rPr>
        <w:t>］</w:t>
      </w:r>
      <w:r>
        <w:rPr>
          <w:rFonts w:ascii="Arial" w:hAnsi="Arial" w:cs="Arial"/>
          <w:sz w:val="24"/>
          <w:szCs w:val="21"/>
        </w:rPr>
        <w:t>87</w:t>
      </w:r>
      <w:r>
        <w:rPr>
          <w:rFonts w:ascii="Arial" w:hAnsi="宋体" w:cs="Arial"/>
          <w:sz w:val="24"/>
          <w:szCs w:val="21"/>
        </w:rPr>
        <w:t>号）精神执行。</w:t>
      </w:r>
    </w:p>
    <w:p>
      <w:pPr>
        <w:adjustRightInd w:val="0"/>
        <w:snapToGrid w:val="0"/>
        <w:spacing w:line="360" w:lineRule="auto"/>
        <w:ind w:firstLine="480" w:firstLineChars="200"/>
        <w:rPr>
          <w:rFonts w:ascii="Arial" w:hAnsi="Arial" w:cs="Arial"/>
          <w:sz w:val="24"/>
          <w:szCs w:val="21"/>
        </w:rPr>
      </w:pPr>
      <w:r>
        <w:rPr>
          <w:rFonts w:ascii="Arial" w:hAnsi="宋体" w:cs="Arial"/>
          <w:sz w:val="24"/>
          <w:szCs w:val="21"/>
        </w:rPr>
        <w:t>五、基于实际工程的复杂性，当出现可能直接涉及工程安全的设计质量问题，但判断所依据的条款在本编制说明第一条以外时，应经审查机构内部集体研究作出是否开具审查意见告知书的决定，作为施工图设计文件是否合格的依据，如需开具的将具体内容上报建设行政管理部门。</w:t>
      </w:r>
    </w:p>
    <w:p>
      <w:pPr>
        <w:adjustRightInd w:val="0"/>
        <w:snapToGrid w:val="0"/>
        <w:spacing w:line="360" w:lineRule="auto"/>
        <w:ind w:firstLine="480" w:firstLineChars="200"/>
        <w:rPr>
          <w:rFonts w:ascii="Arial" w:hAnsi="Arial" w:cs="Arial"/>
          <w:sz w:val="24"/>
          <w:szCs w:val="21"/>
        </w:rPr>
      </w:pPr>
      <w:r>
        <w:rPr>
          <w:rFonts w:ascii="Arial" w:hAnsi="宋体" w:cs="Arial"/>
          <w:sz w:val="24"/>
          <w:szCs w:val="21"/>
        </w:rPr>
        <w:t>施工图设计文件深度不满足要求时，施工图审查人员应根据深度问题对工程可能产生实际影响的严重性，作为判断施工图设计文件是否合格的依据。</w:t>
      </w:r>
    </w:p>
    <w:p>
      <w:pPr>
        <w:adjustRightInd w:val="0"/>
        <w:snapToGrid w:val="0"/>
        <w:spacing w:line="360" w:lineRule="auto"/>
        <w:ind w:firstLine="480" w:firstLineChars="200"/>
        <w:rPr>
          <w:rFonts w:ascii="Arial" w:hAnsi="Arial" w:cs="Arial"/>
          <w:sz w:val="24"/>
          <w:szCs w:val="21"/>
        </w:rPr>
      </w:pPr>
      <w:r>
        <w:rPr>
          <w:rFonts w:ascii="Arial" w:hAnsi="宋体" w:cs="Arial"/>
          <w:sz w:val="24"/>
          <w:szCs w:val="21"/>
        </w:rPr>
        <w:t>六、</w:t>
      </w:r>
      <w:r>
        <w:rPr>
          <w:rFonts w:hint="eastAsia" w:ascii="Arial" w:hAnsi="宋体" w:cs="Arial"/>
          <w:sz w:val="24"/>
          <w:szCs w:val="21"/>
          <w:lang w:eastAsia="zh-CN"/>
        </w:rPr>
        <w:t>《上海审查要点（建筑设备篇）》3.0</w:t>
      </w:r>
      <w:r>
        <w:rPr>
          <w:rFonts w:ascii="Arial" w:hAnsi="宋体" w:cs="Arial"/>
          <w:sz w:val="24"/>
          <w:szCs w:val="21"/>
        </w:rPr>
        <w:t>主要依据</w:t>
      </w:r>
      <w:r>
        <w:rPr>
          <w:rFonts w:ascii="Arial" w:hAnsi="Arial" w:cs="Arial"/>
          <w:sz w:val="24"/>
          <w:szCs w:val="21"/>
        </w:rPr>
        <w:t>2023</w:t>
      </w:r>
      <w:r>
        <w:rPr>
          <w:rFonts w:ascii="Arial" w:hAnsi="宋体" w:cs="Arial"/>
          <w:sz w:val="24"/>
          <w:szCs w:val="21"/>
        </w:rPr>
        <w:t>年</w:t>
      </w:r>
      <w:r>
        <w:rPr>
          <w:rFonts w:ascii="Arial" w:hAnsi="Arial" w:cs="Arial"/>
          <w:sz w:val="24"/>
          <w:szCs w:val="21"/>
        </w:rPr>
        <w:t>11</w:t>
      </w:r>
      <w:r>
        <w:rPr>
          <w:rFonts w:ascii="Arial" w:hAnsi="宋体" w:cs="Arial"/>
          <w:sz w:val="24"/>
          <w:szCs w:val="21"/>
        </w:rPr>
        <w:t>月底之前发布的上海市地方法规和实施的工程建设标准编制，在此之后如有新版法规和工程建设标准实施，应以新版法规和工程建设标准为准。</w:t>
      </w:r>
    </w:p>
    <w:p>
      <w:pPr>
        <w:adjustRightInd w:val="0"/>
        <w:snapToGrid w:val="0"/>
        <w:spacing w:line="360" w:lineRule="auto"/>
        <w:ind w:firstLine="480" w:firstLineChars="200"/>
        <w:rPr>
          <w:rFonts w:cs="Arial" w:asciiTheme="minorEastAsia" w:hAnsiTheme="minorEastAsia" w:eastAsiaTheme="minorEastAsia"/>
          <w:sz w:val="24"/>
          <w:szCs w:val="21"/>
        </w:rPr>
      </w:pPr>
      <w:r>
        <w:rPr>
          <w:rFonts w:ascii="Arial" w:hAnsi="宋体" w:cs="Arial"/>
          <w:sz w:val="24"/>
          <w:szCs w:val="21"/>
        </w:rPr>
        <w:t>七、</w:t>
      </w:r>
      <w:r>
        <w:rPr>
          <w:rFonts w:hint="eastAsia" w:ascii="Arial" w:hAnsi="宋体" w:cs="Arial"/>
          <w:sz w:val="24"/>
          <w:szCs w:val="21"/>
          <w:lang w:eastAsia="zh-CN"/>
        </w:rPr>
        <w:t>《上海审查要点（建筑设备篇）》3.0</w:t>
      </w:r>
      <w:r>
        <w:rPr>
          <w:rFonts w:ascii="Arial" w:hAnsi="宋体" w:cs="Arial"/>
          <w:sz w:val="24"/>
          <w:szCs w:val="21"/>
        </w:rPr>
        <w:t>自发布之日起执行。</w:t>
      </w:r>
    </w:p>
    <w:p>
      <w:pPr>
        <w:spacing w:line="360" w:lineRule="auto"/>
        <w:jc w:val="center"/>
        <w:rPr>
          <w:rFonts w:ascii="黑体" w:hAnsi="黑体" w:eastAsia="黑体" w:cs="Arial"/>
          <w:sz w:val="36"/>
          <w:szCs w:val="21"/>
        </w:rPr>
      </w:pPr>
    </w:p>
    <w:p>
      <w:pPr>
        <w:spacing w:line="360" w:lineRule="auto"/>
        <w:jc w:val="center"/>
        <w:rPr>
          <w:rFonts w:ascii="黑体" w:hAnsi="黑体" w:eastAsia="黑体" w:cs="Arial"/>
          <w:sz w:val="36"/>
          <w:szCs w:val="21"/>
        </w:rPr>
      </w:pPr>
    </w:p>
    <w:p>
      <w:pPr>
        <w:spacing w:line="360" w:lineRule="auto"/>
        <w:jc w:val="center"/>
        <w:rPr>
          <w:rFonts w:ascii="黑体" w:hAnsi="黑体" w:eastAsia="黑体" w:cs="Arial"/>
          <w:sz w:val="36"/>
          <w:szCs w:val="21"/>
        </w:rPr>
      </w:pPr>
    </w:p>
    <w:p>
      <w:pPr>
        <w:spacing w:line="360" w:lineRule="auto"/>
        <w:jc w:val="center"/>
        <w:rPr>
          <w:rFonts w:ascii="黑体" w:hAnsi="黑体" w:eastAsia="黑体" w:cs="Arial"/>
          <w:sz w:val="36"/>
          <w:szCs w:val="21"/>
        </w:rPr>
      </w:pPr>
    </w:p>
    <w:p>
      <w:pPr>
        <w:spacing w:line="360" w:lineRule="auto"/>
        <w:jc w:val="center"/>
        <w:rPr>
          <w:rFonts w:ascii="黑体" w:hAnsi="黑体" w:eastAsia="黑体" w:cs="Arial"/>
          <w:sz w:val="36"/>
          <w:szCs w:val="21"/>
        </w:rPr>
      </w:pPr>
    </w:p>
    <w:p>
      <w:pPr>
        <w:spacing w:line="360" w:lineRule="auto"/>
        <w:jc w:val="center"/>
        <w:rPr>
          <w:rFonts w:ascii="黑体" w:hAnsi="黑体" w:eastAsia="黑体" w:cs="Arial"/>
          <w:sz w:val="36"/>
          <w:szCs w:val="21"/>
        </w:rPr>
      </w:pPr>
    </w:p>
    <w:p>
      <w:pPr>
        <w:spacing w:line="360" w:lineRule="auto"/>
        <w:jc w:val="center"/>
        <w:rPr>
          <w:rFonts w:ascii="黑体" w:hAnsi="黑体" w:eastAsia="黑体" w:cs="Arial"/>
          <w:sz w:val="36"/>
          <w:szCs w:val="21"/>
        </w:rPr>
      </w:pPr>
    </w:p>
    <w:p>
      <w:pPr>
        <w:spacing w:line="360" w:lineRule="auto"/>
        <w:jc w:val="center"/>
        <w:rPr>
          <w:rFonts w:ascii="黑体" w:hAnsi="黑体" w:eastAsia="黑体" w:cs="Arial"/>
          <w:sz w:val="24"/>
          <w:szCs w:val="21"/>
        </w:rPr>
      </w:pPr>
      <w:r>
        <w:rPr>
          <w:rFonts w:hint="eastAsia" w:ascii="黑体" w:hAnsi="黑体" w:eastAsia="黑体" w:cs="Arial"/>
          <w:sz w:val="36"/>
          <w:szCs w:val="21"/>
        </w:rPr>
        <w:t>目  录</w:t>
      </w:r>
    </w:p>
    <w:p>
      <w:pPr>
        <w:pStyle w:val="18"/>
        <w:adjustRightInd w:val="0"/>
        <w:snapToGrid w:val="0"/>
        <w:spacing w:line="360" w:lineRule="auto"/>
        <w:rPr>
          <w:rFonts w:hint="eastAsia" w:ascii="黑体" w:hAnsi="黑体" w:eastAsia="黑体" w:cs="黑体"/>
          <w:b w:val="0"/>
          <w:iCs w:val="0"/>
          <w:sz w:val="21"/>
          <w:szCs w:val="21"/>
        </w:rPr>
      </w:pPr>
      <w:r>
        <w:rPr>
          <w:rFonts w:hint="eastAsia" w:ascii="黑体" w:hAnsi="黑体" w:eastAsia="黑体" w:cs="黑体"/>
          <w:b w:val="0"/>
          <w:sz w:val="21"/>
          <w:szCs w:val="21"/>
        </w:rPr>
        <w:fldChar w:fldCharType="begin"/>
      </w:r>
      <w:r>
        <w:rPr>
          <w:rFonts w:hint="eastAsia" w:ascii="黑体" w:hAnsi="黑体" w:eastAsia="黑体" w:cs="黑体"/>
          <w:b w:val="0"/>
          <w:sz w:val="21"/>
          <w:szCs w:val="21"/>
        </w:rPr>
        <w:instrText xml:space="preserve"> TOC \o "1-2" \h \z \u </w:instrText>
      </w:r>
      <w:r>
        <w:rPr>
          <w:rFonts w:hint="eastAsia" w:ascii="黑体" w:hAnsi="黑体" w:eastAsia="黑体" w:cs="黑体"/>
          <w:b w:val="0"/>
          <w:sz w:val="21"/>
          <w:szCs w:val="21"/>
        </w:rPr>
        <w:fldChar w:fldCharType="separate"/>
      </w:r>
    </w:p>
    <w:p>
      <w:pPr>
        <w:pStyle w:val="18"/>
        <w:adjustRightInd w:val="0"/>
        <w:snapToGrid w:val="0"/>
        <w:spacing w:line="360" w:lineRule="auto"/>
        <w:rPr>
          <w:rFonts w:hint="eastAsia" w:ascii="黑体" w:hAnsi="黑体" w:eastAsia="黑体" w:cs="黑体"/>
          <w:b w:val="0"/>
          <w:iCs w:val="0"/>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"_Toc154331127" </w:instrText>
      </w:r>
      <w:r>
        <w:rPr>
          <w:rFonts w:hint="eastAsia" w:ascii="黑体" w:hAnsi="黑体" w:eastAsia="黑体" w:cs="黑体"/>
          <w:sz w:val="21"/>
          <w:szCs w:val="21"/>
        </w:rPr>
        <w:fldChar w:fldCharType="separate"/>
      </w:r>
      <w:r>
        <w:rPr>
          <w:rStyle w:val="28"/>
          <w:rFonts w:hint="eastAsia" w:ascii="黑体" w:hAnsi="黑体" w:eastAsia="黑体" w:cs="黑体"/>
          <w:b w:val="0"/>
          <w:sz w:val="21"/>
          <w:szCs w:val="21"/>
        </w:rPr>
        <w:t>一、给排水专业</w:t>
      </w:r>
      <w:r>
        <w:rPr>
          <w:rFonts w:hint="eastAsia" w:ascii="黑体" w:hAnsi="黑体" w:eastAsia="黑体" w:cs="黑体"/>
          <w:b w:val="0"/>
          <w:sz w:val="21"/>
          <w:szCs w:val="21"/>
        </w:rPr>
        <w:tab/>
      </w:r>
      <w:r>
        <w:rPr>
          <w:rFonts w:hint="eastAsia" w:ascii="黑体" w:hAnsi="黑体" w:eastAsia="黑体" w:cs="黑体"/>
          <w:b w:val="0"/>
          <w:sz w:val="21"/>
          <w:szCs w:val="21"/>
        </w:rPr>
        <w:fldChar w:fldCharType="begin"/>
      </w:r>
      <w:r>
        <w:rPr>
          <w:rFonts w:hint="eastAsia" w:ascii="黑体" w:hAnsi="黑体" w:eastAsia="黑体" w:cs="黑体"/>
          <w:b w:val="0"/>
          <w:sz w:val="21"/>
          <w:szCs w:val="21"/>
        </w:rPr>
        <w:instrText xml:space="preserve"> PAGEREF _Toc154331127 \h </w:instrText>
      </w:r>
      <w:r>
        <w:rPr>
          <w:rFonts w:hint="eastAsia" w:ascii="黑体" w:hAnsi="黑体" w:eastAsia="黑体" w:cs="黑体"/>
          <w:b w:val="0"/>
          <w:sz w:val="21"/>
          <w:szCs w:val="21"/>
        </w:rPr>
        <w:fldChar w:fldCharType="separate"/>
      </w:r>
      <w:r>
        <w:rPr>
          <w:rFonts w:hint="eastAsia" w:ascii="黑体" w:hAnsi="黑体" w:eastAsia="黑体" w:cs="黑体"/>
          <w:b w:val="0"/>
          <w:sz w:val="21"/>
          <w:szCs w:val="21"/>
        </w:rPr>
        <w:t>4</w:t>
      </w:r>
      <w:r>
        <w:rPr>
          <w:rFonts w:hint="eastAsia" w:ascii="黑体" w:hAnsi="黑体" w:eastAsia="黑体" w:cs="黑体"/>
          <w:b w:val="0"/>
          <w:sz w:val="21"/>
          <w:szCs w:val="21"/>
        </w:rPr>
        <w:fldChar w:fldCharType="end"/>
      </w:r>
      <w:r>
        <w:rPr>
          <w:rFonts w:hint="eastAsia" w:ascii="黑体" w:hAnsi="黑体" w:eastAsia="黑体" w:cs="黑体"/>
          <w:b w:val="0"/>
          <w:sz w:val="21"/>
          <w:szCs w:val="21"/>
        </w:rPr>
        <w:fldChar w:fldCharType="end"/>
      </w:r>
    </w:p>
    <w:p>
      <w:pPr>
        <w:pStyle w:val="18"/>
        <w:adjustRightInd w:val="0"/>
        <w:snapToGrid w:val="0"/>
        <w:spacing w:line="360" w:lineRule="auto"/>
        <w:rPr>
          <w:rFonts w:hint="eastAsia" w:ascii="黑体" w:hAnsi="黑体" w:eastAsia="黑体" w:cs="黑体"/>
          <w:b w:val="0"/>
          <w:iCs w:val="0"/>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"_Toc154331128" </w:instrText>
      </w:r>
      <w:r>
        <w:rPr>
          <w:rFonts w:hint="eastAsia" w:ascii="黑体" w:hAnsi="黑体" w:eastAsia="黑体" w:cs="黑体"/>
          <w:sz w:val="21"/>
          <w:szCs w:val="21"/>
        </w:rPr>
        <w:fldChar w:fldCharType="separate"/>
      </w:r>
      <w:r>
        <w:rPr>
          <w:rStyle w:val="28"/>
          <w:rFonts w:hint="eastAsia" w:ascii="黑体" w:hAnsi="黑体" w:eastAsia="黑体" w:cs="黑体"/>
          <w:b w:val="0"/>
          <w:sz w:val="21"/>
          <w:szCs w:val="21"/>
        </w:rPr>
        <w:t>1.1建筑设备</w:t>
      </w:r>
      <w:r>
        <w:rPr>
          <w:rFonts w:hint="eastAsia" w:ascii="黑体" w:hAnsi="黑体" w:eastAsia="黑体" w:cs="黑体"/>
          <w:b w:val="0"/>
          <w:sz w:val="21"/>
          <w:szCs w:val="21"/>
        </w:rPr>
        <w:tab/>
      </w:r>
      <w:r>
        <w:rPr>
          <w:rFonts w:hint="eastAsia" w:ascii="黑体" w:hAnsi="黑体" w:eastAsia="黑体" w:cs="黑体"/>
          <w:b w:val="0"/>
          <w:sz w:val="21"/>
          <w:szCs w:val="21"/>
        </w:rPr>
        <w:fldChar w:fldCharType="begin"/>
      </w:r>
      <w:r>
        <w:rPr>
          <w:rFonts w:hint="eastAsia" w:ascii="黑体" w:hAnsi="黑体" w:eastAsia="黑体" w:cs="黑体"/>
          <w:b w:val="0"/>
          <w:sz w:val="21"/>
          <w:szCs w:val="21"/>
        </w:rPr>
        <w:instrText xml:space="preserve"> PAGEREF _Toc154331128 \h </w:instrText>
      </w:r>
      <w:r>
        <w:rPr>
          <w:rFonts w:hint="eastAsia" w:ascii="黑体" w:hAnsi="黑体" w:eastAsia="黑体" w:cs="黑体"/>
          <w:b w:val="0"/>
          <w:sz w:val="21"/>
          <w:szCs w:val="21"/>
        </w:rPr>
        <w:fldChar w:fldCharType="separate"/>
      </w:r>
      <w:r>
        <w:rPr>
          <w:rFonts w:hint="eastAsia" w:ascii="黑体" w:hAnsi="黑体" w:eastAsia="黑体" w:cs="黑体"/>
          <w:b w:val="0"/>
          <w:sz w:val="21"/>
          <w:szCs w:val="21"/>
        </w:rPr>
        <w:t>4</w:t>
      </w:r>
      <w:r>
        <w:rPr>
          <w:rFonts w:hint="eastAsia" w:ascii="黑体" w:hAnsi="黑体" w:eastAsia="黑体" w:cs="黑体"/>
          <w:b w:val="0"/>
          <w:sz w:val="21"/>
          <w:szCs w:val="21"/>
        </w:rPr>
        <w:fldChar w:fldCharType="end"/>
      </w:r>
      <w:r>
        <w:rPr>
          <w:rFonts w:hint="eastAsia" w:ascii="黑体" w:hAnsi="黑体" w:eastAsia="黑体" w:cs="黑体"/>
          <w:b w:val="0"/>
          <w:sz w:val="21"/>
          <w:szCs w:val="21"/>
        </w:rPr>
        <w:fldChar w:fldCharType="end"/>
      </w:r>
    </w:p>
    <w:p>
      <w:pPr>
        <w:pStyle w:val="18"/>
        <w:adjustRightInd w:val="0"/>
        <w:snapToGrid w:val="0"/>
        <w:spacing w:line="360" w:lineRule="auto"/>
        <w:rPr>
          <w:rFonts w:hint="eastAsia" w:ascii="黑体" w:hAnsi="黑体" w:eastAsia="黑体" w:cs="黑体"/>
          <w:b w:val="0"/>
          <w:iCs w:val="0"/>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"_Toc154331129" </w:instrText>
      </w:r>
      <w:r>
        <w:rPr>
          <w:rFonts w:hint="eastAsia" w:ascii="黑体" w:hAnsi="黑体" w:eastAsia="黑体" w:cs="黑体"/>
          <w:sz w:val="21"/>
          <w:szCs w:val="21"/>
        </w:rPr>
        <w:fldChar w:fldCharType="separate"/>
      </w:r>
      <w:r>
        <w:rPr>
          <w:rStyle w:val="28"/>
          <w:rFonts w:hint="eastAsia" w:ascii="黑体" w:hAnsi="黑体" w:eastAsia="黑体" w:cs="黑体"/>
          <w:b w:val="0"/>
          <w:sz w:val="21"/>
          <w:szCs w:val="21"/>
        </w:rPr>
        <w:t>1.2建筑防火</w:t>
      </w:r>
      <w:r>
        <w:rPr>
          <w:rFonts w:hint="eastAsia" w:ascii="黑体" w:hAnsi="黑体" w:eastAsia="黑体" w:cs="黑体"/>
          <w:b w:val="0"/>
          <w:sz w:val="21"/>
          <w:szCs w:val="21"/>
        </w:rPr>
        <w:tab/>
      </w:r>
      <w:r>
        <w:rPr>
          <w:rFonts w:hint="eastAsia" w:ascii="黑体" w:hAnsi="黑体" w:eastAsia="黑体" w:cs="黑体"/>
          <w:b w:val="0"/>
          <w:sz w:val="21"/>
          <w:szCs w:val="21"/>
        </w:rPr>
        <w:fldChar w:fldCharType="begin"/>
      </w:r>
      <w:r>
        <w:rPr>
          <w:rFonts w:hint="eastAsia" w:ascii="黑体" w:hAnsi="黑体" w:eastAsia="黑体" w:cs="黑体"/>
          <w:b w:val="0"/>
          <w:sz w:val="21"/>
          <w:szCs w:val="21"/>
        </w:rPr>
        <w:instrText xml:space="preserve"> PAGEREF _Toc154331129 \h </w:instrText>
      </w:r>
      <w:r>
        <w:rPr>
          <w:rFonts w:hint="eastAsia" w:ascii="黑体" w:hAnsi="黑体" w:eastAsia="黑体" w:cs="黑体"/>
          <w:b w:val="0"/>
          <w:sz w:val="21"/>
          <w:szCs w:val="21"/>
        </w:rPr>
        <w:fldChar w:fldCharType="separate"/>
      </w:r>
      <w:r>
        <w:rPr>
          <w:rFonts w:hint="eastAsia" w:ascii="黑体" w:hAnsi="黑体" w:eastAsia="黑体" w:cs="黑体"/>
          <w:b w:val="0"/>
          <w:sz w:val="21"/>
          <w:szCs w:val="21"/>
        </w:rPr>
        <w:t>5</w:t>
      </w:r>
      <w:r>
        <w:rPr>
          <w:rFonts w:hint="eastAsia" w:ascii="黑体" w:hAnsi="黑体" w:eastAsia="黑体" w:cs="黑体"/>
          <w:b w:val="0"/>
          <w:sz w:val="21"/>
          <w:szCs w:val="21"/>
        </w:rPr>
        <w:fldChar w:fldCharType="end"/>
      </w:r>
      <w:r>
        <w:rPr>
          <w:rFonts w:hint="eastAsia" w:ascii="黑体" w:hAnsi="黑体" w:eastAsia="黑体" w:cs="黑体"/>
          <w:b w:val="0"/>
          <w:sz w:val="21"/>
          <w:szCs w:val="21"/>
        </w:rPr>
        <w:fldChar w:fldCharType="end"/>
      </w:r>
    </w:p>
    <w:p>
      <w:pPr>
        <w:pStyle w:val="21"/>
        <w:tabs>
          <w:tab w:val="right" w:leader="dot" w:pos="8296"/>
        </w:tabs>
        <w:adjustRightInd w:val="0"/>
        <w:snapToGrid w:val="0"/>
        <w:spacing w:line="360" w:lineRule="auto"/>
        <w:ind w:left="0" w:leftChars="0" w:firstLine="0" w:firstLineChars="0"/>
        <w:rPr>
          <w:rFonts w:hint="eastAsia" w:ascii="黑体" w:hAnsi="黑体" w:eastAsia="黑体" w:cs="黑体"/>
          <w:b w:val="0"/>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"_Toc154331130" </w:instrText>
      </w:r>
      <w:r>
        <w:rPr>
          <w:rFonts w:hint="eastAsia" w:ascii="黑体" w:hAnsi="黑体" w:eastAsia="黑体" w:cs="黑体"/>
          <w:sz w:val="21"/>
          <w:szCs w:val="21"/>
        </w:rPr>
        <w:fldChar w:fldCharType="separate"/>
      </w:r>
      <w:r>
        <w:rPr>
          <w:rStyle w:val="28"/>
          <w:rFonts w:hint="eastAsia" w:ascii="黑体" w:hAnsi="黑体" w:eastAsia="黑体" w:cs="黑体"/>
          <w:b w:val="0"/>
          <w:sz w:val="21"/>
          <w:szCs w:val="21"/>
        </w:rPr>
        <w:t>1.4引用标准名录及条款号</w:t>
      </w:r>
      <w:r>
        <w:rPr>
          <w:rFonts w:hint="eastAsia" w:ascii="黑体" w:hAnsi="黑体" w:eastAsia="黑体" w:cs="黑体"/>
          <w:b w:val="0"/>
          <w:sz w:val="21"/>
          <w:szCs w:val="21"/>
        </w:rPr>
        <w:tab/>
      </w:r>
      <w:r>
        <w:rPr>
          <w:rFonts w:hint="eastAsia" w:ascii="黑体" w:hAnsi="黑体" w:eastAsia="黑体" w:cs="黑体"/>
          <w:b w:val="0"/>
          <w:sz w:val="21"/>
          <w:szCs w:val="21"/>
        </w:rPr>
        <w:fldChar w:fldCharType="begin"/>
      </w:r>
      <w:r>
        <w:rPr>
          <w:rFonts w:hint="eastAsia" w:ascii="黑体" w:hAnsi="黑体" w:eastAsia="黑体" w:cs="黑体"/>
          <w:b w:val="0"/>
          <w:sz w:val="21"/>
          <w:szCs w:val="21"/>
        </w:rPr>
        <w:instrText xml:space="preserve"> PAGEREF _Toc154331130 \h </w:instrText>
      </w:r>
      <w:r>
        <w:rPr>
          <w:rFonts w:hint="eastAsia" w:ascii="黑体" w:hAnsi="黑体" w:eastAsia="黑体" w:cs="黑体"/>
          <w:b w:val="0"/>
          <w:sz w:val="21"/>
          <w:szCs w:val="21"/>
        </w:rPr>
        <w:fldChar w:fldCharType="separate"/>
      </w:r>
      <w:r>
        <w:rPr>
          <w:rFonts w:hint="eastAsia" w:ascii="黑体" w:hAnsi="黑体" w:eastAsia="黑体" w:cs="黑体"/>
          <w:b w:val="0"/>
          <w:sz w:val="21"/>
          <w:szCs w:val="21"/>
        </w:rPr>
        <w:t>9</w:t>
      </w:r>
      <w:r>
        <w:rPr>
          <w:rFonts w:hint="eastAsia" w:ascii="黑体" w:hAnsi="黑体" w:eastAsia="黑体" w:cs="黑体"/>
          <w:b w:val="0"/>
          <w:sz w:val="21"/>
          <w:szCs w:val="21"/>
        </w:rPr>
        <w:fldChar w:fldCharType="end"/>
      </w:r>
      <w:r>
        <w:rPr>
          <w:rFonts w:hint="eastAsia" w:ascii="黑体" w:hAnsi="黑体" w:eastAsia="黑体" w:cs="黑体"/>
          <w:b w:val="0"/>
          <w:sz w:val="21"/>
          <w:szCs w:val="21"/>
        </w:rPr>
        <w:fldChar w:fldCharType="end"/>
      </w:r>
    </w:p>
    <w:p>
      <w:pPr>
        <w:pStyle w:val="18"/>
        <w:adjustRightInd w:val="0"/>
        <w:snapToGrid w:val="0"/>
        <w:spacing w:line="360" w:lineRule="auto"/>
        <w:rPr>
          <w:rFonts w:hint="eastAsia" w:ascii="黑体" w:hAnsi="黑体" w:eastAsia="黑体" w:cs="黑体"/>
          <w:b w:val="0"/>
          <w:iCs w:val="0"/>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"_Toc154331131" </w:instrText>
      </w:r>
      <w:r>
        <w:rPr>
          <w:rFonts w:hint="eastAsia" w:ascii="黑体" w:hAnsi="黑体" w:eastAsia="黑体" w:cs="黑体"/>
          <w:sz w:val="21"/>
          <w:szCs w:val="21"/>
        </w:rPr>
        <w:fldChar w:fldCharType="separate"/>
      </w:r>
      <w:r>
        <w:rPr>
          <w:rStyle w:val="28"/>
          <w:rFonts w:hint="eastAsia" w:ascii="黑体" w:hAnsi="黑体" w:eastAsia="黑体" w:cs="黑体"/>
          <w:b w:val="0"/>
          <w:sz w:val="21"/>
          <w:szCs w:val="21"/>
        </w:rPr>
        <w:t>二、暖通专业</w:t>
      </w:r>
      <w:r>
        <w:rPr>
          <w:rFonts w:hint="eastAsia" w:ascii="黑体" w:hAnsi="黑体" w:eastAsia="黑体" w:cs="黑体"/>
          <w:b w:val="0"/>
          <w:sz w:val="21"/>
          <w:szCs w:val="21"/>
        </w:rPr>
        <w:tab/>
      </w:r>
      <w:r>
        <w:rPr>
          <w:rFonts w:hint="eastAsia" w:ascii="黑体" w:hAnsi="黑体" w:eastAsia="黑体" w:cs="黑体"/>
          <w:b w:val="0"/>
          <w:sz w:val="21"/>
          <w:szCs w:val="21"/>
        </w:rPr>
        <w:fldChar w:fldCharType="begin"/>
      </w:r>
      <w:r>
        <w:rPr>
          <w:rFonts w:hint="eastAsia" w:ascii="黑体" w:hAnsi="黑体" w:eastAsia="黑体" w:cs="黑体"/>
          <w:b w:val="0"/>
          <w:sz w:val="21"/>
          <w:szCs w:val="21"/>
        </w:rPr>
        <w:instrText xml:space="preserve"> PAGEREF _Toc154331131 \h </w:instrText>
      </w:r>
      <w:r>
        <w:rPr>
          <w:rFonts w:hint="eastAsia" w:ascii="黑体" w:hAnsi="黑体" w:eastAsia="黑体" w:cs="黑体"/>
          <w:b w:val="0"/>
          <w:sz w:val="21"/>
          <w:szCs w:val="21"/>
        </w:rPr>
        <w:fldChar w:fldCharType="separate"/>
      </w:r>
      <w:r>
        <w:rPr>
          <w:rFonts w:hint="eastAsia" w:ascii="黑体" w:hAnsi="黑体" w:eastAsia="黑体" w:cs="黑体"/>
          <w:b w:val="0"/>
          <w:sz w:val="21"/>
          <w:szCs w:val="21"/>
        </w:rPr>
        <w:t>10</w:t>
      </w:r>
      <w:r>
        <w:rPr>
          <w:rFonts w:hint="eastAsia" w:ascii="黑体" w:hAnsi="黑体" w:eastAsia="黑体" w:cs="黑体"/>
          <w:b w:val="0"/>
          <w:sz w:val="21"/>
          <w:szCs w:val="21"/>
        </w:rPr>
        <w:fldChar w:fldCharType="end"/>
      </w:r>
      <w:r>
        <w:rPr>
          <w:rFonts w:hint="eastAsia" w:ascii="黑体" w:hAnsi="黑体" w:eastAsia="黑体" w:cs="黑体"/>
          <w:b w:val="0"/>
          <w:sz w:val="21"/>
          <w:szCs w:val="21"/>
        </w:rPr>
        <w:fldChar w:fldCharType="end"/>
      </w:r>
    </w:p>
    <w:p>
      <w:pPr>
        <w:pStyle w:val="21"/>
        <w:tabs>
          <w:tab w:val="right" w:leader="dot" w:pos="8296"/>
        </w:tabs>
        <w:adjustRightInd w:val="0"/>
        <w:snapToGrid w:val="0"/>
        <w:spacing w:line="360" w:lineRule="auto"/>
        <w:ind w:left="0" w:leftChars="0" w:firstLine="0" w:firstLineChars="0"/>
        <w:rPr>
          <w:rFonts w:hint="eastAsia" w:ascii="黑体" w:hAnsi="黑体" w:eastAsia="黑体" w:cs="黑体"/>
          <w:b w:val="0"/>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"_Toc154331132" </w:instrText>
      </w:r>
      <w:r>
        <w:rPr>
          <w:rFonts w:hint="eastAsia" w:ascii="黑体" w:hAnsi="黑体" w:eastAsia="黑体" w:cs="黑体"/>
          <w:sz w:val="21"/>
          <w:szCs w:val="21"/>
        </w:rPr>
        <w:fldChar w:fldCharType="separate"/>
      </w:r>
      <w:r>
        <w:rPr>
          <w:rStyle w:val="28"/>
          <w:rFonts w:hint="eastAsia" w:ascii="黑体" w:hAnsi="黑体" w:eastAsia="黑体" w:cs="黑体"/>
          <w:b w:val="0"/>
          <w:sz w:val="21"/>
          <w:szCs w:val="21"/>
        </w:rPr>
        <w:t>2.1 建筑设备</w:t>
      </w:r>
      <w:r>
        <w:rPr>
          <w:rFonts w:hint="eastAsia" w:ascii="黑体" w:hAnsi="黑体" w:eastAsia="黑体" w:cs="黑体"/>
          <w:b w:val="0"/>
          <w:sz w:val="21"/>
          <w:szCs w:val="21"/>
        </w:rPr>
        <w:tab/>
      </w:r>
      <w:r>
        <w:rPr>
          <w:rFonts w:hint="eastAsia" w:ascii="黑体" w:hAnsi="黑体" w:eastAsia="黑体" w:cs="黑体"/>
          <w:b w:val="0"/>
          <w:sz w:val="21"/>
          <w:szCs w:val="21"/>
        </w:rPr>
        <w:fldChar w:fldCharType="begin"/>
      </w:r>
      <w:r>
        <w:rPr>
          <w:rFonts w:hint="eastAsia" w:ascii="黑体" w:hAnsi="黑体" w:eastAsia="黑体" w:cs="黑体"/>
          <w:b w:val="0"/>
          <w:sz w:val="21"/>
          <w:szCs w:val="21"/>
        </w:rPr>
        <w:instrText xml:space="preserve"> PAGEREF _Toc154331132 \h </w:instrText>
      </w:r>
      <w:r>
        <w:rPr>
          <w:rFonts w:hint="eastAsia" w:ascii="黑体" w:hAnsi="黑体" w:eastAsia="黑体" w:cs="黑体"/>
          <w:b w:val="0"/>
          <w:sz w:val="21"/>
          <w:szCs w:val="21"/>
        </w:rPr>
        <w:fldChar w:fldCharType="separate"/>
      </w:r>
      <w:r>
        <w:rPr>
          <w:rFonts w:hint="eastAsia" w:ascii="黑体" w:hAnsi="黑体" w:eastAsia="黑体" w:cs="黑体"/>
          <w:b w:val="0"/>
          <w:sz w:val="21"/>
          <w:szCs w:val="21"/>
        </w:rPr>
        <w:t>10</w:t>
      </w:r>
      <w:r>
        <w:rPr>
          <w:rFonts w:hint="eastAsia" w:ascii="黑体" w:hAnsi="黑体" w:eastAsia="黑体" w:cs="黑体"/>
          <w:b w:val="0"/>
          <w:sz w:val="21"/>
          <w:szCs w:val="21"/>
        </w:rPr>
        <w:fldChar w:fldCharType="end"/>
      </w:r>
      <w:r>
        <w:rPr>
          <w:rFonts w:hint="eastAsia" w:ascii="黑体" w:hAnsi="黑体" w:eastAsia="黑体" w:cs="黑体"/>
          <w:b w:val="0"/>
          <w:sz w:val="21"/>
          <w:szCs w:val="21"/>
        </w:rPr>
        <w:fldChar w:fldCharType="end"/>
      </w:r>
    </w:p>
    <w:p>
      <w:pPr>
        <w:pStyle w:val="18"/>
        <w:adjustRightInd w:val="0"/>
        <w:snapToGrid w:val="0"/>
        <w:spacing w:line="360" w:lineRule="auto"/>
        <w:rPr>
          <w:rFonts w:hint="eastAsia" w:ascii="黑体" w:hAnsi="黑体" w:eastAsia="黑体" w:cs="黑体"/>
          <w:b w:val="0"/>
          <w:iCs w:val="0"/>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"_Toc154331133" </w:instrText>
      </w:r>
      <w:r>
        <w:rPr>
          <w:rFonts w:hint="eastAsia" w:ascii="黑体" w:hAnsi="黑体" w:eastAsia="黑体" w:cs="黑体"/>
          <w:sz w:val="21"/>
          <w:szCs w:val="21"/>
        </w:rPr>
        <w:fldChar w:fldCharType="separate"/>
      </w:r>
      <w:r>
        <w:rPr>
          <w:rStyle w:val="28"/>
          <w:rFonts w:hint="eastAsia" w:ascii="黑体" w:hAnsi="黑体" w:eastAsia="黑体" w:cs="黑体"/>
          <w:b w:val="0"/>
          <w:sz w:val="21"/>
          <w:szCs w:val="21"/>
        </w:rPr>
        <w:t>2.2建筑防火</w:t>
      </w:r>
      <w:r>
        <w:rPr>
          <w:rFonts w:hint="eastAsia" w:ascii="黑体" w:hAnsi="黑体" w:eastAsia="黑体" w:cs="黑体"/>
          <w:b w:val="0"/>
          <w:sz w:val="21"/>
          <w:szCs w:val="21"/>
        </w:rPr>
        <w:tab/>
      </w:r>
      <w:r>
        <w:rPr>
          <w:rFonts w:hint="eastAsia" w:ascii="黑体" w:hAnsi="黑体" w:eastAsia="黑体" w:cs="黑体"/>
          <w:b w:val="0"/>
          <w:sz w:val="21"/>
          <w:szCs w:val="21"/>
        </w:rPr>
        <w:fldChar w:fldCharType="begin"/>
      </w:r>
      <w:r>
        <w:rPr>
          <w:rFonts w:hint="eastAsia" w:ascii="黑体" w:hAnsi="黑体" w:eastAsia="黑体" w:cs="黑体"/>
          <w:b w:val="0"/>
          <w:sz w:val="21"/>
          <w:szCs w:val="21"/>
        </w:rPr>
        <w:instrText xml:space="preserve"> PAGEREF _Toc154331133 \h </w:instrText>
      </w:r>
      <w:r>
        <w:rPr>
          <w:rFonts w:hint="eastAsia" w:ascii="黑体" w:hAnsi="黑体" w:eastAsia="黑体" w:cs="黑体"/>
          <w:b w:val="0"/>
          <w:sz w:val="21"/>
          <w:szCs w:val="21"/>
        </w:rPr>
        <w:fldChar w:fldCharType="separate"/>
      </w:r>
      <w:r>
        <w:rPr>
          <w:rFonts w:hint="eastAsia" w:ascii="黑体" w:hAnsi="黑体" w:eastAsia="黑体" w:cs="黑体"/>
          <w:b w:val="0"/>
          <w:sz w:val="21"/>
          <w:szCs w:val="21"/>
        </w:rPr>
        <w:t>15</w:t>
      </w:r>
      <w:r>
        <w:rPr>
          <w:rFonts w:hint="eastAsia" w:ascii="黑体" w:hAnsi="黑体" w:eastAsia="黑体" w:cs="黑体"/>
          <w:b w:val="0"/>
          <w:sz w:val="21"/>
          <w:szCs w:val="21"/>
        </w:rPr>
        <w:fldChar w:fldCharType="end"/>
      </w:r>
      <w:r>
        <w:rPr>
          <w:rFonts w:hint="eastAsia" w:ascii="黑体" w:hAnsi="黑体" w:eastAsia="黑体" w:cs="黑体"/>
          <w:b w:val="0"/>
          <w:sz w:val="21"/>
          <w:szCs w:val="21"/>
        </w:rPr>
        <w:fldChar w:fldCharType="end"/>
      </w:r>
    </w:p>
    <w:p>
      <w:pPr>
        <w:pStyle w:val="18"/>
        <w:adjustRightInd w:val="0"/>
        <w:snapToGrid w:val="0"/>
        <w:spacing w:line="360" w:lineRule="auto"/>
        <w:rPr>
          <w:rFonts w:hint="eastAsia" w:ascii="黑体" w:hAnsi="黑体" w:eastAsia="黑体" w:cs="黑体"/>
          <w:b w:val="0"/>
          <w:iCs w:val="0"/>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"_Toc154331134" </w:instrText>
      </w:r>
      <w:r>
        <w:rPr>
          <w:rFonts w:hint="eastAsia" w:ascii="黑体" w:hAnsi="黑体" w:eastAsia="黑体" w:cs="黑体"/>
          <w:sz w:val="21"/>
          <w:szCs w:val="21"/>
        </w:rPr>
        <w:fldChar w:fldCharType="separate"/>
      </w:r>
      <w:r>
        <w:rPr>
          <w:rStyle w:val="28"/>
          <w:rFonts w:hint="eastAsia" w:ascii="黑体" w:hAnsi="黑体" w:eastAsia="黑体" w:cs="黑体"/>
          <w:b w:val="0"/>
          <w:sz w:val="21"/>
          <w:szCs w:val="21"/>
        </w:rPr>
        <w:t>2.3建筑节能</w:t>
      </w:r>
      <w:r>
        <w:rPr>
          <w:rFonts w:hint="eastAsia" w:ascii="黑体" w:hAnsi="黑体" w:eastAsia="黑体" w:cs="黑体"/>
          <w:b w:val="0"/>
          <w:sz w:val="21"/>
          <w:szCs w:val="21"/>
        </w:rPr>
        <w:tab/>
      </w:r>
      <w:r>
        <w:rPr>
          <w:rFonts w:hint="eastAsia" w:ascii="黑体" w:hAnsi="黑体" w:eastAsia="黑体" w:cs="黑体"/>
          <w:b w:val="0"/>
          <w:sz w:val="21"/>
          <w:szCs w:val="21"/>
        </w:rPr>
        <w:fldChar w:fldCharType="begin"/>
      </w:r>
      <w:r>
        <w:rPr>
          <w:rFonts w:hint="eastAsia" w:ascii="黑体" w:hAnsi="黑体" w:eastAsia="黑体" w:cs="黑体"/>
          <w:b w:val="0"/>
          <w:sz w:val="21"/>
          <w:szCs w:val="21"/>
        </w:rPr>
        <w:instrText xml:space="preserve"> PAGEREF _Toc154331134 \h </w:instrText>
      </w:r>
      <w:r>
        <w:rPr>
          <w:rFonts w:hint="eastAsia" w:ascii="黑体" w:hAnsi="黑体" w:eastAsia="黑体" w:cs="黑体"/>
          <w:b w:val="0"/>
          <w:sz w:val="21"/>
          <w:szCs w:val="21"/>
        </w:rPr>
        <w:fldChar w:fldCharType="separate"/>
      </w:r>
      <w:r>
        <w:rPr>
          <w:rFonts w:hint="eastAsia" w:ascii="黑体" w:hAnsi="黑体" w:eastAsia="黑体" w:cs="黑体"/>
          <w:b w:val="0"/>
          <w:sz w:val="21"/>
          <w:szCs w:val="21"/>
        </w:rPr>
        <w:t>22</w:t>
      </w:r>
      <w:r>
        <w:rPr>
          <w:rFonts w:hint="eastAsia" w:ascii="黑体" w:hAnsi="黑体" w:eastAsia="黑体" w:cs="黑体"/>
          <w:b w:val="0"/>
          <w:sz w:val="21"/>
          <w:szCs w:val="21"/>
        </w:rPr>
        <w:fldChar w:fldCharType="end"/>
      </w:r>
      <w:r>
        <w:rPr>
          <w:rFonts w:hint="eastAsia" w:ascii="黑体" w:hAnsi="黑体" w:eastAsia="黑体" w:cs="黑体"/>
          <w:b w:val="0"/>
          <w:sz w:val="21"/>
          <w:szCs w:val="21"/>
        </w:rPr>
        <w:fldChar w:fldCharType="end"/>
      </w:r>
    </w:p>
    <w:p>
      <w:pPr>
        <w:pStyle w:val="18"/>
        <w:adjustRightInd w:val="0"/>
        <w:snapToGrid w:val="0"/>
        <w:spacing w:line="360" w:lineRule="auto"/>
        <w:rPr>
          <w:rFonts w:hint="eastAsia" w:ascii="黑体" w:hAnsi="黑体" w:eastAsia="黑体" w:cs="黑体"/>
          <w:b w:val="0"/>
          <w:iCs w:val="0"/>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"_Toc154331135" </w:instrText>
      </w:r>
      <w:r>
        <w:rPr>
          <w:rFonts w:hint="eastAsia" w:ascii="黑体" w:hAnsi="黑体" w:eastAsia="黑体" w:cs="黑体"/>
          <w:sz w:val="21"/>
          <w:szCs w:val="21"/>
        </w:rPr>
        <w:fldChar w:fldCharType="separate"/>
      </w:r>
      <w:r>
        <w:rPr>
          <w:rStyle w:val="28"/>
          <w:rFonts w:hint="eastAsia" w:ascii="黑体" w:hAnsi="黑体" w:eastAsia="黑体" w:cs="黑体"/>
          <w:b w:val="0"/>
          <w:sz w:val="21"/>
          <w:szCs w:val="21"/>
        </w:rPr>
        <w:t>2.4引用标准名录及条款号</w:t>
      </w:r>
      <w:r>
        <w:rPr>
          <w:rFonts w:hint="eastAsia" w:ascii="黑体" w:hAnsi="黑体" w:eastAsia="黑体" w:cs="黑体"/>
          <w:b w:val="0"/>
          <w:sz w:val="21"/>
          <w:szCs w:val="21"/>
        </w:rPr>
        <w:tab/>
      </w:r>
      <w:r>
        <w:rPr>
          <w:rFonts w:hint="eastAsia" w:ascii="黑体" w:hAnsi="黑体" w:eastAsia="黑体" w:cs="黑体"/>
          <w:b w:val="0"/>
          <w:sz w:val="21"/>
          <w:szCs w:val="21"/>
        </w:rPr>
        <w:fldChar w:fldCharType="begin"/>
      </w:r>
      <w:r>
        <w:rPr>
          <w:rFonts w:hint="eastAsia" w:ascii="黑体" w:hAnsi="黑体" w:eastAsia="黑体" w:cs="黑体"/>
          <w:b w:val="0"/>
          <w:sz w:val="21"/>
          <w:szCs w:val="21"/>
        </w:rPr>
        <w:instrText xml:space="preserve"> PAGEREF _Toc154331135 \h </w:instrText>
      </w:r>
      <w:r>
        <w:rPr>
          <w:rFonts w:hint="eastAsia" w:ascii="黑体" w:hAnsi="黑体" w:eastAsia="黑体" w:cs="黑体"/>
          <w:b w:val="0"/>
          <w:sz w:val="21"/>
          <w:szCs w:val="21"/>
        </w:rPr>
        <w:fldChar w:fldCharType="separate"/>
      </w:r>
      <w:r>
        <w:rPr>
          <w:rFonts w:hint="eastAsia" w:ascii="黑体" w:hAnsi="黑体" w:eastAsia="黑体" w:cs="黑体"/>
          <w:b w:val="0"/>
          <w:sz w:val="21"/>
          <w:szCs w:val="21"/>
        </w:rPr>
        <w:t>24</w:t>
      </w:r>
      <w:r>
        <w:rPr>
          <w:rFonts w:hint="eastAsia" w:ascii="黑体" w:hAnsi="黑体" w:eastAsia="黑体" w:cs="黑体"/>
          <w:b w:val="0"/>
          <w:sz w:val="21"/>
          <w:szCs w:val="21"/>
        </w:rPr>
        <w:fldChar w:fldCharType="end"/>
      </w:r>
      <w:r>
        <w:rPr>
          <w:rFonts w:hint="eastAsia" w:ascii="黑体" w:hAnsi="黑体" w:eastAsia="黑体" w:cs="黑体"/>
          <w:b w:val="0"/>
          <w:sz w:val="21"/>
          <w:szCs w:val="21"/>
        </w:rPr>
        <w:fldChar w:fldCharType="end"/>
      </w:r>
    </w:p>
    <w:p>
      <w:pPr>
        <w:pStyle w:val="18"/>
        <w:adjustRightInd w:val="0"/>
        <w:snapToGrid w:val="0"/>
        <w:spacing w:line="360" w:lineRule="auto"/>
        <w:rPr>
          <w:rFonts w:hint="eastAsia" w:ascii="黑体" w:hAnsi="黑体" w:eastAsia="黑体" w:cs="黑体"/>
          <w:b w:val="0"/>
          <w:iCs w:val="0"/>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"_Toc154331136" </w:instrText>
      </w:r>
      <w:r>
        <w:rPr>
          <w:rFonts w:hint="eastAsia" w:ascii="黑体" w:hAnsi="黑体" w:eastAsia="黑体" w:cs="黑体"/>
          <w:sz w:val="21"/>
          <w:szCs w:val="21"/>
        </w:rPr>
        <w:fldChar w:fldCharType="separate"/>
      </w:r>
      <w:r>
        <w:rPr>
          <w:rStyle w:val="28"/>
          <w:rFonts w:hint="eastAsia" w:ascii="黑体" w:hAnsi="黑体" w:eastAsia="黑体" w:cs="黑体"/>
          <w:b w:val="0"/>
          <w:sz w:val="21"/>
          <w:szCs w:val="21"/>
        </w:rPr>
        <w:t>三、电气专业</w:t>
      </w:r>
      <w:r>
        <w:rPr>
          <w:rFonts w:hint="eastAsia" w:ascii="黑体" w:hAnsi="黑体" w:eastAsia="黑体" w:cs="黑体"/>
          <w:b w:val="0"/>
          <w:sz w:val="21"/>
          <w:szCs w:val="21"/>
        </w:rPr>
        <w:tab/>
      </w:r>
      <w:r>
        <w:rPr>
          <w:rFonts w:hint="eastAsia" w:ascii="黑体" w:hAnsi="黑体" w:eastAsia="黑体" w:cs="黑体"/>
          <w:b w:val="0"/>
          <w:sz w:val="21"/>
          <w:szCs w:val="21"/>
        </w:rPr>
        <w:fldChar w:fldCharType="begin"/>
      </w:r>
      <w:r>
        <w:rPr>
          <w:rFonts w:hint="eastAsia" w:ascii="黑体" w:hAnsi="黑体" w:eastAsia="黑体" w:cs="黑体"/>
          <w:b w:val="0"/>
          <w:sz w:val="21"/>
          <w:szCs w:val="21"/>
        </w:rPr>
        <w:instrText xml:space="preserve"> PAGEREF _Toc154331136 \h </w:instrText>
      </w:r>
      <w:r>
        <w:rPr>
          <w:rFonts w:hint="eastAsia" w:ascii="黑体" w:hAnsi="黑体" w:eastAsia="黑体" w:cs="黑体"/>
          <w:b w:val="0"/>
          <w:sz w:val="21"/>
          <w:szCs w:val="21"/>
        </w:rPr>
        <w:fldChar w:fldCharType="separate"/>
      </w:r>
      <w:r>
        <w:rPr>
          <w:rFonts w:hint="eastAsia" w:ascii="黑体" w:hAnsi="黑体" w:eastAsia="黑体" w:cs="黑体"/>
          <w:b w:val="0"/>
          <w:sz w:val="21"/>
          <w:szCs w:val="21"/>
        </w:rPr>
        <w:t>25</w:t>
      </w:r>
      <w:r>
        <w:rPr>
          <w:rFonts w:hint="eastAsia" w:ascii="黑体" w:hAnsi="黑体" w:eastAsia="黑体" w:cs="黑体"/>
          <w:b w:val="0"/>
          <w:sz w:val="21"/>
          <w:szCs w:val="21"/>
        </w:rPr>
        <w:fldChar w:fldCharType="end"/>
      </w:r>
      <w:r>
        <w:rPr>
          <w:rFonts w:hint="eastAsia" w:ascii="黑体" w:hAnsi="黑体" w:eastAsia="黑体" w:cs="黑体"/>
          <w:b w:val="0"/>
          <w:sz w:val="21"/>
          <w:szCs w:val="21"/>
        </w:rPr>
        <w:fldChar w:fldCharType="end"/>
      </w:r>
    </w:p>
    <w:p>
      <w:pPr>
        <w:pStyle w:val="18"/>
        <w:adjustRightInd w:val="0"/>
        <w:snapToGrid w:val="0"/>
        <w:spacing w:line="360" w:lineRule="auto"/>
        <w:rPr>
          <w:rFonts w:hint="eastAsia" w:ascii="黑体" w:hAnsi="黑体" w:eastAsia="黑体" w:cs="黑体"/>
          <w:b w:val="0"/>
          <w:iCs w:val="0"/>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"_Toc154331137" </w:instrText>
      </w:r>
      <w:r>
        <w:rPr>
          <w:rFonts w:hint="eastAsia" w:ascii="黑体" w:hAnsi="黑体" w:eastAsia="黑体" w:cs="黑体"/>
          <w:sz w:val="21"/>
          <w:szCs w:val="21"/>
        </w:rPr>
        <w:fldChar w:fldCharType="separate"/>
      </w:r>
      <w:r>
        <w:rPr>
          <w:rStyle w:val="28"/>
          <w:rFonts w:hint="eastAsia" w:ascii="黑体" w:hAnsi="黑体" w:eastAsia="黑体" w:cs="黑体"/>
          <w:b w:val="0"/>
          <w:sz w:val="21"/>
          <w:szCs w:val="21"/>
        </w:rPr>
        <w:t>3.1建筑设备</w:t>
      </w:r>
      <w:r>
        <w:rPr>
          <w:rFonts w:hint="eastAsia" w:ascii="黑体" w:hAnsi="黑体" w:eastAsia="黑体" w:cs="黑体"/>
          <w:b w:val="0"/>
          <w:sz w:val="21"/>
          <w:szCs w:val="21"/>
        </w:rPr>
        <w:tab/>
      </w:r>
      <w:r>
        <w:rPr>
          <w:rFonts w:hint="eastAsia" w:ascii="黑体" w:hAnsi="黑体" w:eastAsia="黑体" w:cs="黑体"/>
          <w:b w:val="0"/>
          <w:sz w:val="21"/>
          <w:szCs w:val="21"/>
        </w:rPr>
        <w:fldChar w:fldCharType="begin"/>
      </w:r>
      <w:r>
        <w:rPr>
          <w:rFonts w:hint="eastAsia" w:ascii="黑体" w:hAnsi="黑体" w:eastAsia="黑体" w:cs="黑体"/>
          <w:b w:val="0"/>
          <w:sz w:val="21"/>
          <w:szCs w:val="21"/>
        </w:rPr>
        <w:instrText xml:space="preserve"> PAGEREF _Toc154331137 \h </w:instrText>
      </w:r>
      <w:r>
        <w:rPr>
          <w:rFonts w:hint="eastAsia" w:ascii="黑体" w:hAnsi="黑体" w:eastAsia="黑体" w:cs="黑体"/>
          <w:b w:val="0"/>
          <w:sz w:val="21"/>
          <w:szCs w:val="21"/>
        </w:rPr>
        <w:fldChar w:fldCharType="separate"/>
      </w:r>
      <w:r>
        <w:rPr>
          <w:rFonts w:hint="eastAsia" w:ascii="黑体" w:hAnsi="黑体" w:eastAsia="黑体" w:cs="黑体"/>
          <w:b w:val="0"/>
          <w:sz w:val="21"/>
          <w:szCs w:val="21"/>
        </w:rPr>
        <w:t>25</w:t>
      </w:r>
      <w:r>
        <w:rPr>
          <w:rFonts w:hint="eastAsia" w:ascii="黑体" w:hAnsi="黑体" w:eastAsia="黑体" w:cs="黑体"/>
          <w:b w:val="0"/>
          <w:sz w:val="21"/>
          <w:szCs w:val="21"/>
        </w:rPr>
        <w:fldChar w:fldCharType="end"/>
      </w:r>
      <w:r>
        <w:rPr>
          <w:rFonts w:hint="eastAsia" w:ascii="黑体" w:hAnsi="黑体" w:eastAsia="黑体" w:cs="黑体"/>
          <w:b w:val="0"/>
          <w:sz w:val="21"/>
          <w:szCs w:val="21"/>
        </w:rPr>
        <w:fldChar w:fldCharType="end"/>
      </w:r>
    </w:p>
    <w:p>
      <w:pPr>
        <w:pStyle w:val="18"/>
        <w:adjustRightInd w:val="0"/>
        <w:snapToGrid w:val="0"/>
        <w:spacing w:line="360" w:lineRule="auto"/>
        <w:rPr>
          <w:rFonts w:hint="eastAsia" w:ascii="黑体" w:hAnsi="黑体" w:eastAsia="黑体" w:cs="黑体"/>
          <w:b w:val="0"/>
          <w:iCs w:val="0"/>
          <w:sz w:val="21"/>
          <w:szCs w:val="21"/>
          <w:lang w:val="en-US" w:eastAsia="zh-CN"/>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"_Toc154331138" </w:instrText>
      </w:r>
      <w:r>
        <w:rPr>
          <w:rFonts w:hint="eastAsia" w:ascii="黑体" w:hAnsi="黑体" w:eastAsia="黑体" w:cs="黑体"/>
          <w:sz w:val="21"/>
          <w:szCs w:val="21"/>
        </w:rPr>
        <w:fldChar w:fldCharType="separate"/>
      </w:r>
      <w:r>
        <w:rPr>
          <w:rStyle w:val="28"/>
          <w:rFonts w:hint="eastAsia" w:ascii="黑体" w:hAnsi="黑体" w:eastAsia="黑体" w:cs="黑体"/>
          <w:b w:val="0"/>
          <w:sz w:val="21"/>
          <w:szCs w:val="21"/>
        </w:rPr>
        <w:t>3.2 建筑防火</w:t>
      </w:r>
      <w:r>
        <w:rPr>
          <w:rFonts w:hint="eastAsia" w:ascii="黑体" w:hAnsi="黑体" w:eastAsia="黑体" w:cs="黑体"/>
          <w:b w:val="0"/>
          <w:sz w:val="21"/>
          <w:szCs w:val="21"/>
        </w:rPr>
        <w:tab/>
      </w:r>
      <w:r>
        <w:rPr>
          <w:rFonts w:hint="eastAsia" w:ascii="黑体" w:hAnsi="黑体" w:eastAsia="黑体" w:cs="黑体"/>
          <w:b w:val="0"/>
          <w:sz w:val="21"/>
          <w:szCs w:val="21"/>
          <w:lang w:val="en-US" w:eastAsia="zh-CN"/>
        </w:rPr>
        <w:t>2</w:t>
      </w:r>
      <w:r>
        <w:rPr>
          <w:rFonts w:hint="eastAsia" w:ascii="黑体" w:hAnsi="黑体" w:eastAsia="黑体" w:cs="黑体"/>
          <w:b w:val="0"/>
          <w:sz w:val="21"/>
          <w:szCs w:val="21"/>
        </w:rPr>
        <w:fldChar w:fldCharType="end"/>
      </w:r>
      <w:r>
        <w:rPr>
          <w:rFonts w:hint="eastAsia" w:ascii="黑体" w:hAnsi="黑体" w:eastAsia="黑体" w:cs="黑体"/>
          <w:b w:val="0"/>
          <w:sz w:val="21"/>
          <w:szCs w:val="21"/>
          <w:lang w:val="en-US" w:eastAsia="zh-CN"/>
        </w:rPr>
        <w:t>7</w:t>
      </w:r>
    </w:p>
    <w:p>
      <w:pPr>
        <w:pStyle w:val="18"/>
        <w:adjustRightInd w:val="0"/>
        <w:snapToGrid w:val="0"/>
        <w:spacing w:line="360" w:lineRule="auto"/>
        <w:rPr>
          <w:rFonts w:hint="eastAsia" w:ascii="黑体" w:hAnsi="黑体" w:eastAsia="黑体" w:cs="黑体"/>
          <w:b w:val="0"/>
          <w:iCs w:val="0"/>
          <w:sz w:val="21"/>
          <w:szCs w:val="21"/>
          <w:lang w:val="en-US" w:eastAsia="zh-CN"/>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"_Toc154331139" </w:instrText>
      </w:r>
      <w:r>
        <w:rPr>
          <w:rFonts w:hint="eastAsia" w:ascii="黑体" w:hAnsi="黑体" w:eastAsia="黑体" w:cs="黑体"/>
          <w:sz w:val="21"/>
          <w:szCs w:val="21"/>
        </w:rPr>
        <w:fldChar w:fldCharType="separate"/>
      </w:r>
      <w:r>
        <w:rPr>
          <w:rStyle w:val="28"/>
          <w:rFonts w:hint="eastAsia" w:ascii="黑体" w:hAnsi="黑体" w:eastAsia="黑体" w:cs="黑体"/>
          <w:b w:val="0"/>
          <w:sz w:val="21"/>
          <w:szCs w:val="21"/>
        </w:rPr>
        <w:t>3.3 建筑节能</w:t>
      </w:r>
      <w:r>
        <w:rPr>
          <w:rFonts w:hint="eastAsia" w:ascii="黑体" w:hAnsi="黑体" w:eastAsia="黑体" w:cs="黑体"/>
          <w:b w:val="0"/>
          <w:sz w:val="21"/>
          <w:szCs w:val="21"/>
        </w:rPr>
        <w:tab/>
      </w:r>
      <w:r>
        <w:rPr>
          <w:rFonts w:hint="eastAsia" w:ascii="黑体" w:hAnsi="黑体" w:eastAsia="黑体" w:cs="黑体"/>
          <w:b w:val="0"/>
          <w:sz w:val="21"/>
          <w:szCs w:val="21"/>
          <w:lang w:val="en-US" w:eastAsia="zh-CN"/>
        </w:rPr>
        <w:t>2</w:t>
      </w:r>
      <w:r>
        <w:rPr>
          <w:rFonts w:hint="eastAsia" w:ascii="黑体" w:hAnsi="黑体" w:eastAsia="黑体" w:cs="黑体"/>
          <w:b w:val="0"/>
          <w:sz w:val="21"/>
          <w:szCs w:val="21"/>
        </w:rPr>
        <w:fldChar w:fldCharType="end"/>
      </w:r>
      <w:r>
        <w:rPr>
          <w:rFonts w:hint="eastAsia" w:ascii="黑体" w:hAnsi="黑体" w:eastAsia="黑体" w:cs="黑体"/>
          <w:b w:val="0"/>
          <w:sz w:val="21"/>
          <w:szCs w:val="21"/>
          <w:lang w:val="en-US" w:eastAsia="zh-CN"/>
        </w:rPr>
        <w:t>9</w:t>
      </w:r>
    </w:p>
    <w:p>
      <w:pPr>
        <w:pStyle w:val="18"/>
        <w:adjustRightInd w:val="0"/>
        <w:snapToGrid w:val="0"/>
        <w:spacing w:line="360" w:lineRule="auto"/>
        <w:rPr>
          <w:rFonts w:hint="eastAsia" w:ascii="黑体" w:hAnsi="黑体" w:eastAsia="黑体" w:cs="黑体"/>
          <w:b w:val="0"/>
          <w:iCs w:val="0"/>
          <w:sz w:val="21"/>
          <w:szCs w:val="21"/>
          <w:lang w:val="en-US" w:eastAsia="zh-CN"/>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"_Toc154331140" </w:instrText>
      </w:r>
      <w:r>
        <w:rPr>
          <w:rFonts w:hint="eastAsia" w:ascii="黑体" w:hAnsi="黑体" w:eastAsia="黑体" w:cs="黑体"/>
          <w:sz w:val="21"/>
          <w:szCs w:val="21"/>
        </w:rPr>
        <w:fldChar w:fldCharType="separate"/>
      </w:r>
      <w:r>
        <w:rPr>
          <w:rStyle w:val="28"/>
          <w:rFonts w:hint="eastAsia" w:ascii="黑体" w:hAnsi="黑体" w:eastAsia="黑体" w:cs="黑体"/>
          <w:b w:val="0"/>
          <w:sz w:val="21"/>
          <w:szCs w:val="21"/>
        </w:rPr>
        <w:t>3.4 引用标准目录及条款号</w:t>
      </w:r>
      <w:r>
        <w:rPr>
          <w:rFonts w:hint="eastAsia" w:ascii="黑体" w:hAnsi="黑体" w:eastAsia="黑体" w:cs="黑体"/>
          <w:b w:val="0"/>
          <w:sz w:val="21"/>
          <w:szCs w:val="21"/>
        </w:rPr>
        <w:tab/>
      </w:r>
      <w:r>
        <w:rPr>
          <w:rFonts w:hint="eastAsia" w:ascii="黑体" w:hAnsi="黑体" w:eastAsia="黑体" w:cs="黑体"/>
          <w:b w:val="0"/>
          <w:sz w:val="21"/>
          <w:szCs w:val="21"/>
          <w:lang w:val="en-US" w:eastAsia="zh-CN"/>
        </w:rPr>
        <w:t>3</w:t>
      </w:r>
      <w:r>
        <w:rPr>
          <w:rFonts w:hint="eastAsia" w:ascii="黑体" w:hAnsi="黑体" w:eastAsia="黑体" w:cs="黑体"/>
          <w:b w:val="0"/>
          <w:sz w:val="21"/>
          <w:szCs w:val="21"/>
        </w:rPr>
        <w:fldChar w:fldCharType="end"/>
      </w:r>
      <w:r>
        <w:rPr>
          <w:rFonts w:hint="eastAsia" w:ascii="黑体" w:hAnsi="黑体" w:eastAsia="黑体" w:cs="黑体"/>
          <w:b w:val="0"/>
          <w:sz w:val="21"/>
          <w:szCs w:val="21"/>
          <w:lang w:val="en-US" w:eastAsia="zh-CN"/>
        </w:rPr>
        <w:t>2</w:t>
      </w:r>
    </w:p>
    <w:p>
      <w:pPr>
        <w:pStyle w:val="18"/>
        <w:adjustRightInd w:val="0"/>
        <w:snapToGrid w:val="0"/>
        <w:spacing w:line="360" w:lineRule="auto"/>
        <w:rPr>
          <w:rFonts w:hint="eastAsia" w:ascii="黑体" w:hAnsi="黑体" w:eastAsia="黑体" w:cs="黑体"/>
          <w:b w:val="0"/>
          <w:iCs w:val="0"/>
          <w:sz w:val="21"/>
          <w:szCs w:val="21"/>
          <w:lang w:val="en-US" w:eastAsia="zh-CN"/>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"_Toc154331141" </w:instrText>
      </w:r>
      <w:r>
        <w:rPr>
          <w:rFonts w:hint="eastAsia" w:ascii="黑体" w:hAnsi="黑体" w:eastAsia="黑体" w:cs="黑体"/>
          <w:sz w:val="21"/>
          <w:szCs w:val="21"/>
        </w:rPr>
        <w:fldChar w:fldCharType="separate"/>
      </w:r>
      <w:r>
        <w:rPr>
          <w:rStyle w:val="28"/>
          <w:rFonts w:hint="eastAsia" w:ascii="黑体" w:hAnsi="黑体" w:eastAsia="黑体" w:cs="黑体"/>
          <w:b w:val="0"/>
          <w:sz w:val="21"/>
          <w:szCs w:val="21"/>
        </w:rPr>
        <w:t>四、动力专业</w:t>
      </w:r>
      <w:r>
        <w:rPr>
          <w:rFonts w:hint="eastAsia" w:ascii="黑体" w:hAnsi="黑体" w:eastAsia="黑体" w:cs="黑体"/>
          <w:b w:val="0"/>
          <w:sz w:val="21"/>
          <w:szCs w:val="21"/>
        </w:rPr>
        <w:tab/>
      </w:r>
      <w:r>
        <w:rPr>
          <w:rFonts w:hint="eastAsia" w:ascii="黑体" w:hAnsi="黑体" w:eastAsia="黑体" w:cs="黑体"/>
          <w:b w:val="0"/>
          <w:sz w:val="21"/>
          <w:szCs w:val="21"/>
          <w:lang w:val="en-US" w:eastAsia="zh-CN"/>
        </w:rPr>
        <w:t>3</w:t>
      </w:r>
      <w:r>
        <w:rPr>
          <w:rFonts w:hint="eastAsia" w:ascii="黑体" w:hAnsi="黑体" w:eastAsia="黑体" w:cs="黑体"/>
          <w:b w:val="0"/>
          <w:sz w:val="21"/>
          <w:szCs w:val="21"/>
        </w:rPr>
        <w:fldChar w:fldCharType="end"/>
      </w:r>
      <w:r>
        <w:rPr>
          <w:rFonts w:hint="eastAsia" w:ascii="黑体" w:hAnsi="黑体" w:eastAsia="黑体" w:cs="黑体"/>
          <w:b w:val="0"/>
          <w:sz w:val="21"/>
          <w:szCs w:val="21"/>
          <w:lang w:val="en-US" w:eastAsia="zh-CN"/>
        </w:rPr>
        <w:t>3</w:t>
      </w:r>
    </w:p>
    <w:p>
      <w:pPr>
        <w:pStyle w:val="18"/>
        <w:adjustRightInd w:val="0"/>
        <w:snapToGrid w:val="0"/>
        <w:spacing w:line="360" w:lineRule="auto"/>
        <w:rPr>
          <w:rFonts w:hint="eastAsia" w:ascii="黑体" w:hAnsi="黑体" w:eastAsia="黑体" w:cs="黑体"/>
          <w:b w:val="0"/>
          <w:iCs w:val="0"/>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"_Toc154331142" </w:instrText>
      </w:r>
      <w:r>
        <w:rPr>
          <w:rFonts w:hint="eastAsia" w:ascii="黑体" w:hAnsi="黑体" w:eastAsia="黑体" w:cs="黑体"/>
          <w:sz w:val="21"/>
          <w:szCs w:val="21"/>
        </w:rPr>
        <w:fldChar w:fldCharType="separate"/>
      </w:r>
      <w:r>
        <w:rPr>
          <w:rStyle w:val="28"/>
          <w:rFonts w:hint="eastAsia" w:ascii="黑体" w:hAnsi="黑体" w:eastAsia="黑体" w:cs="黑体"/>
          <w:b w:val="0"/>
          <w:sz w:val="21"/>
          <w:szCs w:val="21"/>
        </w:rPr>
        <w:t>4.1建筑设备</w:t>
      </w:r>
      <w:r>
        <w:rPr>
          <w:rFonts w:hint="eastAsia" w:ascii="黑体" w:hAnsi="黑体" w:eastAsia="黑体" w:cs="黑体"/>
          <w:b w:val="0"/>
          <w:sz w:val="21"/>
          <w:szCs w:val="21"/>
        </w:rPr>
        <w:tab/>
      </w:r>
      <w:r>
        <w:rPr>
          <w:rFonts w:hint="eastAsia" w:ascii="黑体" w:hAnsi="黑体" w:eastAsia="黑体" w:cs="黑体"/>
          <w:b w:val="0"/>
          <w:sz w:val="21"/>
          <w:szCs w:val="21"/>
        </w:rPr>
        <w:fldChar w:fldCharType="begin"/>
      </w:r>
      <w:r>
        <w:rPr>
          <w:rFonts w:hint="eastAsia" w:ascii="黑体" w:hAnsi="黑体" w:eastAsia="黑体" w:cs="黑体"/>
          <w:b w:val="0"/>
          <w:sz w:val="21"/>
          <w:szCs w:val="21"/>
        </w:rPr>
        <w:instrText xml:space="preserve"> PAGEREF _Toc154331142 \h </w:instrText>
      </w:r>
      <w:r>
        <w:rPr>
          <w:rFonts w:hint="eastAsia" w:ascii="黑体" w:hAnsi="黑体" w:eastAsia="黑体" w:cs="黑体"/>
          <w:b w:val="0"/>
          <w:sz w:val="21"/>
          <w:szCs w:val="21"/>
        </w:rPr>
        <w:fldChar w:fldCharType="separate"/>
      </w:r>
      <w:r>
        <w:rPr>
          <w:rFonts w:hint="eastAsia" w:ascii="黑体" w:hAnsi="黑体" w:eastAsia="黑体" w:cs="黑体"/>
          <w:b w:val="0"/>
          <w:sz w:val="21"/>
          <w:szCs w:val="21"/>
        </w:rPr>
        <w:t>33</w:t>
      </w:r>
      <w:r>
        <w:rPr>
          <w:rFonts w:hint="eastAsia" w:ascii="黑体" w:hAnsi="黑体" w:eastAsia="黑体" w:cs="黑体"/>
          <w:b w:val="0"/>
          <w:sz w:val="21"/>
          <w:szCs w:val="21"/>
        </w:rPr>
        <w:fldChar w:fldCharType="end"/>
      </w:r>
      <w:r>
        <w:rPr>
          <w:rFonts w:hint="eastAsia" w:ascii="黑体" w:hAnsi="黑体" w:eastAsia="黑体" w:cs="黑体"/>
          <w:b w:val="0"/>
          <w:sz w:val="21"/>
          <w:szCs w:val="21"/>
        </w:rPr>
        <w:fldChar w:fldCharType="end"/>
      </w:r>
    </w:p>
    <w:p>
      <w:pPr>
        <w:pStyle w:val="18"/>
        <w:adjustRightInd w:val="0"/>
        <w:snapToGrid w:val="0"/>
        <w:spacing w:line="360" w:lineRule="auto"/>
        <w:rPr>
          <w:rFonts w:hint="eastAsia" w:ascii="黑体" w:hAnsi="黑体" w:eastAsia="黑体" w:cs="黑体"/>
          <w:b w:val="0"/>
          <w:iCs w:val="0"/>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"_Toc154331143" </w:instrText>
      </w:r>
      <w:r>
        <w:rPr>
          <w:rFonts w:hint="eastAsia" w:ascii="黑体" w:hAnsi="黑体" w:eastAsia="黑体" w:cs="黑体"/>
          <w:sz w:val="21"/>
          <w:szCs w:val="21"/>
        </w:rPr>
        <w:fldChar w:fldCharType="separate"/>
      </w:r>
      <w:r>
        <w:rPr>
          <w:rStyle w:val="28"/>
          <w:rFonts w:hint="eastAsia" w:ascii="黑体" w:hAnsi="黑体" w:eastAsia="黑体" w:cs="黑体"/>
          <w:b w:val="0"/>
          <w:sz w:val="21"/>
          <w:szCs w:val="21"/>
        </w:rPr>
        <w:t>4.2引用标准名录及条款号</w:t>
      </w:r>
      <w:r>
        <w:rPr>
          <w:rFonts w:hint="eastAsia" w:ascii="黑体" w:hAnsi="黑体" w:eastAsia="黑体" w:cs="黑体"/>
          <w:b w:val="0"/>
          <w:sz w:val="21"/>
          <w:szCs w:val="21"/>
        </w:rPr>
        <w:tab/>
      </w:r>
      <w:r>
        <w:rPr>
          <w:rFonts w:hint="eastAsia" w:ascii="黑体" w:hAnsi="黑体" w:eastAsia="黑体" w:cs="黑体"/>
          <w:b w:val="0"/>
          <w:sz w:val="21"/>
          <w:szCs w:val="21"/>
        </w:rPr>
        <w:fldChar w:fldCharType="begin"/>
      </w:r>
      <w:r>
        <w:rPr>
          <w:rFonts w:hint="eastAsia" w:ascii="黑体" w:hAnsi="黑体" w:eastAsia="黑体" w:cs="黑体"/>
          <w:b w:val="0"/>
          <w:sz w:val="21"/>
          <w:szCs w:val="21"/>
        </w:rPr>
        <w:instrText xml:space="preserve"> PAGEREF _Toc154331143 \h </w:instrText>
      </w:r>
      <w:r>
        <w:rPr>
          <w:rFonts w:hint="eastAsia" w:ascii="黑体" w:hAnsi="黑体" w:eastAsia="黑体" w:cs="黑体"/>
          <w:b w:val="0"/>
          <w:sz w:val="21"/>
          <w:szCs w:val="21"/>
        </w:rPr>
        <w:fldChar w:fldCharType="separate"/>
      </w:r>
      <w:r>
        <w:rPr>
          <w:rFonts w:hint="eastAsia" w:ascii="黑体" w:hAnsi="黑体" w:eastAsia="黑体" w:cs="黑体"/>
          <w:b w:val="0"/>
          <w:sz w:val="21"/>
          <w:szCs w:val="21"/>
        </w:rPr>
        <w:t>36</w:t>
      </w:r>
      <w:r>
        <w:rPr>
          <w:rFonts w:hint="eastAsia" w:ascii="黑体" w:hAnsi="黑体" w:eastAsia="黑体" w:cs="黑体"/>
          <w:b w:val="0"/>
          <w:sz w:val="21"/>
          <w:szCs w:val="21"/>
        </w:rPr>
        <w:fldChar w:fldCharType="end"/>
      </w:r>
      <w:r>
        <w:rPr>
          <w:rFonts w:hint="eastAsia" w:ascii="黑体" w:hAnsi="黑体" w:eastAsia="黑体" w:cs="黑体"/>
          <w:b w:val="0"/>
          <w:sz w:val="21"/>
          <w:szCs w:val="21"/>
        </w:rPr>
        <w:fldChar w:fldCharType="end"/>
      </w:r>
    </w:p>
    <w:p>
      <w:pPr>
        <w:pStyle w:val="18"/>
        <w:adjustRightInd w:val="0"/>
        <w:snapToGrid w:val="0"/>
        <w:spacing w:line="360" w:lineRule="auto"/>
        <w:rPr>
          <w:rFonts w:hint="eastAsia" w:ascii="黑体" w:hAnsi="黑体" w:eastAsia="黑体" w:cs="黑体"/>
          <w:b w:val="0"/>
          <w:iCs w:val="0"/>
          <w:sz w:val="21"/>
          <w:szCs w:val="21"/>
        </w:rPr>
      </w:pP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\l "_Toc154331144" </w:instrText>
      </w:r>
      <w:r>
        <w:rPr>
          <w:rFonts w:hint="eastAsia" w:ascii="黑体" w:hAnsi="黑体" w:eastAsia="黑体" w:cs="黑体"/>
          <w:sz w:val="21"/>
          <w:szCs w:val="21"/>
        </w:rPr>
        <w:fldChar w:fldCharType="separate"/>
      </w:r>
      <w:r>
        <w:rPr>
          <w:rStyle w:val="28"/>
          <w:rFonts w:hint="eastAsia" w:ascii="黑体" w:hAnsi="黑体" w:eastAsia="黑体" w:cs="黑体"/>
          <w:b w:val="0"/>
          <w:sz w:val="21"/>
          <w:szCs w:val="21"/>
        </w:rPr>
        <w:t>附：相关规范性文件</w:t>
      </w:r>
      <w:r>
        <w:rPr>
          <w:rFonts w:hint="eastAsia" w:ascii="黑体" w:hAnsi="黑体" w:eastAsia="黑体" w:cs="黑体"/>
          <w:b w:val="0"/>
          <w:sz w:val="21"/>
          <w:szCs w:val="21"/>
        </w:rPr>
        <w:tab/>
      </w:r>
      <w:r>
        <w:rPr>
          <w:rFonts w:hint="eastAsia" w:ascii="黑体" w:hAnsi="黑体" w:eastAsia="黑体" w:cs="黑体"/>
          <w:b w:val="0"/>
          <w:sz w:val="21"/>
          <w:szCs w:val="21"/>
        </w:rPr>
        <w:fldChar w:fldCharType="begin"/>
      </w:r>
      <w:r>
        <w:rPr>
          <w:rFonts w:hint="eastAsia" w:ascii="黑体" w:hAnsi="黑体" w:eastAsia="黑体" w:cs="黑体"/>
          <w:b w:val="0"/>
          <w:sz w:val="21"/>
          <w:szCs w:val="21"/>
        </w:rPr>
        <w:instrText xml:space="preserve"> PAGEREF _Toc154331144 \h </w:instrText>
      </w:r>
      <w:r>
        <w:rPr>
          <w:rFonts w:hint="eastAsia" w:ascii="黑体" w:hAnsi="黑体" w:eastAsia="黑体" w:cs="黑体"/>
          <w:b w:val="0"/>
          <w:sz w:val="21"/>
          <w:szCs w:val="21"/>
        </w:rPr>
        <w:fldChar w:fldCharType="separate"/>
      </w:r>
      <w:r>
        <w:rPr>
          <w:rFonts w:hint="eastAsia" w:ascii="黑体" w:hAnsi="黑体" w:eastAsia="黑体" w:cs="黑体"/>
          <w:b w:val="0"/>
          <w:sz w:val="21"/>
          <w:szCs w:val="21"/>
        </w:rPr>
        <w:t>37</w:t>
      </w:r>
      <w:r>
        <w:rPr>
          <w:rFonts w:hint="eastAsia" w:ascii="黑体" w:hAnsi="黑体" w:eastAsia="黑体" w:cs="黑体"/>
          <w:b w:val="0"/>
          <w:sz w:val="21"/>
          <w:szCs w:val="21"/>
        </w:rPr>
        <w:fldChar w:fldCharType="end"/>
      </w:r>
      <w:r>
        <w:rPr>
          <w:rFonts w:hint="eastAsia" w:ascii="黑体" w:hAnsi="黑体" w:eastAsia="黑体" w:cs="黑体"/>
          <w:b w:val="0"/>
          <w:sz w:val="21"/>
          <w:szCs w:val="21"/>
        </w:rPr>
        <w:fldChar w:fldCharType="end"/>
      </w:r>
    </w:p>
    <w:p>
      <w:pPr>
        <w:adjustRightInd w:val="0"/>
        <w:snapToGrid w:val="0"/>
        <w:spacing w:line="360" w:lineRule="auto"/>
        <w:ind w:firstLine="420" w:firstLineChars="200"/>
        <w:rPr>
          <w:rFonts w:ascii="Arial" w:hAnsi="Arial" w:eastAsia="黑体" w:cs="Arial"/>
          <w:bCs/>
          <w:sz w:val="24"/>
          <w:szCs w:val="24"/>
        </w:rPr>
        <w:sectPr>
          <w:footerReference r:id="rId3" w:type="default"/>
          <w:pgSz w:w="11906" w:h="16838"/>
          <w:pgMar w:top="1440" w:right="1800" w:bottom="1440" w:left="1800" w:header="851" w:footer="659" w:gutter="0"/>
          <w:pgNumType w:start="1"/>
          <w:cols w:space="720" w:num="1"/>
          <w:docGrid w:type="lines" w:linePitch="312" w:charSpace="0"/>
        </w:sectPr>
      </w:pPr>
      <w:r>
        <w:rPr>
          <w:rFonts w:hint="eastAsia" w:ascii="黑体" w:hAnsi="黑体" w:eastAsia="黑体" w:cs="黑体"/>
          <w:bCs/>
          <w:iCs/>
          <w:sz w:val="21"/>
          <w:szCs w:val="21"/>
        </w:rPr>
        <w:fldChar w:fldCharType="end"/>
      </w:r>
      <w:bookmarkEnd w:id="0"/>
      <w:bookmarkStart w:id="9" w:name="_Toc436312659"/>
      <w:bookmarkEnd w:id="9"/>
      <w:bookmarkStart w:id="10" w:name="_Toc428954475"/>
      <w:bookmarkEnd w:id="10"/>
      <w:bookmarkStart w:id="11" w:name="_Toc436312658"/>
      <w:bookmarkEnd w:id="11"/>
      <w:bookmarkStart w:id="12" w:name="2.3__建筑节能"/>
      <w:bookmarkEnd w:id="12"/>
      <w:bookmarkStart w:id="13" w:name="_Toc528678216"/>
      <w:bookmarkEnd w:id="13"/>
      <w:bookmarkStart w:id="14" w:name="_Toc428954476"/>
      <w:bookmarkEnd w:id="14"/>
      <w:bookmarkStart w:id="15" w:name="_Toc528678214"/>
      <w:bookmarkEnd w:id="15"/>
      <w:bookmarkStart w:id="16" w:name="_Toc428954477"/>
      <w:bookmarkEnd w:id="16"/>
      <w:bookmarkStart w:id="17" w:name="_Toc528678215"/>
      <w:bookmarkEnd w:id="17"/>
      <w:bookmarkStart w:id="18" w:name="_Toc528678441"/>
      <w:bookmarkEnd w:id="18"/>
      <w:bookmarkStart w:id="19" w:name="bookmark8"/>
      <w:bookmarkEnd w:id="19"/>
      <w:bookmarkStart w:id="20" w:name="_Toc436312657"/>
      <w:bookmarkEnd w:id="20"/>
      <w:bookmarkStart w:id="21" w:name="_Toc528678440"/>
      <w:bookmarkEnd w:id="21"/>
      <w:bookmarkStart w:id="22" w:name="_Toc528678439"/>
      <w:bookmarkEnd w:id="22"/>
      <w:bookmarkStart w:id="23" w:name="_Toc436312660"/>
      <w:bookmarkStart w:id="24" w:name="_Toc154331127"/>
      <w:bookmarkStart w:id="25" w:name="_Toc405369256"/>
      <w:bookmarkStart w:id="26" w:name="_Toc436312673"/>
    </w:p>
    <w:p>
      <w:pPr>
        <w:pStyle w:val="2"/>
        <w:adjustRightInd w:val="0"/>
        <w:snapToGrid w:val="0"/>
        <w:spacing w:before="240" w:after="240"/>
        <w:ind w:left="0" w:firstLine="0"/>
        <w:rPr>
          <w:rFonts w:hint="eastAsia"/>
        </w:rPr>
      </w:pPr>
      <w:r>
        <w:rPr>
          <w:rFonts w:hint="eastAsia"/>
        </w:rPr>
        <w:t>一、给排水专业</w:t>
      </w:r>
      <w:bookmarkEnd w:id="23"/>
      <w:bookmarkEnd w:id="24"/>
    </w:p>
    <w:p>
      <w:pPr>
        <w:pStyle w:val="2"/>
        <w:adjustRightInd w:val="0"/>
        <w:snapToGrid w:val="0"/>
        <w:spacing w:before="240" w:after="240" w:line="480" w:lineRule="auto"/>
        <w:rPr>
          <w:rFonts w:cs="Arial"/>
          <w:sz w:val="32"/>
          <w:szCs w:val="32"/>
        </w:rPr>
      </w:pPr>
      <w:bookmarkStart w:id="27" w:name="_Toc154331128"/>
      <w:bookmarkStart w:id="28" w:name="_Toc436312661"/>
      <w:r>
        <w:rPr>
          <w:rFonts w:cs="Arial"/>
          <w:sz w:val="32"/>
          <w:szCs w:val="32"/>
        </w:rPr>
        <w:t>1.1建筑设备</w:t>
      </w:r>
      <w:bookmarkEnd w:id="27"/>
      <w:bookmarkEnd w:id="28"/>
    </w:p>
    <w:p>
      <w:pPr>
        <w:adjustRightInd w:val="0"/>
        <w:snapToGrid w:val="0"/>
        <w:spacing w:line="360" w:lineRule="auto"/>
        <w:rPr>
          <w:rFonts w:ascii="Arial" w:hAnsi="Arial" w:eastAsia="黑体" w:cs="Arial"/>
          <w:sz w:val="24"/>
        </w:rPr>
      </w:pPr>
      <w:r>
        <w:rPr>
          <w:rFonts w:ascii="Arial" w:hAnsi="Arial" w:eastAsia="黑体" w:cs="Arial"/>
          <w:sz w:val="24"/>
        </w:rPr>
        <w:t>《住宅设计标准》DGJ08-20-20</w:t>
      </w:r>
      <w:r>
        <w:rPr>
          <w:rFonts w:hint="eastAsia" w:ascii="Arial" w:hAnsi="Arial" w:eastAsia="黑体" w:cs="Arial"/>
          <w:sz w:val="24"/>
        </w:rPr>
        <w:t>19及（2022年局部修订）</w:t>
      </w:r>
    </w:p>
    <w:p>
      <w:pPr>
        <w:adjustRightInd w:val="0"/>
        <w:snapToGrid w:val="0"/>
        <w:spacing w:line="360" w:lineRule="auto"/>
        <w:rPr>
          <w:rStyle w:val="29"/>
          <w:kern w:val="0"/>
        </w:rPr>
      </w:pPr>
      <w:r>
        <w:rPr>
          <w:rFonts w:hint="eastAsia" w:ascii="宋体" w:hAnsi="宋体"/>
          <w:b/>
          <w:bCs/>
          <w:color w:val="000000"/>
          <w:sz w:val="24"/>
        </w:rPr>
        <w:t>10.0.3</w:t>
      </w:r>
      <w:r>
        <w:rPr>
          <w:rFonts w:hint="eastAsia" w:ascii="Arial" w:hAnsi="Arial" w:cs="Arial"/>
          <w:sz w:val="24"/>
          <w:lang w:val="en-US" w:eastAsia="zh-CN"/>
        </w:rPr>
        <w:t xml:space="preserve"> </w:t>
      </w:r>
      <w:r>
        <w:rPr>
          <w:rFonts w:hint="eastAsia" w:ascii="Arial" w:hAnsi="Arial" w:cs="Arial"/>
          <w:sz w:val="24"/>
        </w:rPr>
        <w:t>叠压供水设计方案应经供水部门批准认可。</w:t>
      </w:r>
    </w:p>
    <w:p>
      <w:pPr>
        <w:adjustRightInd w:val="0"/>
        <w:snapToGrid w:val="0"/>
        <w:spacing w:line="360" w:lineRule="auto"/>
        <w:rPr>
          <w:rFonts w:ascii="Arial" w:hAnsi="Arial" w:cs="Arial"/>
          <w:sz w:val="24"/>
        </w:rPr>
      </w:pPr>
      <w:r>
        <w:rPr>
          <w:rFonts w:hint="eastAsia" w:ascii="宋体" w:hAnsi="宋体"/>
          <w:b/>
          <w:bCs/>
          <w:color w:val="000000"/>
          <w:sz w:val="24"/>
        </w:rPr>
        <w:t>10.0.16</w:t>
      </w:r>
      <w:r>
        <w:rPr>
          <w:rFonts w:hint="eastAsia" w:ascii="宋体" w:hAnsi="宋体"/>
          <w:b/>
          <w:bCs/>
          <w:color w:val="000000"/>
          <w:sz w:val="24"/>
          <w:lang w:val="en-US" w:eastAsia="zh-CN"/>
        </w:rPr>
        <w:t xml:space="preserve"> </w:t>
      </w:r>
      <w:r>
        <w:rPr>
          <w:rFonts w:hint="eastAsia" w:ascii="Arial" w:hAnsi="Arial" w:cs="Arial"/>
          <w:sz w:val="24"/>
        </w:rPr>
        <w:t>室内外热水管、贮热水箱、热交换器等均应保温。当家用热水器等给水设施在室外或与室外空间直接连接的阳台、设备平台时，应选用防冻类型的设备。</w:t>
      </w:r>
    </w:p>
    <w:p>
      <w:pPr>
        <w:adjustRightInd w:val="0"/>
        <w:snapToGrid w:val="0"/>
        <w:spacing w:line="360" w:lineRule="auto"/>
        <w:rPr>
          <w:rFonts w:hint="eastAsia" w:ascii="宋体" w:hAnsi="宋体"/>
          <w:sz w:val="24"/>
        </w:rPr>
      </w:pPr>
      <w:r>
        <w:rPr>
          <w:rFonts w:hint="eastAsia" w:ascii="宋体" w:hAnsi="宋体"/>
          <w:b/>
          <w:bCs/>
          <w:color w:val="000000"/>
          <w:sz w:val="24"/>
        </w:rPr>
        <w:drawing>
          <wp:anchor distT="0" distB="0" distL="114300" distR="114300" simplePos="0" relativeHeight="251659264" behindDoc="0" locked="0" layoutInCell="1" allowOverlap="1">
            <wp:simplePos x="0" y="0"/>
            <wp:positionH relativeFrom="column">
              <wp:posOffset>5538470</wp:posOffset>
            </wp:positionH>
            <wp:positionV relativeFrom="paragraph">
              <wp:posOffset>433070</wp:posOffset>
            </wp:positionV>
            <wp:extent cx="635" cy="635"/>
            <wp:effectExtent l="0" t="0" r="0" b="0"/>
            <wp:wrapNone/>
            <wp:docPr id="2" name="墨迹 2"/>
            <wp:cNvGraphicFramePr>
              <a:graphicFrameLocks xmlns:a="http://schemas.openxmlformats.org/drawingml/2006/main" noGrp="true" noChangeAspect="true"/>
            </wp:cNvGraphicFramePr>
            <a:graphic xmlns:a="http://schemas.openxmlformats.org/drawingml/2006/main">
              <a:graphicData uri="http://schemas.openxmlformats.org/drawingml/2006/picture">
                <pic:pic xmlns:pic="http://schemas.openxmlformats.org/drawingml/2006/picture">
                  <pic:nvPicPr>
                    <pic:cNvPr id="2" name="墨迹 2"/>
                    <pic:cNvPicPr>
                      <a:picLocks noGrp="true" noChangeAspect="true" noChangeArrowheads="true"/>
                    </pic:cNvPicPr>
                  </pic:nvPicPr>
                  <pic:blipFill>
                    <a:blip r:embed="rId9"/>
                    <a:srcRect/>
                    <a:stretch>
                      <a:fillRect/>
                    </a:stretch>
                  </pic:blipFill>
                  <pic:spPr>
                    <a:xfrm>
                      <a:off x="0" y="0"/>
                      <a:ext cx="635" cy="635"/>
                    </a:xfrm>
                    <a:prstGeom prst="rect">
                      <a:avLst/>
                    </a:prstGeom>
                    <a:noFill/>
                    <a:ln w="9525" cmpd="sng">
                      <a:noFill/>
                      <a:miter lim="800000"/>
                      <a:headEnd/>
                      <a:tailEnd/>
                    </a:ln>
                  </pic:spPr>
                </pic:pic>
              </a:graphicData>
            </a:graphic>
          </wp:anchor>
        </w:drawing>
      </w:r>
      <w:r>
        <w:rPr>
          <w:rFonts w:hint="eastAsia" w:ascii="宋体" w:hAnsi="宋体"/>
          <w:b/>
          <w:bCs/>
          <w:color w:val="000000"/>
          <w:sz w:val="24"/>
        </w:rPr>
        <w:t>10.0.21</w:t>
      </w:r>
      <w:r>
        <w:rPr>
          <w:rFonts w:hint="eastAsia" w:ascii="Arial" w:hAnsi="Arial" w:cs="Arial"/>
          <w:sz w:val="24"/>
        </w:rPr>
        <w:t xml:space="preserve"> 水泵应选用低噪声节能型水泵。卫生器具和配件应采用节水型产品。</w:t>
      </w:r>
      <w:r>
        <w:rPr>
          <w:rFonts w:hint="eastAsia" w:ascii="宋体" w:hAnsi="宋体"/>
          <w:sz w:val="24"/>
        </w:rPr>
        <w:t>排水管道应选用降噪、静音管材。</w:t>
      </w:r>
    </w:p>
    <w:p>
      <w:pPr>
        <w:adjustRightInd w:val="0"/>
        <w:snapToGrid w:val="0"/>
        <w:spacing w:line="360" w:lineRule="auto"/>
        <w:rPr>
          <w:rFonts w:ascii="Arial" w:hAnsi="Arial" w:cs="Arial"/>
          <w:sz w:val="24"/>
        </w:rPr>
      </w:pPr>
    </w:p>
    <w:p>
      <w:pPr>
        <w:adjustRightInd w:val="0"/>
        <w:snapToGrid w:val="0"/>
        <w:spacing w:line="360" w:lineRule="auto"/>
        <w:rPr>
          <w:rFonts w:ascii="Arial" w:hAnsi="Arial" w:eastAsia="黑体" w:cs="Arial"/>
          <w:sz w:val="24"/>
        </w:rPr>
      </w:pPr>
      <w:r>
        <w:rPr>
          <w:rFonts w:hint="eastAsia" w:ascii="黑体" w:hAnsi="黑体" w:eastAsia="黑体" w:cs="黑体"/>
          <w:color w:val="000000"/>
          <w:sz w:val="24"/>
        </w:rPr>
        <w:t>《</w:t>
      </w:r>
      <w:r>
        <w:rPr>
          <w:rFonts w:hint="eastAsia" w:ascii="黑体" w:hAnsi="黑体" w:eastAsia="黑体" w:cs="黑体"/>
          <w:kern w:val="0"/>
          <w:sz w:val="24"/>
        </w:rPr>
        <w:t>保障性住房设计标准（共有产权保障住房和征收安置房分册）</w:t>
      </w:r>
      <w:r>
        <w:rPr>
          <w:rFonts w:hint="eastAsia" w:ascii="黑体" w:hAnsi="黑体" w:eastAsia="黑体" w:cs="黑体"/>
          <w:color w:val="000000"/>
          <w:sz w:val="24"/>
        </w:rPr>
        <w:t>》</w:t>
      </w:r>
      <w:r>
        <w:rPr>
          <w:rFonts w:hint="eastAsia" w:ascii="黑体" w:hAnsi="黑体" w:eastAsia="黑体" w:cs="黑体"/>
          <w:kern w:val="0"/>
          <w:sz w:val="24"/>
        </w:rPr>
        <w:t xml:space="preserve">   </w:t>
      </w:r>
      <w:r>
        <w:rPr>
          <w:rFonts w:hint="eastAsia" w:ascii="Arial" w:hAnsi="Arial" w:eastAsia="黑体" w:cs="Arial"/>
          <w:sz w:val="24"/>
        </w:rPr>
        <w:t>DG/TJ08-2291—2019（2022年局部修订）</w:t>
      </w:r>
    </w:p>
    <w:p>
      <w:pPr>
        <w:adjustRightInd w:val="0"/>
        <w:snapToGrid w:val="0"/>
        <w:spacing w:line="360" w:lineRule="auto"/>
        <w:rPr>
          <w:rFonts w:hint="eastAsia" w:ascii="宋体" w:hAnsi="宋体"/>
          <w:color w:val="000000"/>
          <w:sz w:val="24"/>
        </w:rPr>
      </w:pPr>
      <w:r>
        <w:rPr>
          <w:rFonts w:hint="eastAsia" w:ascii="宋体" w:hAnsi="宋体"/>
          <w:b/>
          <w:bCs/>
          <w:color w:val="000000"/>
          <w:sz w:val="24"/>
        </w:rPr>
        <w:t>9.2.4</w:t>
      </w:r>
      <w:r>
        <w:rPr>
          <w:rFonts w:hint="eastAsia" w:ascii="宋体" w:hAnsi="宋体"/>
          <w:color w:val="000000"/>
          <w:sz w:val="24"/>
        </w:rPr>
        <w:t xml:space="preserve"> 室外明露和公共部位有可能冰冻的给水、消防管道及屋顶生活水箱应采用防冻措施。相应管路上的附属装置应具备防冻功能或采取防冻措施，当家用热水器等给水设施设置在敞开阳台、室外设备平台时，应选用防冻类型的设备。</w:t>
      </w:r>
    </w:p>
    <w:p>
      <w:pPr>
        <w:adjustRightInd w:val="0"/>
        <w:snapToGrid w:val="0"/>
        <w:spacing w:line="360" w:lineRule="auto"/>
        <w:rPr>
          <w:rFonts w:ascii="宋体" w:hAnsi="宋体"/>
          <w:color w:val="000000"/>
          <w:sz w:val="24"/>
        </w:rPr>
      </w:pPr>
    </w:p>
    <w:p>
      <w:pPr>
        <w:adjustRightInd w:val="0"/>
        <w:snapToGrid w:val="0"/>
        <w:spacing w:line="360" w:lineRule="auto"/>
        <w:rPr>
          <w:rFonts w:ascii="Arial" w:hAnsi="Arial" w:eastAsia="黑体" w:cs="Arial"/>
          <w:color w:val="000000"/>
          <w:sz w:val="24"/>
        </w:rPr>
      </w:pPr>
      <w:r>
        <w:rPr>
          <w:rFonts w:hint="eastAsia" w:ascii="Arial" w:hAnsi="Arial" w:eastAsia="黑体" w:cs="Arial"/>
          <w:color w:val="000000"/>
          <w:sz w:val="24"/>
        </w:rPr>
        <w:t>《养老设施建筑设计标准》 DG/TJ08-82-2020</w:t>
      </w:r>
    </w:p>
    <w:p>
      <w:pPr>
        <w:adjustRightInd w:val="0"/>
        <w:snapToGrid w:val="0"/>
        <w:spacing w:line="360" w:lineRule="auto"/>
        <w:rPr>
          <w:rFonts w:ascii="Arial" w:hAnsi="Arial" w:cs="Arial"/>
          <w:color w:val="000000"/>
          <w:sz w:val="24"/>
        </w:rPr>
      </w:pPr>
      <w:r>
        <w:rPr>
          <w:rFonts w:hint="eastAsia" w:ascii="宋体" w:hAnsi="宋体"/>
          <w:b/>
          <w:bCs/>
          <w:color w:val="000000"/>
          <w:sz w:val="24"/>
        </w:rPr>
        <w:t>8.1.4</w:t>
      </w:r>
      <w:r>
        <w:rPr>
          <w:rFonts w:hint="eastAsia" w:ascii="Arial" w:hAnsi="Arial" w:cs="Arial"/>
          <w:color w:val="000000"/>
          <w:sz w:val="24"/>
        </w:rPr>
        <w:t xml:space="preserve"> 给水配件、水泵及加热设备应选用节水型低噪声的产品。</w:t>
      </w:r>
    </w:p>
    <w:p>
      <w:pPr>
        <w:adjustRightInd w:val="0"/>
        <w:snapToGrid w:val="0"/>
        <w:spacing w:line="360" w:lineRule="auto"/>
        <w:rPr>
          <w:rFonts w:ascii="Arial" w:hAnsi="Arial" w:cs="Arial"/>
          <w:color w:val="000000"/>
          <w:sz w:val="24"/>
        </w:rPr>
      </w:pPr>
    </w:p>
    <w:p>
      <w:pPr>
        <w:adjustRightInd w:val="0"/>
        <w:snapToGrid w:val="0"/>
        <w:spacing w:line="360" w:lineRule="auto"/>
        <w:rPr>
          <w:rFonts w:ascii="Arial" w:hAnsi="Arial" w:cs="Arial"/>
          <w:color w:val="000000"/>
          <w:sz w:val="24"/>
        </w:rPr>
      </w:pPr>
    </w:p>
    <w:p>
      <w:pPr>
        <w:rPr>
          <w:rFonts w:ascii="Arial" w:hAnsi="Arial" w:cs="Arial"/>
          <w:color w:val="000000"/>
          <w:sz w:val="24"/>
        </w:rPr>
      </w:pPr>
    </w:p>
    <w:p>
      <w:pPr>
        <w:rPr>
          <w:rFonts w:ascii="Arial" w:hAnsi="Arial" w:cs="Arial"/>
          <w:color w:val="000000"/>
          <w:sz w:val="24"/>
        </w:rPr>
      </w:pPr>
    </w:p>
    <w:p>
      <w:pPr>
        <w:rPr>
          <w:rFonts w:ascii="Arial" w:hAnsi="Arial" w:cs="Arial"/>
          <w:color w:val="000000"/>
          <w:sz w:val="24"/>
        </w:rPr>
      </w:pPr>
    </w:p>
    <w:p>
      <w:pPr>
        <w:rPr>
          <w:rFonts w:ascii="Arial" w:hAnsi="Arial" w:cs="Arial"/>
          <w:color w:val="000000"/>
          <w:sz w:val="24"/>
        </w:rPr>
      </w:pPr>
    </w:p>
    <w:p>
      <w:pPr>
        <w:rPr>
          <w:rFonts w:ascii="Arial" w:hAnsi="Arial" w:cs="Arial"/>
          <w:color w:val="000000"/>
          <w:sz w:val="24"/>
        </w:rPr>
      </w:pPr>
    </w:p>
    <w:p>
      <w:pPr>
        <w:rPr>
          <w:rFonts w:ascii="Arial" w:hAnsi="Arial" w:cs="Arial"/>
          <w:color w:val="000000"/>
          <w:sz w:val="24"/>
        </w:rPr>
      </w:pPr>
    </w:p>
    <w:p>
      <w:pPr>
        <w:rPr>
          <w:rFonts w:ascii="Arial" w:hAnsi="Arial" w:cs="Arial"/>
          <w:color w:val="000000"/>
          <w:sz w:val="24"/>
        </w:rPr>
      </w:pPr>
    </w:p>
    <w:p>
      <w:pPr>
        <w:rPr>
          <w:rFonts w:ascii="Arial" w:hAnsi="Arial" w:cs="Arial"/>
          <w:color w:val="000000"/>
          <w:sz w:val="24"/>
        </w:rPr>
      </w:pPr>
    </w:p>
    <w:p>
      <w:pPr>
        <w:rPr>
          <w:rFonts w:ascii="Arial" w:hAnsi="Arial" w:cs="Arial"/>
          <w:color w:val="000000"/>
          <w:sz w:val="24"/>
        </w:rPr>
      </w:pPr>
    </w:p>
    <w:p>
      <w:pPr>
        <w:rPr>
          <w:rFonts w:ascii="Arial" w:hAnsi="Arial" w:cs="Arial"/>
          <w:color w:val="000000"/>
          <w:sz w:val="24"/>
        </w:rPr>
      </w:pPr>
    </w:p>
    <w:p>
      <w:pPr>
        <w:rPr>
          <w:rFonts w:ascii="Arial" w:hAnsi="Arial" w:cs="Arial"/>
          <w:color w:val="000000"/>
          <w:sz w:val="24"/>
        </w:rPr>
      </w:pPr>
    </w:p>
    <w:p>
      <w:pPr>
        <w:rPr>
          <w:rFonts w:ascii="Arial" w:hAnsi="Arial" w:cs="Arial"/>
          <w:color w:val="000000"/>
          <w:sz w:val="24"/>
        </w:rPr>
      </w:pPr>
    </w:p>
    <w:p>
      <w:pPr>
        <w:rPr>
          <w:rFonts w:ascii="Arial" w:hAnsi="Arial" w:cs="Arial"/>
          <w:color w:val="000000"/>
          <w:sz w:val="24"/>
        </w:rPr>
      </w:pPr>
    </w:p>
    <w:p>
      <w:pPr>
        <w:pStyle w:val="2"/>
        <w:adjustRightInd w:val="0"/>
        <w:snapToGrid w:val="0"/>
        <w:spacing w:before="240" w:after="240" w:line="480" w:lineRule="auto"/>
        <w:rPr>
          <w:rFonts w:cs="Arial"/>
          <w:sz w:val="32"/>
          <w:szCs w:val="32"/>
        </w:rPr>
      </w:pPr>
      <w:bookmarkStart w:id="29" w:name="_Toc154331129"/>
      <w:bookmarkStart w:id="30" w:name="_Toc436312662"/>
      <w:bookmarkStart w:id="31" w:name="_Toc405369257"/>
      <w:r>
        <w:rPr>
          <w:rFonts w:cs="Arial"/>
          <w:sz w:val="32"/>
          <w:szCs w:val="32"/>
        </w:rPr>
        <w:t>1.2建筑防火</w:t>
      </w:r>
      <w:bookmarkEnd w:id="29"/>
      <w:bookmarkEnd w:id="30"/>
      <w:bookmarkEnd w:id="31"/>
    </w:p>
    <w:p>
      <w:pPr>
        <w:adjustRightInd w:val="0"/>
        <w:snapToGrid w:val="0"/>
        <w:spacing w:line="360" w:lineRule="auto"/>
        <w:rPr>
          <w:rFonts w:ascii="Arial" w:hAnsi="Arial" w:eastAsia="黑体" w:cs="Arial"/>
          <w:sz w:val="24"/>
        </w:rPr>
      </w:pPr>
      <w:r>
        <w:rPr>
          <w:rFonts w:hint="eastAsia" w:ascii="Arial" w:hAnsi="Arial" w:eastAsia="黑体" w:cs="Arial"/>
          <w:sz w:val="24"/>
        </w:rPr>
        <w:t>《民用建筑水灭火系统设计规程》</w:t>
      </w:r>
      <w:r>
        <w:rPr>
          <w:rFonts w:ascii="Arial" w:hAnsi="Arial" w:eastAsia="黑体" w:cs="Arial"/>
          <w:sz w:val="24"/>
        </w:rPr>
        <w:t>DGJ08-94-2007</w:t>
      </w:r>
    </w:p>
    <w:p>
      <w:pPr>
        <w:adjustRightInd w:val="0"/>
        <w:snapToGrid w:val="0"/>
        <w:spacing w:line="360" w:lineRule="auto"/>
        <w:rPr>
          <w:rFonts w:ascii="宋体" w:hAnsi="宋体"/>
          <w:color w:val="00B0F0"/>
          <w:sz w:val="24"/>
        </w:rPr>
      </w:pPr>
      <w:r>
        <w:rPr>
          <w:rFonts w:hint="eastAsia" w:ascii="宋体" w:hAnsi="宋体"/>
          <w:b/>
          <w:bCs/>
          <w:color w:val="000000"/>
          <w:sz w:val="24"/>
        </w:rPr>
        <w:t>4.2.1</w:t>
      </w:r>
      <w:r>
        <w:rPr>
          <w:rFonts w:hint="eastAsia" w:ascii="宋体" w:hAnsi="宋体"/>
          <w:b/>
          <w:bCs/>
          <w:color w:val="000000"/>
          <w:sz w:val="24"/>
          <w:lang w:val="en-US" w:eastAsia="zh-CN"/>
        </w:rPr>
        <w:t xml:space="preserve"> </w:t>
      </w:r>
      <w:r>
        <w:rPr>
          <w:rFonts w:hint="eastAsia" w:ascii="宋体" w:hAnsi="宋体"/>
          <w:color w:val="000000"/>
          <w:sz w:val="24"/>
        </w:rPr>
        <w:t>居住建筑当符合下列情况之一时应设置湿式系统：</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Fonts w:hint="eastAsia" w:ascii="宋体" w:hAnsi="宋体" w:eastAsia="宋体"/>
          <w:sz w:val="24"/>
          <w:lang w:eastAsia="zh-CN"/>
        </w:rPr>
      </w:pPr>
      <w:r>
        <w:rPr>
          <w:rFonts w:hint="eastAsia" w:ascii="宋体" w:hAnsi="宋体"/>
          <w:b/>
          <w:bCs/>
          <w:color w:val="000000"/>
          <w:sz w:val="24"/>
        </w:rPr>
        <w:t>2</w:t>
      </w:r>
      <w:r>
        <w:rPr>
          <w:rFonts w:hint="eastAsia" w:ascii="宋体" w:hAnsi="宋体"/>
          <w:b/>
          <w:bCs/>
          <w:color w:val="000000"/>
          <w:sz w:val="24"/>
          <w:lang w:val="en-US" w:eastAsia="zh-CN"/>
        </w:rPr>
        <w:t xml:space="preserve"> </w:t>
      </w:r>
      <w:r>
        <w:rPr>
          <w:rFonts w:hint="eastAsia" w:ascii="宋体" w:hAnsi="宋体"/>
          <w:b/>
          <w:bCs/>
          <w:color w:val="000000"/>
          <w:sz w:val="24"/>
        </w:rPr>
        <w:t>……</w:t>
      </w:r>
      <w:r>
        <w:rPr>
          <w:rFonts w:hint="eastAsia" w:ascii="宋体" w:hAnsi="宋体"/>
          <w:sz w:val="24"/>
        </w:rPr>
        <w:t>设有风管集中空调系统的租赁式公寓（含学生公寓）的所有部位</w:t>
      </w:r>
      <w:r>
        <w:rPr>
          <w:rFonts w:hint="eastAsia" w:ascii="宋体" w:hAnsi="宋体"/>
          <w:sz w:val="24"/>
          <w:lang w:eastAsia="zh-CN"/>
        </w:rPr>
        <w:t>。</w:t>
      </w:r>
    </w:p>
    <w:p>
      <w:pPr>
        <w:adjustRightInd w:val="0"/>
        <w:snapToGrid w:val="0"/>
        <w:spacing w:line="360" w:lineRule="auto"/>
        <w:rPr>
          <w:rFonts w:ascii="宋体" w:hAnsi="宋体"/>
          <w:sz w:val="24"/>
        </w:rPr>
      </w:pPr>
      <w:r>
        <w:rPr>
          <w:rFonts w:hint="eastAsia" w:ascii="宋体" w:hAnsi="宋体"/>
          <w:b/>
          <w:bCs/>
          <w:color w:val="000000"/>
          <w:sz w:val="24"/>
        </w:rPr>
        <w:t>4.2.3</w:t>
      </w:r>
      <w:r>
        <w:rPr>
          <w:rFonts w:hint="eastAsia" w:ascii="宋体" w:hAnsi="宋体"/>
          <w:b/>
          <w:bCs/>
          <w:color w:val="000000"/>
          <w:sz w:val="24"/>
          <w:lang w:val="en-US" w:eastAsia="zh-CN"/>
        </w:rPr>
        <w:t xml:space="preserve"> </w:t>
      </w:r>
      <w:r>
        <w:rPr>
          <w:rFonts w:hint="eastAsia" w:ascii="宋体" w:hAnsi="宋体"/>
          <w:sz w:val="24"/>
        </w:rPr>
        <w:t>办公建筑、公寓式办公楼、综合楼、电信楼、财贸金融楼、广播电视楼、电力调度楼、邮政楼、防灾指挥调度楼、图书馆、书库、科研楼、教学楼等公共建筑，当符合下列情况之一时，应设置湿式系统：</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Fonts w:ascii="宋体" w:hAnsi="宋体"/>
          <w:sz w:val="24"/>
        </w:rPr>
      </w:pPr>
      <w:r>
        <w:rPr>
          <w:rFonts w:hint="eastAsia" w:ascii="宋体" w:hAnsi="宋体"/>
          <w:b/>
          <w:bCs/>
          <w:color w:val="000000"/>
          <w:sz w:val="24"/>
        </w:rPr>
        <w:t>1</w:t>
      </w:r>
      <w:r>
        <w:rPr>
          <w:rFonts w:hint="eastAsia" w:ascii="宋体" w:hAnsi="宋体"/>
          <w:b/>
          <w:bCs/>
          <w:color w:val="000000"/>
          <w:sz w:val="24"/>
          <w:lang w:val="en-US" w:eastAsia="zh-CN"/>
        </w:rPr>
        <w:t xml:space="preserve"> </w:t>
      </w:r>
      <w:r>
        <w:rPr>
          <w:rFonts w:hint="eastAsia" w:ascii="宋体" w:hAnsi="宋体"/>
          <w:sz w:val="24"/>
        </w:rPr>
        <w:t>当其为……设有风管集中空调系统的建筑时，其建筑及裙房的所有部位；</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Fonts w:ascii="宋体" w:hAnsi="宋体"/>
          <w:sz w:val="24"/>
        </w:rPr>
      </w:pPr>
      <w:r>
        <w:rPr>
          <w:rFonts w:hint="eastAsia" w:ascii="宋体" w:hAnsi="宋体"/>
          <w:b/>
          <w:bCs/>
          <w:color w:val="000000"/>
          <w:sz w:val="24"/>
        </w:rPr>
        <w:t>3</w:t>
      </w:r>
      <w:r>
        <w:rPr>
          <w:rFonts w:hint="eastAsia" w:ascii="宋体" w:hAnsi="宋体"/>
          <w:b/>
          <w:bCs/>
          <w:color w:val="000000"/>
          <w:sz w:val="24"/>
          <w:lang w:val="en-US" w:eastAsia="zh-CN"/>
        </w:rPr>
        <w:t xml:space="preserve"> </w:t>
      </w:r>
      <w:r>
        <w:rPr>
          <w:rFonts w:hint="eastAsia" w:ascii="宋体" w:hAnsi="宋体"/>
          <w:sz w:val="24"/>
        </w:rPr>
        <w:t>建筑面积大于1000</w:t>
      </w:r>
      <w:r>
        <w:rPr>
          <w:rFonts w:hint="eastAsia"/>
        </w:rPr>
        <w:t>m</w:t>
      </w:r>
      <w:r>
        <w:rPr>
          <w:rFonts w:hint="eastAsia"/>
          <w:vertAlign w:val="superscript"/>
        </w:rPr>
        <w:t>2</w:t>
      </w:r>
      <w:r>
        <w:rPr>
          <w:rFonts w:hint="eastAsia" w:ascii="宋体" w:hAnsi="宋体"/>
          <w:sz w:val="24"/>
        </w:rPr>
        <w:t>且设有风管集中空调系统的多层办公区域的办公室和公共部位；</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Fonts w:ascii="宋体" w:hAnsi="宋体"/>
          <w:sz w:val="24"/>
        </w:rPr>
      </w:pPr>
      <w:r>
        <w:rPr>
          <w:rFonts w:hint="eastAsia" w:ascii="宋体" w:hAnsi="宋体"/>
          <w:b/>
          <w:bCs/>
          <w:color w:val="000000"/>
          <w:sz w:val="24"/>
        </w:rPr>
        <w:t>4</w:t>
      </w:r>
      <w:r>
        <w:rPr>
          <w:rFonts w:hint="eastAsia" w:ascii="宋体" w:hAnsi="宋体"/>
          <w:b/>
          <w:bCs/>
          <w:color w:val="000000"/>
          <w:sz w:val="24"/>
          <w:lang w:val="en-US" w:eastAsia="zh-CN"/>
        </w:rPr>
        <w:t xml:space="preserve"> </w:t>
      </w:r>
      <w:r>
        <w:rPr>
          <w:rFonts w:hint="eastAsia" w:ascii="宋体" w:hAnsi="宋体"/>
          <w:sz w:val="24"/>
        </w:rPr>
        <w:t>邮政楼中建筑面积大于500</w:t>
      </w:r>
      <w:r>
        <w:rPr>
          <w:rFonts w:hint="eastAsia"/>
        </w:rPr>
        <w:t>m</w:t>
      </w:r>
      <w:r>
        <w:rPr>
          <w:rFonts w:hint="eastAsia"/>
          <w:vertAlign w:val="superscript"/>
        </w:rPr>
        <w:t>2</w:t>
      </w:r>
      <w:r>
        <w:rPr>
          <w:rFonts w:hint="eastAsia" w:ascii="宋体" w:hAnsi="宋体"/>
          <w:sz w:val="24"/>
        </w:rPr>
        <w:t>的邮袋库、市级邮政楼的信函和包裹分检间及邮袋库。</w:t>
      </w:r>
    </w:p>
    <w:p>
      <w:pPr>
        <w:adjustRightInd w:val="0"/>
        <w:snapToGrid w:val="0"/>
        <w:spacing w:line="360" w:lineRule="auto"/>
        <w:rPr>
          <w:rFonts w:ascii="宋体" w:hAnsi="宋体"/>
          <w:sz w:val="24"/>
        </w:rPr>
      </w:pPr>
      <w:r>
        <w:rPr>
          <w:rFonts w:hint="eastAsia" w:ascii="宋体" w:hAnsi="宋体"/>
          <w:b/>
          <w:bCs/>
          <w:color w:val="000000"/>
          <w:sz w:val="24"/>
        </w:rPr>
        <w:t>4.2.4</w:t>
      </w:r>
      <w:r>
        <w:rPr>
          <w:rFonts w:hint="eastAsia" w:ascii="宋体" w:hAnsi="宋体"/>
          <w:b/>
          <w:bCs/>
          <w:color w:val="000000"/>
          <w:sz w:val="24"/>
          <w:lang w:val="en-US" w:eastAsia="zh-CN"/>
        </w:rPr>
        <w:t xml:space="preserve"> </w:t>
      </w:r>
      <w:r>
        <w:rPr>
          <w:rFonts w:hint="eastAsia" w:ascii="宋体" w:hAnsi="宋体"/>
          <w:sz w:val="24"/>
        </w:rPr>
        <w:t>办公建筑当符合下列情况之一时应设置自动喷水局部应用系统：</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Fonts w:ascii="宋体" w:hAnsi="宋体"/>
          <w:sz w:val="24"/>
        </w:rPr>
      </w:pPr>
      <w:r>
        <w:rPr>
          <w:rFonts w:hint="eastAsia" w:ascii="宋体" w:hAnsi="宋体"/>
          <w:b/>
          <w:bCs/>
          <w:color w:val="000000"/>
          <w:sz w:val="24"/>
        </w:rPr>
        <w:t>1</w:t>
      </w:r>
      <w:r>
        <w:rPr>
          <w:rFonts w:hint="eastAsia" w:ascii="宋体" w:hAnsi="宋体"/>
          <w:b/>
          <w:bCs/>
          <w:color w:val="000000"/>
          <w:sz w:val="24"/>
          <w:lang w:val="en-US" w:eastAsia="zh-CN"/>
        </w:rPr>
        <w:t xml:space="preserve"> </w:t>
      </w:r>
      <w:r>
        <w:rPr>
          <w:rFonts w:hint="eastAsia" w:ascii="宋体" w:hAnsi="宋体"/>
          <w:sz w:val="24"/>
        </w:rPr>
        <w:t>当建筑面积大于300</w:t>
      </w:r>
      <w:r>
        <w:rPr>
          <w:rFonts w:hint="eastAsia"/>
        </w:rPr>
        <w:t>m</w:t>
      </w:r>
      <w:r>
        <w:rPr>
          <w:rFonts w:hint="eastAsia"/>
          <w:vertAlign w:val="superscript"/>
        </w:rPr>
        <w:t>2</w:t>
      </w:r>
      <w:r>
        <w:rPr>
          <w:rFonts w:hint="eastAsia" w:ascii="宋体" w:hAnsi="宋体"/>
          <w:sz w:val="24"/>
        </w:rPr>
        <w:t>但不大于1000</w:t>
      </w:r>
      <w:r>
        <w:rPr>
          <w:rFonts w:hint="eastAsia"/>
        </w:rPr>
        <w:t>m</w:t>
      </w:r>
      <w:r>
        <w:rPr>
          <w:rFonts w:hint="eastAsia"/>
          <w:vertAlign w:val="superscript"/>
        </w:rPr>
        <w:t>2</w:t>
      </w:r>
      <w:r>
        <w:rPr>
          <w:rFonts w:hint="eastAsia" w:ascii="宋体" w:hAnsi="宋体"/>
          <w:sz w:val="24"/>
        </w:rPr>
        <w:t>且设有风管集中空调系统时，其多层建筑办公区域的办公室和公共部位；</w:t>
      </w:r>
    </w:p>
    <w:p>
      <w:pPr>
        <w:adjustRightInd w:val="0"/>
        <w:snapToGrid w:val="0"/>
        <w:spacing w:line="360" w:lineRule="auto"/>
        <w:rPr>
          <w:rFonts w:ascii="宋体" w:hAnsi="宋体"/>
          <w:sz w:val="24"/>
        </w:rPr>
      </w:pPr>
      <w:r>
        <w:rPr>
          <w:rFonts w:hint="eastAsia" w:ascii="宋体" w:hAnsi="宋体"/>
          <w:b/>
          <w:bCs/>
          <w:color w:val="000000"/>
          <w:sz w:val="24"/>
        </w:rPr>
        <w:t>4.2.5</w:t>
      </w:r>
      <w:r>
        <w:rPr>
          <w:rFonts w:hint="eastAsia" w:ascii="宋体" w:hAnsi="宋体"/>
          <w:b/>
          <w:bCs/>
          <w:color w:val="000000"/>
          <w:sz w:val="24"/>
          <w:lang w:val="en-US" w:eastAsia="zh-CN"/>
        </w:rPr>
        <w:t xml:space="preserve"> </w:t>
      </w:r>
      <w:r>
        <w:rPr>
          <w:rFonts w:hint="eastAsia" w:ascii="宋体" w:hAnsi="宋体"/>
          <w:sz w:val="24"/>
        </w:rPr>
        <w:t>商业楼、商场、超市、商店和市场建筑及部位当符合下列情况之一时应设置湿式系统：</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Fonts w:ascii="宋体" w:hAnsi="宋体"/>
          <w:sz w:val="24"/>
        </w:rPr>
      </w:pPr>
      <w:r>
        <w:rPr>
          <w:rFonts w:hint="eastAsia" w:ascii="宋体" w:hAnsi="宋体"/>
          <w:b/>
          <w:bCs/>
          <w:color w:val="000000"/>
          <w:sz w:val="24"/>
        </w:rPr>
        <w:t>2</w:t>
      </w:r>
      <w:r>
        <w:rPr>
          <w:rFonts w:hint="eastAsia" w:ascii="宋体" w:hAnsi="宋体"/>
          <w:b/>
          <w:bCs/>
          <w:color w:val="000000"/>
          <w:sz w:val="24"/>
          <w:lang w:val="en-US" w:eastAsia="zh-CN"/>
        </w:rPr>
        <w:t xml:space="preserve"> </w:t>
      </w:r>
      <w:r>
        <w:rPr>
          <w:rFonts w:hint="eastAsia" w:ascii="宋体" w:hAnsi="宋体"/>
          <w:sz w:val="24"/>
        </w:rPr>
        <w:t>当其为设有风管集中空调系统的多层建筑时，其所有部位；</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Fonts w:ascii="宋体" w:hAnsi="宋体"/>
          <w:sz w:val="24"/>
        </w:rPr>
      </w:pPr>
      <w:r>
        <w:rPr>
          <w:rFonts w:hint="eastAsia" w:ascii="宋体" w:hAnsi="宋体"/>
          <w:b/>
          <w:bCs/>
          <w:color w:val="000000"/>
          <w:sz w:val="24"/>
        </w:rPr>
        <w:t>3</w:t>
      </w:r>
      <w:r>
        <w:rPr>
          <w:rFonts w:hint="eastAsia" w:ascii="宋体" w:hAnsi="宋体"/>
          <w:b/>
          <w:bCs/>
          <w:color w:val="000000"/>
          <w:sz w:val="24"/>
          <w:lang w:val="en-US" w:eastAsia="zh-CN"/>
        </w:rPr>
        <w:t xml:space="preserve"> </w:t>
      </w:r>
      <w:r>
        <w:rPr>
          <w:rFonts w:hint="eastAsia" w:ascii="宋体" w:hAnsi="宋体"/>
          <w:sz w:val="24"/>
        </w:rPr>
        <w:t>当其建筑面积大于1000</w:t>
      </w:r>
      <w:r>
        <w:rPr>
          <w:rFonts w:hint="eastAsia"/>
        </w:rPr>
        <w:t>m</w:t>
      </w:r>
      <w:r>
        <w:rPr>
          <w:rFonts w:hint="eastAsia"/>
          <w:vertAlign w:val="superscript"/>
        </w:rPr>
        <w:t>2</w:t>
      </w:r>
      <w:r>
        <w:rPr>
          <w:rFonts w:hint="eastAsia" w:ascii="宋体" w:hAnsi="宋体"/>
          <w:sz w:val="24"/>
        </w:rPr>
        <w:t>时，其所有部位。</w:t>
      </w:r>
    </w:p>
    <w:p>
      <w:pPr>
        <w:adjustRightInd w:val="0"/>
        <w:snapToGrid w:val="0"/>
        <w:spacing w:line="360" w:lineRule="auto"/>
        <w:rPr>
          <w:rFonts w:ascii="宋体" w:hAnsi="宋体"/>
          <w:sz w:val="24"/>
        </w:rPr>
      </w:pPr>
      <w:r>
        <w:rPr>
          <w:rFonts w:hint="eastAsia" w:ascii="宋体" w:hAnsi="宋体"/>
          <w:b/>
          <w:bCs/>
          <w:color w:val="000000"/>
          <w:sz w:val="24"/>
        </w:rPr>
        <w:t>4.2.6</w:t>
      </w:r>
      <w:r>
        <w:rPr>
          <w:rFonts w:hint="eastAsia" w:ascii="宋体" w:hAnsi="宋体"/>
          <w:b/>
          <w:bCs/>
          <w:color w:val="000000"/>
          <w:sz w:val="24"/>
          <w:lang w:val="en-US" w:eastAsia="zh-CN"/>
        </w:rPr>
        <w:t xml:space="preserve"> </w:t>
      </w:r>
      <w:r>
        <w:rPr>
          <w:rFonts w:hint="eastAsia" w:ascii="宋体" w:hAnsi="宋体"/>
          <w:sz w:val="24"/>
        </w:rPr>
        <w:t>商业楼、商场、超市、商店和市场建筑及部位当符合下列情况之一时应设置自动喷水局部应用系统：</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Fonts w:ascii="宋体" w:hAnsi="宋体"/>
          <w:sz w:val="24"/>
        </w:rPr>
      </w:pPr>
      <w:r>
        <w:rPr>
          <w:rFonts w:hint="eastAsia" w:ascii="宋体" w:hAnsi="宋体"/>
          <w:b/>
          <w:bCs/>
          <w:color w:val="000000"/>
          <w:sz w:val="24"/>
        </w:rPr>
        <w:t>1</w:t>
      </w:r>
      <w:r>
        <w:rPr>
          <w:rFonts w:hint="eastAsia" w:ascii="宋体" w:hAnsi="宋体"/>
          <w:b/>
          <w:bCs/>
          <w:color w:val="000000"/>
          <w:sz w:val="24"/>
          <w:lang w:val="en-US" w:eastAsia="zh-CN"/>
        </w:rPr>
        <w:t xml:space="preserve"> </w:t>
      </w:r>
      <w:r>
        <w:rPr>
          <w:rFonts w:hint="eastAsia" w:ascii="宋体" w:hAnsi="宋体"/>
          <w:sz w:val="24"/>
        </w:rPr>
        <w:t>当建筑面积大于300</w:t>
      </w:r>
      <w:r>
        <w:rPr>
          <w:rFonts w:hint="eastAsia"/>
        </w:rPr>
        <w:t>m</w:t>
      </w:r>
      <w:r>
        <w:rPr>
          <w:rFonts w:hint="eastAsia"/>
          <w:vertAlign w:val="superscript"/>
        </w:rPr>
        <w:t>2</w:t>
      </w:r>
      <w:r>
        <w:rPr>
          <w:rFonts w:hint="eastAsia" w:ascii="宋体" w:hAnsi="宋体"/>
          <w:sz w:val="24"/>
        </w:rPr>
        <w:t>且不大于1000</w:t>
      </w:r>
      <w:r>
        <w:rPr>
          <w:rFonts w:hint="eastAsia"/>
        </w:rPr>
        <w:t>m</w:t>
      </w:r>
      <w:r>
        <w:rPr>
          <w:rFonts w:hint="eastAsia"/>
          <w:vertAlign w:val="superscript"/>
        </w:rPr>
        <w:t>2</w:t>
      </w:r>
      <w:r>
        <w:rPr>
          <w:rFonts w:hint="eastAsia" w:ascii="宋体" w:hAnsi="宋体"/>
          <w:sz w:val="24"/>
        </w:rPr>
        <w:t>时，其所有部位；</w:t>
      </w:r>
    </w:p>
    <w:p>
      <w:pPr>
        <w:adjustRightInd w:val="0"/>
        <w:snapToGrid w:val="0"/>
        <w:spacing w:line="360" w:lineRule="auto"/>
        <w:rPr>
          <w:rFonts w:ascii="宋体" w:hAnsi="宋体"/>
          <w:sz w:val="24"/>
        </w:rPr>
      </w:pPr>
      <w:r>
        <w:rPr>
          <w:rFonts w:hint="eastAsia" w:ascii="宋体" w:hAnsi="宋体"/>
          <w:b/>
          <w:bCs/>
          <w:color w:val="000000"/>
          <w:sz w:val="24"/>
        </w:rPr>
        <w:t>4.2.7</w:t>
      </w:r>
      <w:r>
        <w:rPr>
          <w:rFonts w:hint="eastAsia" w:ascii="宋体" w:hAnsi="宋体"/>
          <w:b/>
          <w:bCs/>
          <w:color w:val="000000"/>
          <w:sz w:val="24"/>
          <w:lang w:val="en-US" w:eastAsia="zh-CN"/>
        </w:rPr>
        <w:t xml:space="preserve"> </w:t>
      </w:r>
      <w:r>
        <w:rPr>
          <w:rFonts w:hint="eastAsia" w:ascii="宋体" w:hAnsi="宋体"/>
          <w:sz w:val="24"/>
        </w:rPr>
        <w:t>旅馆和宾馆建筑当符合下列情况之一时应设置湿式系统：</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Fonts w:ascii="宋体" w:hAnsi="宋体"/>
          <w:color w:val="000000"/>
          <w:sz w:val="24"/>
        </w:rPr>
      </w:pPr>
      <w:r>
        <w:rPr>
          <w:rFonts w:hint="eastAsia" w:ascii="宋体" w:hAnsi="宋体"/>
          <w:b/>
          <w:bCs/>
          <w:color w:val="000000"/>
          <w:sz w:val="24"/>
        </w:rPr>
        <w:t>1</w:t>
      </w:r>
      <w:r>
        <w:rPr>
          <w:rFonts w:hint="eastAsia" w:ascii="宋体" w:hAnsi="宋体"/>
          <w:b/>
          <w:bCs/>
          <w:color w:val="000000"/>
          <w:sz w:val="24"/>
          <w:lang w:val="en-US" w:eastAsia="zh-CN"/>
        </w:rPr>
        <w:t xml:space="preserve"> </w:t>
      </w:r>
      <w:r>
        <w:rPr>
          <w:rFonts w:hint="eastAsia" w:ascii="宋体" w:hAnsi="宋体"/>
          <w:color w:val="000000"/>
          <w:sz w:val="24"/>
        </w:rPr>
        <w:t>高层建筑和有风管集中空调系统的多层建筑的旅馆和宾馆及其裙房的所有部位；</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Fonts w:ascii="宋体" w:hAnsi="宋体"/>
          <w:color w:val="000000"/>
          <w:sz w:val="24"/>
        </w:rPr>
      </w:pPr>
      <w:r>
        <w:rPr>
          <w:rFonts w:hint="eastAsia" w:ascii="宋体" w:hAnsi="宋体"/>
          <w:b/>
          <w:bCs/>
          <w:color w:val="000000"/>
          <w:sz w:val="24"/>
        </w:rPr>
        <w:t>2</w:t>
      </w:r>
      <w:r>
        <w:rPr>
          <w:rFonts w:hint="eastAsia" w:ascii="宋体" w:hAnsi="宋体"/>
          <w:b/>
          <w:bCs/>
          <w:color w:val="000000"/>
          <w:sz w:val="24"/>
          <w:lang w:val="en-US" w:eastAsia="zh-CN"/>
        </w:rPr>
        <w:t xml:space="preserve"> </w:t>
      </w:r>
      <w:r>
        <w:rPr>
          <w:rFonts w:hint="eastAsia" w:ascii="宋体" w:hAnsi="宋体"/>
          <w:color w:val="000000"/>
          <w:sz w:val="24"/>
        </w:rPr>
        <w:t>总建筑面积大于3000</w:t>
      </w:r>
      <w:r>
        <w:rPr>
          <w:rFonts w:hint="eastAsia"/>
        </w:rPr>
        <w:t>m</w:t>
      </w:r>
      <w:r>
        <w:rPr>
          <w:rFonts w:hint="eastAsia"/>
          <w:vertAlign w:val="superscript"/>
        </w:rPr>
        <w:t>2</w:t>
      </w:r>
      <w:r>
        <w:rPr>
          <w:rFonts w:hint="eastAsia" w:ascii="宋体" w:hAnsi="宋体"/>
          <w:color w:val="000000"/>
          <w:sz w:val="24"/>
        </w:rPr>
        <w:t>或任一楼层面积大于1500</w:t>
      </w:r>
      <w:r>
        <w:rPr>
          <w:rFonts w:hint="eastAsia"/>
        </w:rPr>
        <w:t>m</w:t>
      </w:r>
      <w:r>
        <w:rPr>
          <w:rFonts w:hint="eastAsia"/>
          <w:vertAlign w:val="superscript"/>
        </w:rPr>
        <w:t>2</w:t>
      </w:r>
      <w:r>
        <w:rPr>
          <w:rFonts w:hint="eastAsia" w:ascii="宋体" w:hAnsi="宋体"/>
          <w:color w:val="000000"/>
          <w:sz w:val="24"/>
        </w:rPr>
        <w:t xml:space="preserve">的多层旅馆和宾馆，其所有部位。 </w:t>
      </w:r>
    </w:p>
    <w:p>
      <w:pPr>
        <w:adjustRightInd w:val="0"/>
        <w:snapToGrid w:val="0"/>
        <w:spacing w:line="360" w:lineRule="auto"/>
        <w:rPr>
          <w:rFonts w:ascii="宋体" w:hAnsi="宋体"/>
          <w:sz w:val="24"/>
        </w:rPr>
      </w:pPr>
    </w:p>
    <w:p>
      <w:pPr>
        <w:adjustRightInd w:val="0"/>
        <w:snapToGrid w:val="0"/>
        <w:spacing w:line="360" w:lineRule="auto"/>
        <w:rPr>
          <w:rFonts w:ascii="宋体" w:hAnsi="宋体"/>
          <w:sz w:val="24"/>
        </w:rPr>
      </w:pPr>
      <w:r>
        <w:rPr>
          <w:rFonts w:hint="eastAsia" w:ascii="宋体" w:hAnsi="宋体"/>
          <w:b/>
          <w:bCs/>
          <w:color w:val="000000"/>
          <w:sz w:val="24"/>
        </w:rPr>
        <w:t>4.2.10</w:t>
      </w:r>
      <w:r>
        <w:rPr>
          <w:rFonts w:hint="eastAsia" w:ascii="宋体" w:hAnsi="宋体"/>
          <w:sz w:val="24"/>
        </w:rPr>
        <w:t xml:space="preserve"> 大于3000个座位的体育馆（游泳馆除外）和大于5000人的体育场的室内的观众厅、贵宾室、器材室、人员休息室、办公室和走道等部位应设置湿式系统。</w:t>
      </w:r>
    </w:p>
    <w:p>
      <w:pPr>
        <w:adjustRightInd w:val="0"/>
        <w:snapToGrid w:val="0"/>
        <w:spacing w:line="360" w:lineRule="auto"/>
        <w:rPr>
          <w:rFonts w:ascii="宋体" w:hAnsi="宋体"/>
          <w:sz w:val="24"/>
        </w:rPr>
      </w:pPr>
      <w:r>
        <w:rPr>
          <w:rFonts w:hint="eastAsia" w:ascii="宋体" w:hAnsi="宋体"/>
          <w:b/>
          <w:bCs/>
          <w:color w:val="000000"/>
          <w:sz w:val="24"/>
        </w:rPr>
        <w:t>4.2.12</w:t>
      </w:r>
      <w:r>
        <w:rPr>
          <w:rFonts w:hint="eastAsia" w:ascii="Arial" w:hAnsi="Arial" w:eastAsia="黑体" w:cs="Arial"/>
          <w:sz w:val="24"/>
        </w:rPr>
        <w:t xml:space="preserve"> </w:t>
      </w:r>
      <w:r>
        <w:rPr>
          <w:rFonts w:hint="eastAsia" w:ascii="宋体" w:hAnsi="宋体"/>
          <w:sz w:val="24"/>
        </w:rPr>
        <w:t>当车站、码头、机场的候车（船、机）楼设有风管集中空气调节系统且总建筑面积大于3000</w:t>
      </w:r>
      <w:r>
        <w:rPr>
          <w:rFonts w:hint="eastAsia"/>
        </w:rPr>
        <w:t>m</w:t>
      </w:r>
      <w:r>
        <w:rPr>
          <w:rFonts w:hint="eastAsia"/>
          <w:vertAlign w:val="superscript"/>
        </w:rPr>
        <w:t>2</w:t>
      </w:r>
      <w:r>
        <w:rPr>
          <w:rFonts w:hint="eastAsia" w:ascii="宋体" w:hAnsi="宋体"/>
          <w:sz w:val="24"/>
        </w:rPr>
        <w:t>时，其所有部位应设置湿式系统。</w:t>
      </w:r>
    </w:p>
    <w:p>
      <w:pPr>
        <w:adjustRightInd w:val="0"/>
        <w:snapToGrid w:val="0"/>
        <w:spacing w:line="360" w:lineRule="auto"/>
        <w:rPr>
          <w:rFonts w:ascii="宋体" w:hAnsi="宋体"/>
          <w:sz w:val="24"/>
        </w:rPr>
      </w:pPr>
      <w:r>
        <w:rPr>
          <w:rFonts w:hint="eastAsia" w:ascii="宋体" w:hAnsi="宋体"/>
          <w:b/>
          <w:bCs/>
          <w:color w:val="000000"/>
          <w:sz w:val="24"/>
        </w:rPr>
        <w:t>4.2.15</w:t>
      </w:r>
      <w:r>
        <w:rPr>
          <w:rFonts w:hint="eastAsia" w:ascii="宋体" w:hAnsi="宋体"/>
          <w:sz w:val="24"/>
        </w:rPr>
        <w:t xml:space="preserve"> 建筑面积大于1000</w:t>
      </w:r>
      <w:r>
        <w:rPr>
          <w:rFonts w:hint="eastAsia"/>
        </w:rPr>
        <w:t>m</w:t>
      </w:r>
      <w:r>
        <w:rPr>
          <w:rFonts w:hint="eastAsia"/>
          <w:vertAlign w:val="superscript"/>
        </w:rPr>
        <w:t>2</w:t>
      </w:r>
      <w:r>
        <w:rPr>
          <w:rFonts w:hint="eastAsia" w:ascii="宋体" w:hAnsi="宋体"/>
          <w:sz w:val="24"/>
        </w:rPr>
        <w:t>的地下工程（含人防工程）的所有部位应设置湿式系统。</w:t>
      </w:r>
    </w:p>
    <w:p>
      <w:pPr>
        <w:adjustRightInd w:val="0"/>
        <w:snapToGrid w:val="0"/>
        <w:spacing w:line="360" w:lineRule="auto"/>
        <w:rPr>
          <w:rFonts w:ascii="宋体" w:hAnsi="宋体"/>
          <w:sz w:val="24"/>
        </w:rPr>
      </w:pPr>
      <w:r>
        <w:rPr>
          <w:rFonts w:hint="eastAsia" w:ascii="宋体" w:hAnsi="宋体"/>
          <w:b/>
          <w:bCs/>
          <w:color w:val="000000"/>
          <w:sz w:val="24"/>
        </w:rPr>
        <w:t>4.2.17</w:t>
      </w:r>
      <w:r>
        <w:rPr>
          <w:rFonts w:hint="eastAsia" w:ascii="宋体" w:hAnsi="宋体"/>
          <w:sz w:val="24"/>
        </w:rPr>
        <w:t xml:space="preserve"> 剧院的自动喷水灭火系统设置应符合下列规定：</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Fonts w:ascii="宋体" w:hAnsi="宋体"/>
          <w:sz w:val="24"/>
        </w:rPr>
      </w:pPr>
      <w:r>
        <w:rPr>
          <w:rFonts w:hint="eastAsia" w:ascii="宋体" w:hAnsi="宋体"/>
          <w:b/>
          <w:bCs/>
          <w:color w:val="000000"/>
          <w:sz w:val="24"/>
        </w:rPr>
        <w:t>1</w:t>
      </w:r>
      <w:r>
        <w:rPr>
          <w:rFonts w:ascii="Arial" w:hAnsi="Arial" w:cs="Arial"/>
          <w:sz w:val="24"/>
        </w:rPr>
        <w:t xml:space="preserve"> </w:t>
      </w:r>
      <w:r>
        <w:rPr>
          <w:rFonts w:hint="eastAsia" w:ascii="宋体" w:hAnsi="宋体"/>
          <w:sz w:val="24"/>
        </w:rPr>
        <w:t>特等、甲等或大于800个座位的其他等级剧院的，或设有风管的集中空气调节系统剧院的观众厅、观众等候区（前厅）和人员休息厅、化妆室、道具室、储藏室、贵宾室、办公室、走道、空调机房和吊顶夹层内等部位应设置湿式系统；</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Fonts w:ascii="宋体" w:hAnsi="宋体" w:cs="Arial"/>
          <w:sz w:val="24"/>
        </w:rPr>
      </w:pPr>
      <w:r>
        <w:rPr>
          <w:rFonts w:hint="eastAsia" w:ascii="宋体" w:hAnsi="宋体"/>
          <w:b/>
          <w:bCs/>
          <w:color w:val="000000"/>
          <w:sz w:val="24"/>
        </w:rPr>
        <w:t>2</w:t>
      </w:r>
      <w:r>
        <w:rPr>
          <w:rFonts w:hint="eastAsia" w:ascii="宋体" w:hAnsi="宋体"/>
          <w:b/>
          <w:bCs/>
          <w:color w:val="000000"/>
          <w:sz w:val="24"/>
          <w:lang w:val="en-US" w:eastAsia="zh-CN"/>
        </w:rPr>
        <w:t xml:space="preserve"> </w:t>
      </w:r>
      <w:r>
        <w:rPr>
          <w:rFonts w:hint="eastAsia" w:ascii="宋体" w:hAnsi="宋体"/>
          <w:sz w:val="24"/>
        </w:rPr>
        <w:t>特等、甲等或大于800个座位的其他等级剧院的舞台的葡萄架下部和设葡萄架的排练厅应设置雨淋系统；</w:t>
      </w:r>
    </w:p>
    <w:p>
      <w:pPr>
        <w:adjustRightInd w:val="0"/>
        <w:snapToGrid w:val="0"/>
        <w:spacing w:line="360" w:lineRule="auto"/>
        <w:rPr>
          <w:rFonts w:ascii="Arial" w:hAnsi="Arial" w:cs="Arial"/>
          <w:sz w:val="24"/>
        </w:rPr>
      </w:pPr>
      <w:r>
        <w:rPr>
          <w:rFonts w:hint="eastAsia" w:ascii="宋体" w:hAnsi="宋体"/>
          <w:b/>
          <w:bCs/>
          <w:color w:val="000000"/>
          <w:sz w:val="24"/>
        </w:rPr>
        <w:t>5.1.6</w:t>
      </w:r>
      <w:r>
        <w:rPr>
          <w:rFonts w:hint="eastAsia" w:ascii="宋体" w:hAnsi="宋体"/>
          <w:b/>
          <w:bCs/>
          <w:color w:val="000000"/>
          <w:sz w:val="24"/>
          <w:lang w:val="en-US" w:eastAsia="zh-CN"/>
        </w:rPr>
        <w:t xml:space="preserve"> </w:t>
      </w:r>
      <w:r>
        <w:rPr>
          <w:rFonts w:hint="eastAsia" w:ascii="Arial" w:hAnsi="Arial" w:cs="Arial"/>
          <w:sz w:val="24"/>
        </w:rPr>
        <w:t>消防水池的容量设计应符合下列规定：</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Fonts w:ascii="Arial" w:hAnsi="Arial" w:cs="Arial"/>
          <w:sz w:val="24"/>
        </w:rPr>
      </w:pPr>
      <w:r>
        <w:rPr>
          <w:rFonts w:hint="eastAsia" w:ascii="宋体" w:hAnsi="宋体"/>
          <w:b/>
          <w:bCs/>
          <w:color w:val="000000"/>
          <w:sz w:val="24"/>
        </w:rPr>
        <w:t>1</w:t>
      </w:r>
      <w:r>
        <w:rPr>
          <w:rFonts w:hint="eastAsia" w:ascii="Arial" w:hAnsi="Arial" w:cs="Arial"/>
          <w:sz w:val="24"/>
        </w:rPr>
        <w:t xml:space="preserve"> ……灭火持续时间可按表5.1.6的规定执行；</w:t>
      </w:r>
    </w:p>
    <w:p>
      <w:pPr>
        <w:adjustRightInd w:val="0"/>
        <w:snapToGrid w:val="0"/>
        <w:spacing w:line="360" w:lineRule="auto"/>
        <w:jc w:val="center"/>
        <w:rPr>
          <w:rFonts w:ascii="Arial" w:hAnsi="Arial" w:cs="Arial"/>
        </w:rPr>
      </w:pPr>
      <w:r>
        <w:rPr>
          <w:rFonts w:ascii="Arial" w:hAnsi="Arial" w:cs="Arial"/>
        </w:rPr>
        <w:t>表5.1.6  不同类型建筑物及灭火系统类型的灭火持续时间</w:t>
      </w:r>
    </w:p>
    <w:tbl>
      <w:tblPr>
        <w:tblStyle w:val="23"/>
        <w:tblW w:w="0" w:type="auto"/>
        <w:tblInd w:w="0"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108" w:type="dxa"/>
          <w:bottom w:w="0" w:type="dxa"/>
          <w:right w:w="108" w:type="dxa"/>
        </w:tblCellMar>
      </w:tblPr>
      <w:tblGrid>
        <w:gridCol w:w="2826"/>
        <w:gridCol w:w="2843"/>
        <w:gridCol w:w="2854"/>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c>
          <w:tcPr>
            <w:tcW w:w="3031" w:type="dxa"/>
            <w:vAlign w:val="center"/>
          </w:tcPr>
          <w:p>
            <w:pPr>
              <w:jc w:val="center"/>
              <w:rPr>
                <w:rFonts w:ascii="Arial" w:hAnsi="Arial" w:cs="Arial"/>
              </w:rPr>
            </w:pPr>
            <w:r>
              <w:rPr>
                <w:rFonts w:ascii="Arial" w:hAnsi="Arial" w:cs="Arial"/>
              </w:rPr>
              <w:t>灭火系统类型</w:t>
            </w:r>
          </w:p>
        </w:tc>
        <w:tc>
          <w:tcPr>
            <w:tcW w:w="3032" w:type="dxa"/>
            <w:vAlign w:val="center"/>
          </w:tcPr>
          <w:p>
            <w:pPr>
              <w:jc w:val="center"/>
              <w:rPr>
                <w:rFonts w:ascii="Arial" w:hAnsi="Arial" w:cs="Arial"/>
              </w:rPr>
            </w:pPr>
            <w:r>
              <w:rPr>
                <w:rFonts w:ascii="Arial" w:hAnsi="Arial" w:cs="Arial"/>
              </w:rPr>
              <w:t>建筑物名称</w:t>
            </w:r>
          </w:p>
        </w:tc>
        <w:tc>
          <w:tcPr>
            <w:tcW w:w="3032" w:type="dxa"/>
            <w:vAlign w:val="center"/>
          </w:tcPr>
          <w:p>
            <w:pPr>
              <w:jc w:val="center"/>
              <w:rPr>
                <w:rFonts w:ascii="Arial" w:hAnsi="Arial" w:cs="Arial"/>
              </w:rPr>
            </w:pPr>
            <w:r>
              <w:rPr>
                <w:rFonts w:ascii="Arial" w:hAnsi="Arial" w:cs="Arial"/>
              </w:rPr>
              <w:t>灭火持续时间（h）</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90" w:hRule="atLeast"/>
        </w:trPr>
        <w:tc>
          <w:tcPr>
            <w:tcW w:w="3031" w:type="dxa"/>
            <w:vMerge w:val="restart"/>
            <w:vAlign w:val="center"/>
          </w:tcPr>
          <w:p>
            <w:pPr>
              <w:jc w:val="center"/>
              <w:rPr>
                <w:rFonts w:ascii="Arial" w:hAnsi="Arial" w:cs="Arial"/>
              </w:rPr>
            </w:pPr>
          </w:p>
          <w:p>
            <w:pPr>
              <w:jc w:val="center"/>
              <w:rPr>
                <w:rFonts w:ascii="Arial" w:hAnsi="Arial" w:cs="Arial"/>
              </w:rPr>
            </w:pPr>
          </w:p>
          <w:p>
            <w:pPr>
              <w:jc w:val="center"/>
              <w:rPr>
                <w:rFonts w:ascii="Arial" w:hAnsi="Arial" w:cs="Arial"/>
              </w:rPr>
            </w:pPr>
          </w:p>
          <w:p>
            <w:pPr>
              <w:jc w:val="center"/>
              <w:rPr>
                <w:rFonts w:ascii="Arial" w:hAnsi="Arial" w:cs="Arial"/>
              </w:rPr>
            </w:pPr>
            <w:r>
              <w:rPr>
                <w:rFonts w:ascii="Arial" w:hAnsi="Arial" w:cs="Arial"/>
              </w:rPr>
              <w:t>消火栓給水系统</w:t>
            </w:r>
          </w:p>
          <w:p>
            <w:pPr>
              <w:jc w:val="center"/>
              <w:rPr>
                <w:rFonts w:ascii="Arial" w:hAnsi="Arial" w:cs="Arial"/>
              </w:rPr>
            </w:pPr>
          </w:p>
          <w:p>
            <w:pPr>
              <w:jc w:val="center"/>
              <w:rPr>
                <w:rFonts w:ascii="Arial" w:hAnsi="Arial" w:cs="Arial"/>
              </w:rPr>
            </w:pPr>
          </w:p>
          <w:p>
            <w:pPr>
              <w:jc w:val="center"/>
              <w:rPr>
                <w:rFonts w:ascii="Arial" w:hAnsi="Arial" w:cs="Arial"/>
              </w:rPr>
            </w:pPr>
          </w:p>
        </w:tc>
        <w:tc>
          <w:tcPr>
            <w:tcW w:w="3032" w:type="dxa"/>
            <w:vAlign w:val="center"/>
          </w:tcPr>
          <w:p>
            <w:pPr>
              <w:jc w:val="left"/>
              <w:rPr>
                <w:rFonts w:ascii="Arial" w:hAnsi="Arial" w:cs="Arial"/>
              </w:rPr>
            </w:pPr>
            <w:r>
              <w:rPr>
                <w:rFonts w:ascii="Arial" w:hAnsi="Arial" w:cs="Arial"/>
              </w:rPr>
              <w:t>超高层建筑和高层建筑的商业楼、展览楼、综合楼、一类高层建筑的财贸金融楼、图书馆、书库、重要的档案楼、科研楼和高级旅馆</w:t>
            </w:r>
          </w:p>
        </w:tc>
        <w:tc>
          <w:tcPr>
            <w:tcW w:w="3032" w:type="dxa"/>
            <w:vAlign w:val="center"/>
          </w:tcPr>
          <w:p>
            <w:pPr>
              <w:jc w:val="center"/>
              <w:rPr>
                <w:rFonts w:ascii="Arial" w:hAnsi="Arial" w:cs="Arial"/>
              </w:rPr>
            </w:pPr>
          </w:p>
          <w:p>
            <w:pPr>
              <w:jc w:val="center"/>
              <w:rPr>
                <w:rFonts w:ascii="Arial" w:hAnsi="Arial" w:cs="Arial"/>
              </w:rPr>
            </w:pPr>
          </w:p>
          <w:p>
            <w:pPr>
              <w:jc w:val="center"/>
              <w:rPr>
                <w:rFonts w:ascii="Arial" w:hAnsi="Arial" w:cs="Arial"/>
              </w:rPr>
            </w:pPr>
            <w:r>
              <w:rPr>
                <w:rFonts w:ascii="Arial" w:hAnsi="Arial" w:cs="Arial"/>
              </w:rPr>
              <w:t>3</w:t>
            </w:r>
          </w:p>
          <w:p>
            <w:pPr>
              <w:jc w:val="center"/>
              <w:rPr>
                <w:rFonts w:ascii="Arial" w:hAnsi="Arial" w:cs="Arial"/>
              </w:rPr>
            </w:pPr>
          </w:p>
          <w:p>
            <w:pPr>
              <w:jc w:val="center"/>
              <w:rPr>
                <w:rFonts w:ascii="Arial" w:hAnsi="Arial" w:cs="Arial"/>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c>
          <w:tcPr>
            <w:tcW w:w="3031" w:type="dxa"/>
            <w:vMerge w:val="continue"/>
            <w:vAlign w:val="center"/>
          </w:tcPr>
          <w:p>
            <w:pPr>
              <w:jc w:val="center"/>
              <w:rPr>
                <w:rFonts w:ascii="Arial" w:hAnsi="Arial" w:cs="Arial"/>
              </w:rPr>
            </w:pPr>
          </w:p>
        </w:tc>
        <w:tc>
          <w:tcPr>
            <w:tcW w:w="3032" w:type="dxa"/>
            <w:vAlign w:val="center"/>
          </w:tcPr>
          <w:p>
            <w:pPr>
              <w:jc w:val="left"/>
              <w:rPr>
                <w:rFonts w:ascii="Arial" w:hAnsi="Arial" w:cs="Arial"/>
              </w:rPr>
            </w:pPr>
            <w:r>
              <w:rPr>
                <w:rFonts w:ascii="Arial" w:hAnsi="Arial" w:cs="Arial"/>
              </w:rPr>
              <w:t>居住区及其他公共建筑</w:t>
            </w:r>
          </w:p>
        </w:tc>
        <w:tc>
          <w:tcPr>
            <w:tcW w:w="3032" w:type="dxa"/>
            <w:vAlign w:val="center"/>
          </w:tcPr>
          <w:p>
            <w:pPr>
              <w:jc w:val="center"/>
              <w:rPr>
                <w:rFonts w:ascii="Arial" w:hAnsi="Arial" w:cs="Arial"/>
              </w:rPr>
            </w:pPr>
            <w:r>
              <w:rPr>
                <w:rFonts w:ascii="Arial" w:hAnsi="Arial" w:cs="Arial"/>
              </w:rPr>
              <w:t>2</w:t>
            </w:r>
          </w:p>
        </w:tc>
      </w:tr>
    </w:tbl>
    <w:p>
      <w:pPr>
        <w:spacing w:line="360" w:lineRule="auto"/>
        <w:ind w:firstLine="480" w:firstLineChars="200"/>
        <w:rPr>
          <w:rFonts w:ascii="Arial" w:hAnsi="Arial" w:cs="Arial"/>
          <w:sz w:val="24"/>
        </w:rPr>
      </w:pPr>
    </w:p>
    <w:p>
      <w:pPr>
        <w:adjustRightInd w:val="0"/>
        <w:snapToGrid w:val="0"/>
        <w:spacing w:line="360" w:lineRule="auto"/>
        <w:rPr>
          <w:rFonts w:ascii="Arial" w:hAnsi="Arial" w:cs="Arial"/>
          <w:sz w:val="24"/>
        </w:rPr>
      </w:pPr>
      <w:r>
        <w:rPr>
          <w:rFonts w:hint="eastAsia" w:ascii="宋体" w:hAnsi="宋体"/>
          <w:b/>
          <w:bCs/>
          <w:color w:val="000000"/>
          <w:sz w:val="24"/>
        </w:rPr>
        <w:t>7.3.1</w:t>
      </w:r>
      <w:r>
        <w:rPr>
          <w:rFonts w:hint="eastAsia" w:ascii="Arial" w:hAnsi="Arial" w:cs="Arial"/>
          <w:sz w:val="24"/>
        </w:rPr>
        <w:t xml:space="preserve"> 符合下列情况之一的民用建筑物或部位内应设消防软管卷盘：</w:t>
      </w:r>
    </w:p>
    <w:p>
      <w:pPr>
        <w:adjustRightInd w:val="0"/>
        <w:snapToGrid w:val="0"/>
        <w:spacing w:line="360" w:lineRule="auto"/>
        <w:ind w:firstLine="481" w:firstLineChars="200"/>
        <w:rPr>
          <w:rFonts w:ascii="Arial" w:hAnsi="Arial" w:cs="Arial"/>
          <w:sz w:val="24"/>
        </w:rPr>
      </w:pPr>
      <w:r>
        <w:rPr>
          <w:rFonts w:hint="eastAsia" w:ascii="宋体" w:hAnsi="宋体"/>
          <w:b/>
          <w:bCs/>
          <w:color w:val="000000"/>
          <w:sz w:val="24"/>
        </w:rPr>
        <w:t>2</w:t>
      </w:r>
      <w:r>
        <w:rPr>
          <w:rFonts w:hint="eastAsia" w:ascii="Arial" w:hAnsi="Arial" w:cs="Arial"/>
          <w:sz w:val="24"/>
        </w:rPr>
        <w:t xml:space="preserve"> 一类高层公共建筑；</w:t>
      </w:r>
    </w:p>
    <w:p>
      <w:pPr>
        <w:adjustRightInd w:val="0"/>
        <w:snapToGrid w:val="0"/>
        <w:spacing w:line="360" w:lineRule="auto"/>
        <w:rPr>
          <w:rFonts w:ascii="宋体" w:hAnsi="宋体" w:cs="Arial"/>
          <w:sz w:val="24"/>
        </w:rPr>
      </w:pPr>
      <w:r>
        <w:rPr>
          <w:rFonts w:hint="eastAsia" w:ascii="宋体" w:hAnsi="宋体"/>
          <w:b/>
          <w:bCs/>
          <w:color w:val="000000"/>
          <w:sz w:val="24"/>
        </w:rPr>
        <w:t>10.4.1</w:t>
      </w:r>
      <w:r>
        <w:rPr>
          <w:rFonts w:hint="eastAsia" w:ascii="宋体" w:hAnsi="宋体" w:cs="Arial"/>
          <w:sz w:val="24"/>
        </w:rPr>
        <w:t xml:space="preserve"> 市级或藏书量大于50万册的图书馆，大、中型博物馆中的特藏库、珍品库和一级纸绢质文物的陈列室应设气体灭火系统。其普通的书库、阅览室、陈列室等应设自动喷水灭火系统。</w:t>
      </w:r>
    </w:p>
    <w:p>
      <w:pPr>
        <w:spacing w:line="360" w:lineRule="auto"/>
        <w:rPr>
          <w:rFonts w:ascii="宋体" w:hAnsi="宋体" w:cs="Arial"/>
          <w:color w:val="00B0F0"/>
          <w:sz w:val="24"/>
        </w:rPr>
      </w:pPr>
    </w:p>
    <w:p>
      <w:pPr>
        <w:adjustRightInd w:val="0"/>
        <w:snapToGrid w:val="0"/>
        <w:spacing w:line="360" w:lineRule="auto"/>
        <w:rPr>
          <w:rFonts w:hint="eastAsia" w:ascii="Arial" w:hAnsi="Arial" w:eastAsia="黑体" w:cs="Arial"/>
          <w:sz w:val="24"/>
        </w:rPr>
      </w:pPr>
      <w:r>
        <w:rPr>
          <w:rFonts w:hint="eastAsia" w:ascii="Arial" w:hAnsi="Arial" w:eastAsia="黑体" w:cs="Arial"/>
          <w:sz w:val="24"/>
        </w:rPr>
        <w:t>《住宅设计标准》DGJ08-20-2019及（2022年局部修订）</w:t>
      </w:r>
    </w:p>
    <w:p>
      <w:pPr>
        <w:adjustRightInd w:val="0"/>
        <w:snapToGrid w:val="0"/>
        <w:spacing w:line="360" w:lineRule="auto"/>
        <w:rPr>
          <w:rFonts w:hint="default" w:ascii="宋体" w:hAnsi="宋体" w:cs="Arial"/>
          <w:sz w:val="24"/>
          <w:lang w:val="en-US" w:eastAsia="zh-CN"/>
        </w:rPr>
      </w:pPr>
      <w:r>
        <w:rPr>
          <w:rFonts w:hint="eastAsia" w:ascii="宋体" w:hAnsi="宋体"/>
          <w:b/>
          <w:bCs/>
          <w:color w:val="000000"/>
          <w:sz w:val="24"/>
          <w:lang w:val="en-US" w:eastAsia="zh-CN"/>
        </w:rPr>
        <w:t xml:space="preserve">10.0.7 </w:t>
      </w:r>
      <w:r>
        <w:rPr>
          <w:rFonts w:hint="eastAsia" w:ascii="宋体" w:hAnsi="宋体" w:cs="Arial"/>
          <w:sz w:val="24"/>
          <w:lang w:val="en-US" w:eastAsia="zh-CN"/>
        </w:rPr>
        <w:t>住宅的消防给水除应符合现行国家标准《建筑设计防火规范》GB50016的相关规定外，尚应符合下列规定：</w:t>
      </w:r>
    </w:p>
    <w:p>
      <w:pPr>
        <w:adjustRightInd w:val="0"/>
        <w:snapToGrid w:val="0"/>
        <w:spacing w:line="360" w:lineRule="auto"/>
        <w:ind w:firstLine="481" w:firstLineChars="200"/>
        <w:jc w:val="left"/>
        <w:rPr>
          <w:rFonts w:hint="eastAsia" w:ascii="Arial" w:hAnsi="Arial" w:cs="Arial"/>
          <w:sz w:val="24"/>
        </w:rPr>
      </w:pPr>
      <w:r>
        <w:rPr>
          <w:rFonts w:hint="eastAsia" w:ascii="宋体" w:hAnsi="宋体"/>
          <w:b/>
          <w:bCs/>
          <w:color w:val="000000"/>
          <w:sz w:val="24"/>
        </w:rPr>
        <w:t>1</w:t>
      </w:r>
      <w:r>
        <w:rPr>
          <w:rFonts w:hint="eastAsia" w:ascii="Arial" w:hAnsi="Arial" w:cs="Arial"/>
          <w:sz w:val="24"/>
        </w:rPr>
        <w:t xml:space="preserve"> 十层及以上或建筑高度超过27m且不超过100m的住宅，其每层的公共部位应设置自动喷水灭火系统。</w:t>
      </w:r>
    </w:p>
    <w:p>
      <w:pPr>
        <w:adjustRightInd w:val="0"/>
        <w:snapToGrid w:val="0"/>
        <w:spacing w:line="360" w:lineRule="auto"/>
        <w:ind w:firstLine="480" w:firstLineChars="200"/>
        <w:jc w:val="left"/>
        <w:rPr>
          <w:rFonts w:hint="eastAsia" w:ascii="Arial" w:hAnsi="Arial" w:cs="Arial"/>
          <w:sz w:val="24"/>
        </w:rPr>
      </w:pPr>
    </w:p>
    <w:p>
      <w:pPr>
        <w:adjustRightInd w:val="0"/>
        <w:snapToGrid w:val="0"/>
        <w:spacing w:line="360" w:lineRule="auto"/>
        <w:jc w:val="left"/>
        <w:rPr>
          <w:rFonts w:hint="eastAsia" w:ascii="Arial" w:hAnsi="Arial" w:eastAsia="黑体" w:cs="Arial"/>
          <w:sz w:val="24"/>
        </w:rPr>
      </w:pPr>
      <w:r>
        <w:rPr>
          <w:rFonts w:hint="eastAsia" w:ascii="黑体" w:hAnsi="黑体" w:eastAsia="黑体" w:cs="黑体"/>
          <w:color w:val="000000"/>
          <w:sz w:val="24"/>
        </w:rPr>
        <w:t xml:space="preserve">《保障性住房设计标准（保障性租赁住房新建分册）》 </w:t>
      </w:r>
      <w:r>
        <w:rPr>
          <w:rFonts w:hint="eastAsia" w:ascii="Arial" w:hAnsi="Arial" w:eastAsia="黑体" w:cs="Arial"/>
          <w:sz w:val="24"/>
        </w:rPr>
        <w:t>DG/TJ08-2291B—2022</w:t>
      </w:r>
    </w:p>
    <w:p>
      <w:pPr>
        <w:adjustRightInd w:val="0"/>
        <w:snapToGrid w:val="0"/>
        <w:spacing w:line="360" w:lineRule="auto"/>
        <w:jc w:val="left"/>
        <w:rPr>
          <w:rFonts w:ascii="Arial" w:hAnsi="Arial" w:cs="Arial"/>
          <w:color w:val="000000"/>
          <w:sz w:val="24"/>
        </w:rPr>
      </w:pPr>
      <w:r>
        <w:rPr>
          <w:rFonts w:hint="eastAsia" w:ascii="宋体" w:hAnsi="宋体"/>
          <w:b/>
          <w:bCs/>
          <w:color w:val="000000"/>
          <w:sz w:val="24"/>
        </w:rPr>
        <w:t>9.0.6</w:t>
      </w:r>
      <w:r>
        <w:rPr>
          <w:rFonts w:hint="eastAsia" w:ascii="宋体" w:hAnsi="宋体"/>
          <w:b/>
          <w:bCs/>
          <w:color w:val="000000"/>
          <w:sz w:val="24"/>
          <w:lang w:val="en-US" w:eastAsia="zh-CN"/>
        </w:rPr>
        <w:t xml:space="preserve"> </w:t>
      </w:r>
      <w:r>
        <w:rPr>
          <w:rFonts w:hint="eastAsia" w:ascii="Arial" w:hAnsi="Arial" w:cs="Arial"/>
          <w:color w:val="000000"/>
          <w:sz w:val="24"/>
        </w:rPr>
        <w:t>下列保障性租赁性住房应设置室内消火栓系统，且应设置消防软管卷盘：</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jc w:val="left"/>
        <w:textAlignment w:val="auto"/>
        <w:rPr>
          <w:rFonts w:ascii="Arial" w:hAnsi="Arial" w:cs="Arial"/>
          <w:color w:val="000000"/>
          <w:sz w:val="24"/>
        </w:rPr>
      </w:pPr>
      <w:r>
        <w:rPr>
          <w:rFonts w:hint="eastAsia" w:ascii="宋体" w:hAnsi="宋体"/>
          <w:b/>
          <w:bCs/>
          <w:color w:val="000000"/>
          <w:sz w:val="24"/>
        </w:rPr>
        <w:t>1</w:t>
      </w:r>
      <w:r>
        <w:rPr>
          <w:rFonts w:hint="eastAsia" w:ascii="Arial" w:hAnsi="Arial" w:cs="Arial"/>
          <w:color w:val="000000"/>
          <w:sz w:val="24"/>
        </w:rPr>
        <w:t xml:space="preserve"> 建筑高度大于21m的住宅型租赁住房。</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jc w:val="left"/>
        <w:textAlignment w:val="auto"/>
        <w:rPr>
          <w:rFonts w:ascii="Arial" w:hAnsi="Arial" w:cs="Arial"/>
          <w:color w:val="000000"/>
          <w:sz w:val="24"/>
        </w:rPr>
      </w:pPr>
      <w:r>
        <w:rPr>
          <w:rFonts w:hint="eastAsia" w:ascii="宋体" w:hAnsi="宋体"/>
          <w:b/>
          <w:bCs/>
          <w:color w:val="000000"/>
          <w:sz w:val="24"/>
        </w:rPr>
        <w:t>2</w:t>
      </w:r>
      <w:r>
        <w:rPr>
          <w:rFonts w:hint="eastAsia" w:ascii="Arial" w:hAnsi="Arial" w:cs="Arial"/>
          <w:color w:val="000000"/>
          <w:sz w:val="24"/>
        </w:rPr>
        <w:t xml:space="preserve"> 体积大于5000</w:t>
      </w:r>
      <w:r>
        <w:rPr>
          <w:rFonts w:hint="eastAsia" w:ascii="Arial" w:hAnsi="Arial" w:cs="Arial"/>
          <w:color w:val="000000"/>
          <w:sz w:val="24"/>
          <w:lang w:val="en-US" w:eastAsia="zh-CN"/>
        </w:rPr>
        <w:t>m</w:t>
      </w:r>
      <w:r>
        <w:rPr>
          <w:rFonts w:hint="default" w:ascii="Arial" w:hAnsi="Arial" w:cs="Arial"/>
          <w:color w:val="000000"/>
          <w:sz w:val="24"/>
          <w:lang w:val="en-US" w:eastAsia="zh-CN"/>
        </w:rPr>
        <w:t>³</w:t>
      </w:r>
      <w:r>
        <w:rPr>
          <w:rFonts w:hint="eastAsia" w:ascii="Arial" w:hAnsi="Arial" w:cs="Arial"/>
          <w:color w:val="000000"/>
          <w:sz w:val="24"/>
        </w:rPr>
        <w:t>多层宿舍型租赁住房。</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jc w:val="left"/>
        <w:textAlignment w:val="auto"/>
        <w:rPr>
          <w:rFonts w:ascii="Arial" w:hAnsi="Arial" w:cs="Arial"/>
          <w:color w:val="FF0000"/>
          <w:sz w:val="24"/>
        </w:rPr>
      </w:pPr>
      <w:r>
        <w:rPr>
          <w:rFonts w:hint="eastAsia" w:ascii="宋体" w:hAnsi="宋体"/>
          <w:b/>
          <w:bCs/>
          <w:color w:val="000000"/>
          <w:sz w:val="24"/>
        </w:rPr>
        <w:t>3</w:t>
      </w:r>
      <w:r>
        <w:rPr>
          <w:rFonts w:hint="eastAsia" w:ascii="Arial" w:hAnsi="Arial" w:cs="Arial"/>
          <w:color w:val="000000"/>
          <w:sz w:val="24"/>
        </w:rPr>
        <w:t xml:space="preserve"> 高层宿舍型租赁住房。</w:t>
      </w:r>
    </w:p>
    <w:p>
      <w:pPr>
        <w:adjustRightInd w:val="0"/>
        <w:snapToGrid w:val="0"/>
        <w:spacing w:line="360" w:lineRule="auto"/>
        <w:jc w:val="left"/>
        <w:rPr>
          <w:rFonts w:ascii="Arial" w:hAnsi="Arial" w:cs="Arial"/>
          <w:sz w:val="24"/>
        </w:rPr>
      </w:pPr>
      <w:r>
        <w:rPr>
          <w:rFonts w:hint="eastAsia" w:ascii="宋体" w:hAnsi="宋体"/>
          <w:b/>
          <w:bCs/>
          <w:color w:val="000000"/>
          <w:sz w:val="24"/>
        </w:rPr>
        <w:t>9.0.7</w:t>
      </w:r>
      <w:r>
        <w:rPr>
          <w:rFonts w:hint="eastAsia" w:ascii="Arial" w:hAnsi="Arial" w:cs="Arial"/>
          <w:sz w:val="24"/>
        </w:rPr>
        <w:t xml:space="preserve"> 除不宜用水保护或灭火的场所外，下列场所应设置自动喷水灭火系统：</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1" w:firstLineChars="200"/>
        <w:jc w:val="left"/>
        <w:textAlignment w:val="auto"/>
        <w:rPr>
          <w:rFonts w:ascii="Arial" w:hAnsi="Arial" w:cs="Arial"/>
          <w:sz w:val="24"/>
        </w:rPr>
      </w:pPr>
      <w:r>
        <w:rPr>
          <w:rFonts w:hint="eastAsia" w:ascii="宋体" w:hAnsi="宋体"/>
          <w:b/>
          <w:bCs/>
          <w:color w:val="000000"/>
          <w:sz w:val="24"/>
          <w:lang w:val="en-US" w:eastAsia="zh-CN"/>
        </w:rPr>
        <w:t>1</w:t>
      </w:r>
      <w:r>
        <w:rPr>
          <w:rFonts w:hint="eastAsia" w:ascii="Arial" w:hAnsi="Arial" w:cs="Arial"/>
          <w:sz w:val="24"/>
          <w:lang w:val="en-US" w:eastAsia="zh-CN"/>
        </w:rPr>
        <w:t xml:space="preserve"> </w:t>
      </w:r>
      <w:r>
        <w:rPr>
          <w:rFonts w:hint="eastAsia" w:ascii="Arial" w:hAnsi="Arial" w:cs="Arial"/>
          <w:sz w:val="24"/>
        </w:rPr>
        <w:t>住宅型租赁住房每层的公共部位。</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1" w:firstLineChars="200"/>
        <w:jc w:val="left"/>
        <w:textAlignment w:val="auto"/>
        <w:rPr>
          <w:rFonts w:ascii="Arial" w:hAnsi="Arial" w:cs="Arial"/>
          <w:sz w:val="24"/>
        </w:rPr>
      </w:pPr>
      <w:r>
        <w:rPr>
          <w:rFonts w:hint="eastAsia" w:ascii="宋体" w:hAnsi="宋体"/>
          <w:b/>
          <w:bCs/>
          <w:color w:val="000000"/>
          <w:sz w:val="24"/>
          <w:lang w:val="en-US" w:eastAsia="zh-CN"/>
        </w:rPr>
        <w:t>2</w:t>
      </w:r>
      <w:r>
        <w:rPr>
          <w:rFonts w:hint="eastAsia" w:ascii="Arial" w:hAnsi="Arial" w:cs="Arial"/>
          <w:sz w:val="24"/>
          <w:lang w:val="en-US" w:eastAsia="zh-CN"/>
        </w:rPr>
        <w:t xml:space="preserve"> </w:t>
      </w:r>
      <w:r>
        <w:rPr>
          <w:rFonts w:hint="eastAsia" w:ascii="Arial" w:hAnsi="Arial" w:cs="Arial"/>
          <w:sz w:val="24"/>
        </w:rPr>
        <w:t>高层宿舍型租赁住房的所有</w:t>
      </w:r>
      <w:r>
        <w:rPr>
          <w:rFonts w:hint="eastAsia" w:ascii="Arial" w:hAnsi="Arial" w:cs="Arial"/>
          <w:color w:val="000000"/>
          <w:sz w:val="24"/>
          <w:lang w:val="en-US" w:eastAsia="zh-CN"/>
        </w:rPr>
        <w:t>部</w:t>
      </w:r>
      <w:r>
        <w:rPr>
          <w:rFonts w:hint="eastAsia" w:ascii="Arial" w:hAnsi="Arial" w:cs="Arial"/>
          <w:sz w:val="24"/>
        </w:rPr>
        <w:t>位。</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jc w:val="left"/>
        <w:textAlignment w:val="auto"/>
        <w:rPr>
          <w:rFonts w:ascii="Arial" w:hAnsi="Arial" w:cs="Arial"/>
          <w:sz w:val="24"/>
        </w:rPr>
      </w:pPr>
      <w:r>
        <w:rPr>
          <w:rFonts w:hint="eastAsia" w:ascii="宋体" w:hAnsi="宋体"/>
          <w:b/>
          <w:bCs/>
          <w:color w:val="000000"/>
          <w:sz w:val="24"/>
          <w:lang w:val="en-US" w:eastAsia="zh-CN"/>
        </w:rPr>
        <w:t xml:space="preserve">3 </w:t>
      </w:r>
      <w:r>
        <w:rPr>
          <w:rFonts w:hint="eastAsia" w:ascii="Arial" w:hAnsi="Arial" w:cs="Arial"/>
          <w:sz w:val="24"/>
        </w:rPr>
        <w:t>任一层建筑面积大于1500</w:t>
      </w:r>
      <w:r>
        <w:rPr>
          <w:rFonts w:hint="eastAsia" w:ascii="Arial" w:hAnsi="Arial" w:cs="Arial"/>
          <w:color w:val="000000"/>
          <w:sz w:val="24"/>
          <w:lang w:val="en-US" w:eastAsia="zh-CN"/>
        </w:rPr>
        <w:t>m</w:t>
      </w:r>
      <w:r>
        <w:rPr>
          <w:rFonts w:hint="eastAsia" w:ascii="微软雅黑" w:hAnsi="微软雅黑" w:eastAsia="微软雅黑" w:cs="微软雅黑"/>
          <w:color w:val="000000"/>
          <w:sz w:val="24"/>
          <w:lang w:val="en-US" w:eastAsia="zh-CN"/>
        </w:rPr>
        <w:t>²</w:t>
      </w:r>
      <w:r>
        <w:rPr>
          <w:rFonts w:hint="eastAsia" w:ascii="Arial" w:hAnsi="Arial" w:cs="Arial"/>
          <w:sz w:val="24"/>
        </w:rPr>
        <w:t>或总建筑面积大于3000</w:t>
      </w:r>
      <w:r>
        <w:rPr>
          <w:rFonts w:hint="eastAsia" w:ascii="Arial" w:hAnsi="Arial" w:cs="Arial"/>
          <w:color w:val="000000"/>
          <w:sz w:val="24"/>
          <w:lang w:val="en-US" w:eastAsia="zh-CN"/>
        </w:rPr>
        <w:t>m</w:t>
      </w:r>
      <w:r>
        <w:rPr>
          <w:rFonts w:hint="eastAsia" w:ascii="微软雅黑" w:hAnsi="微软雅黑" w:eastAsia="微软雅黑" w:cs="微软雅黑"/>
          <w:color w:val="000000"/>
          <w:sz w:val="24"/>
          <w:lang w:val="en-US" w:eastAsia="zh-CN"/>
        </w:rPr>
        <w:t>²</w:t>
      </w:r>
      <w:r>
        <w:rPr>
          <w:rFonts w:hint="eastAsia" w:ascii="Arial" w:hAnsi="Arial" w:cs="Arial"/>
          <w:sz w:val="24"/>
        </w:rPr>
        <w:t>的多层宿舍型租赁住房的所有部位，以及除以上述规定外的多层宿舍型租赁住房的公共部位。</w:t>
      </w:r>
    </w:p>
    <w:p>
      <w:pPr>
        <w:adjustRightInd w:val="0"/>
        <w:snapToGrid w:val="0"/>
        <w:spacing w:line="360" w:lineRule="auto"/>
        <w:ind w:firstLine="600" w:firstLineChars="250"/>
        <w:jc w:val="left"/>
        <w:rPr>
          <w:rFonts w:ascii="Arial" w:hAnsi="Arial" w:cs="Arial"/>
          <w:sz w:val="24"/>
        </w:rPr>
      </w:pPr>
    </w:p>
    <w:p>
      <w:pPr>
        <w:adjustRightInd w:val="0"/>
        <w:snapToGrid w:val="0"/>
        <w:spacing w:line="360" w:lineRule="auto"/>
        <w:rPr>
          <w:rFonts w:hint="eastAsia" w:ascii="Arial" w:hAnsi="Arial" w:eastAsia="黑体" w:cs="Arial"/>
          <w:sz w:val="24"/>
        </w:rPr>
      </w:pPr>
      <w:r>
        <w:rPr>
          <w:rFonts w:hint="eastAsia" w:ascii="黑体" w:hAnsi="黑体" w:eastAsia="黑体" w:cs="黑体"/>
          <w:color w:val="000000"/>
          <w:sz w:val="24"/>
        </w:rPr>
        <w:t>《城市综合体消防技术标准》</w:t>
      </w:r>
      <w:r>
        <w:rPr>
          <w:rFonts w:hint="eastAsia" w:ascii="Arial" w:hAnsi="Arial" w:eastAsia="黑体" w:cs="Arial"/>
          <w:sz w:val="24"/>
        </w:rPr>
        <w:t>DG/TJ08-2408-2022</w:t>
      </w:r>
    </w:p>
    <w:p>
      <w:pPr>
        <w:adjustRightInd w:val="0"/>
        <w:snapToGrid w:val="0"/>
        <w:spacing w:line="360" w:lineRule="auto"/>
        <w:rPr>
          <w:rFonts w:ascii="Arial" w:hAnsi="Arial" w:cs="Arial"/>
          <w:sz w:val="24"/>
        </w:rPr>
      </w:pPr>
      <w:r>
        <w:rPr>
          <w:rFonts w:hint="eastAsia" w:ascii="宋体" w:hAnsi="宋体"/>
          <w:b/>
          <w:bCs/>
          <w:color w:val="000000"/>
          <w:sz w:val="24"/>
        </w:rPr>
        <w:t>8.2.21</w:t>
      </w:r>
      <w:r>
        <w:rPr>
          <w:rFonts w:ascii="Arial" w:hAnsi="Arial" w:cs="Arial"/>
          <w:sz w:val="24"/>
        </w:rPr>
        <w:t xml:space="preserve"> 分布式供能站的机房应设湿式自动喷水灭火系统。</w:t>
      </w:r>
    </w:p>
    <w:p>
      <w:pPr>
        <w:adjustRightInd w:val="0"/>
        <w:snapToGrid w:val="0"/>
        <w:spacing w:line="360" w:lineRule="auto"/>
        <w:rPr>
          <w:rFonts w:ascii="Arial" w:hAnsi="Arial" w:cs="Arial"/>
          <w:sz w:val="24"/>
        </w:rPr>
      </w:pPr>
      <w:r>
        <w:rPr>
          <w:rFonts w:hint="eastAsia" w:ascii="宋体" w:hAnsi="宋体"/>
          <w:b/>
          <w:bCs/>
          <w:color w:val="000000"/>
          <w:sz w:val="24"/>
        </w:rPr>
        <w:t>8.2.27</w:t>
      </w:r>
      <w:r>
        <w:rPr>
          <w:rFonts w:ascii="Arial" w:hAnsi="Arial" w:cs="Arial"/>
          <w:sz w:val="24"/>
        </w:rPr>
        <w:t xml:space="preserve"> 设置电动自行车集中充电设施的非机动车库应设置自动喷水灭火系统。</w:t>
      </w:r>
    </w:p>
    <w:p>
      <w:pPr>
        <w:adjustRightInd w:val="0"/>
        <w:snapToGrid w:val="0"/>
        <w:spacing w:line="360" w:lineRule="auto"/>
        <w:rPr>
          <w:rFonts w:ascii="Arial" w:hAnsi="Arial" w:cs="Arial"/>
          <w:sz w:val="24"/>
        </w:rPr>
      </w:pPr>
    </w:p>
    <w:p>
      <w:pPr>
        <w:adjustRightInd w:val="0"/>
        <w:snapToGrid w:val="0"/>
        <w:spacing w:line="360" w:lineRule="auto"/>
        <w:rPr>
          <w:rFonts w:hint="eastAsia" w:ascii="Arial" w:hAnsi="Arial" w:eastAsia="黑体" w:cs="Arial"/>
          <w:sz w:val="24"/>
        </w:rPr>
      </w:pPr>
      <w:r>
        <w:rPr>
          <w:rFonts w:hint="eastAsia" w:ascii="黑体" w:hAnsi="黑体" w:eastAsia="黑体" w:cs="黑体"/>
          <w:color w:val="000000"/>
          <w:sz w:val="24"/>
        </w:rPr>
        <w:t>《文物和优秀历史建筑消防技术标准》</w:t>
      </w:r>
      <w:r>
        <w:rPr>
          <w:rFonts w:hint="eastAsia" w:ascii="Arial" w:hAnsi="Arial" w:eastAsia="黑体" w:cs="Arial"/>
          <w:sz w:val="24"/>
        </w:rPr>
        <w:t>DG/TJ08-2410-2022</w:t>
      </w:r>
    </w:p>
    <w:p>
      <w:pPr>
        <w:adjustRightInd w:val="0"/>
        <w:snapToGrid w:val="0"/>
        <w:spacing w:line="360" w:lineRule="auto"/>
        <w:rPr>
          <w:rFonts w:ascii="Arial" w:hAnsi="Arial" w:cs="Arial"/>
          <w:sz w:val="24"/>
        </w:rPr>
      </w:pPr>
      <w:r>
        <w:rPr>
          <w:rFonts w:hint="eastAsia" w:ascii="宋体" w:hAnsi="宋体"/>
          <w:b/>
          <w:bCs/>
          <w:color w:val="000000"/>
          <w:sz w:val="24"/>
        </w:rPr>
        <w:t>6.1.3</w:t>
      </w:r>
      <w:r>
        <w:rPr>
          <w:rFonts w:ascii="Arial" w:hAnsi="Arial" w:cs="Arial"/>
          <w:sz w:val="24"/>
        </w:rPr>
        <w:t xml:space="preserve"> 保护建筑的室内消火栓箱内应配置消防软管卷盘。当保护建筑未设置室内消火栓时，</w:t>
      </w:r>
      <w:r>
        <w:rPr>
          <w:rFonts w:hint="eastAsia" w:ascii="Arial" w:hAnsi="Arial" w:cs="Arial"/>
          <w:sz w:val="24"/>
        </w:rPr>
        <w:t>应设置轻便消防水龙或消防软管卷盘。</w:t>
      </w:r>
    </w:p>
    <w:p>
      <w:pPr>
        <w:adjustRightInd w:val="0"/>
        <w:snapToGrid w:val="0"/>
        <w:spacing w:line="360" w:lineRule="auto"/>
        <w:rPr>
          <w:rFonts w:ascii="Arial" w:hAnsi="Arial" w:cs="Arial"/>
          <w:sz w:val="24"/>
        </w:rPr>
      </w:pPr>
      <w:r>
        <w:rPr>
          <w:rFonts w:hint="eastAsia" w:ascii="宋体" w:hAnsi="宋体"/>
          <w:b/>
          <w:bCs/>
          <w:color w:val="000000"/>
          <w:sz w:val="24"/>
        </w:rPr>
        <w:t>6.1.8</w:t>
      </w:r>
      <w:r>
        <w:rPr>
          <w:rFonts w:hint="eastAsia" w:ascii="宋体" w:hAnsi="宋体"/>
          <w:b/>
          <w:bCs/>
          <w:color w:val="000000"/>
          <w:sz w:val="24"/>
          <w:lang w:val="en-US" w:eastAsia="zh-CN"/>
        </w:rPr>
        <w:t xml:space="preserve"> </w:t>
      </w:r>
      <w:r>
        <w:rPr>
          <w:rFonts w:hint="eastAsia" w:ascii="Arial" w:hAnsi="Arial" w:cs="Arial"/>
          <w:sz w:val="24"/>
        </w:rPr>
        <w:t>自动喷水灭火系统应采用快速响应喷头。</w:t>
      </w:r>
    </w:p>
    <w:p>
      <w:pPr>
        <w:adjustRightInd w:val="0"/>
        <w:snapToGrid w:val="0"/>
        <w:spacing w:line="360" w:lineRule="auto"/>
        <w:rPr>
          <w:rFonts w:ascii="Arial" w:hAnsi="Arial" w:cs="Arial"/>
          <w:sz w:val="24"/>
        </w:rPr>
      </w:pPr>
    </w:p>
    <w:p>
      <w:pPr>
        <w:adjustRightInd w:val="0"/>
        <w:snapToGrid w:val="0"/>
        <w:spacing w:line="360" w:lineRule="auto"/>
        <w:rPr>
          <w:rFonts w:hint="eastAsia" w:ascii="Arial" w:hAnsi="Arial" w:eastAsia="黑体" w:cs="Arial"/>
          <w:sz w:val="24"/>
        </w:rPr>
      </w:pPr>
      <w:r>
        <w:rPr>
          <w:rFonts w:hint="eastAsia" w:ascii="黑体" w:hAnsi="黑体" w:eastAsia="黑体" w:cs="黑体"/>
          <w:color w:val="000000"/>
          <w:sz w:val="24"/>
        </w:rPr>
        <w:t>《大型物流建筑消防设计标准》</w:t>
      </w:r>
      <w:r>
        <w:rPr>
          <w:rFonts w:hint="eastAsia" w:ascii="Arial" w:hAnsi="Arial" w:eastAsia="黑体" w:cs="Arial"/>
          <w:sz w:val="24"/>
        </w:rPr>
        <w:t>DG/TJ08-2343-2020</w:t>
      </w:r>
    </w:p>
    <w:p>
      <w:pPr>
        <w:adjustRightInd w:val="0"/>
        <w:snapToGrid w:val="0"/>
        <w:spacing w:line="360" w:lineRule="auto"/>
        <w:jc w:val="left"/>
        <w:rPr>
          <w:rFonts w:ascii="Arial" w:hAnsi="Arial" w:cs="Arial"/>
          <w:sz w:val="24"/>
        </w:rPr>
      </w:pPr>
      <w:r>
        <w:rPr>
          <w:rFonts w:hint="eastAsia" w:ascii="宋体" w:hAnsi="宋体"/>
          <w:b/>
          <w:bCs/>
          <w:color w:val="000000"/>
          <w:sz w:val="24"/>
        </w:rPr>
        <w:t>5.2.1</w:t>
      </w:r>
      <w:r>
        <w:rPr>
          <w:rFonts w:hint="eastAsia" w:ascii="宋体" w:hAnsi="宋体"/>
          <w:b/>
          <w:bCs/>
          <w:color w:val="000000"/>
          <w:sz w:val="24"/>
          <w:lang w:val="en-US" w:eastAsia="zh-CN"/>
        </w:rPr>
        <w:t xml:space="preserve"> </w:t>
      </w:r>
      <w:r>
        <w:rPr>
          <w:rFonts w:hint="eastAsia" w:ascii="Arial" w:hAnsi="Arial" w:cs="Arial"/>
          <w:sz w:val="24"/>
        </w:rPr>
        <w:t>大型物流建筑应设置消火栓系统、自动灭火系统全保护。当大型物流建筑内设有自动喷水灭火系统时，消火栓水量不应折减。</w:t>
      </w:r>
      <w:r>
        <w:rPr>
          <w:rFonts w:ascii="Arial" w:hAnsi="Arial" w:cs="Arial"/>
          <w:sz w:val="24"/>
        </w:rPr>
        <w:t>消火栓箱内应</w:t>
      </w:r>
      <w:r>
        <w:rPr>
          <w:rFonts w:hint="eastAsia" w:ascii="Arial" w:hAnsi="Arial" w:cs="Arial"/>
          <w:sz w:val="24"/>
        </w:rPr>
        <w:t>设</w:t>
      </w:r>
      <w:r>
        <w:rPr>
          <w:rFonts w:ascii="Arial" w:hAnsi="Arial" w:cs="Arial"/>
          <w:sz w:val="24"/>
        </w:rPr>
        <w:t>消防软管卷盘</w:t>
      </w:r>
      <w:r>
        <w:rPr>
          <w:rFonts w:hint="eastAsia" w:ascii="Arial" w:hAnsi="Arial" w:cs="Arial"/>
          <w:sz w:val="24"/>
        </w:rPr>
        <w:t>。</w:t>
      </w:r>
    </w:p>
    <w:p>
      <w:pPr>
        <w:adjustRightInd w:val="0"/>
        <w:snapToGrid w:val="0"/>
        <w:spacing w:line="360" w:lineRule="auto"/>
        <w:jc w:val="left"/>
        <w:rPr>
          <w:rFonts w:ascii="Arial" w:hAnsi="Arial" w:cs="Arial"/>
          <w:sz w:val="24"/>
        </w:rPr>
      </w:pPr>
    </w:p>
    <w:p>
      <w:pPr>
        <w:spacing w:line="360" w:lineRule="auto"/>
        <w:jc w:val="left"/>
        <w:rPr>
          <w:rFonts w:ascii="Arial" w:hAnsi="Arial" w:cs="Arial"/>
          <w:sz w:val="24"/>
        </w:rPr>
      </w:pPr>
    </w:p>
    <w:p>
      <w:pPr>
        <w:adjustRightInd w:val="0"/>
        <w:snapToGrid w:val="0"/>
        <w:spacing w:line="480" w:lineRule="auto"/>
        <w:jc w:val="center"/>
        <w:rPr>
          <w:rFonts w:ascii="Arial" w:hAnsi="Arial" w:eastAsia="黑体" w:cs="Arial"/>
          <w:sz w:val="32"/>
          <w:szCs w:val="32"/>
        </w:rPr>
      </w:pPr>
      <w:r>
        <w:rPr>
          <w:rFonts w:ascii="Arial" w:hAnsi="Arial" w:cs="Arial"/>
          <w:sz w:val="24"/>
        </w:rPr>
        <w:br w:type="page"/>
      </w:r>
      <w:bookmarkStart w:id="32" w:name="_Toc436312663"/>
      <w:r>
        <w:rPr>
          <w:rFonts w:ascii="Arial" w:hAnsi="Arial" w:eastAsia="黑体" w:cs="Arial"/>
          <w:sz w:val="32"/>
          <w:szCs w:val="32"/>
        </w:rPr>
        <w:t>1.3建筑节能</w:t>
      </w:r>
      <w:bookmarkEnd w:id="32"/>
    </w:p>
    <w:p>
      <w:pPr>
        <w:adjustRightInd w:val="0"/>
        <w:snapToGrid w:val="0"/>
        <w:spacing w:line="360" w:lineRule="auto"/>
        <w:rPr>
          <w:rFonts w:hint="eastAsia" w:ascii="Arial" w:hAnsi="Arial" w:eastAsia="黑体" w:cs="Arial"/>
          <w:sz w:val="24"/>
        </w:rPr>
      </w:pPr>
      <w:r>
        <w:rPr>
          <w:rFonts w:ascii="Arial" w:hAnsi="Arial" w:eastAsia="黑体" w:cs="Arial"/>
          <w:sz w:val="24"/>
        </w:rPr>
        <w:t>《公共建筑节能设计标准》</w:t>
      </w:r>
      <w:r>
        <w:rPr>
          <w:rFonts w:hint="eastAsia" w:ascii="Arial" w:hAnsi="Arial" w:eastAsia="黑体" w:cs="Arial"/>
          <w:sz w:val="24"/>
        </w:rPr>
        <w:t>DGJ08-107-2015</w:t>
      </w:r>
    </w:p>
    <w:p>
      <w:pPr>
        <w:adjustRightInd w:val="0"/>
        <w:snapToGrid w:val="0"/>
        <w:spacing w:line="360" w:lineRule="auto"/>
        <w:rPr>
          <w:rFonts w:ascii="Arial" w:hAnsi="Arial" w:cs="Arial"/>
          <w:sz w:val="24"/>
        </w:rPr>
      </w:pPr>
      <w:r>
        <w:rPr>
          <w:rFonts w:hint="eastAsia" w:ascii="宋体" w:hAnsi="宋体"/>
          <w:b/>
          <w:bCs/>
          <w:color w:val="000000"/>
          <w:sz w:val="24"/>
        </w:rPr>
        <w:t>5.2.4</w:t>
      </w:r>
      <w:r>
        <w:rPr>
          <w:rFonts w:hint="eastAsia" w:ascii="Arial" w:hAnsi="Arial" w:cs="Arial"/>
          <w:sz w:val="24"/>
        </w:rPr>
        <w:t xml:space="preserve"> 卫生器具和配件的选择，应遵守下列规定：</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Style w:val="26"/>
          <w:rFonts w:ascii="Arial" w:hAnsi="Arial" w:cs="Arial"/>
          <w:b w:val="0"/>
          <w:bCs w:val="0"/>
          <w:sz w:val="24"/>
        </w:rPr>
      </w:pPr>
      <w:r>
        <w:rPr>
          <w:rFonts w:hint="eastAsia" w:ascii="宋体" w:hAnsi="宋体"/>
          <w:b/>
          <w:bCs/>
          <w:color w:val="000000"/>
          <w:sz w:val="24"/>
        </w:rPr>
        <w:t>1</w:t>
      </w:r>
      <w:r>
        <w:rPr>
          <w:rStyle w:val="26"/>
          <w:rFonts w:ascii="Arial" w:hAnsi="Arial" w:cs="Arial"/>
          <w:sz w:val="24"/>
        </w:rPr>
        <w:t xml:space="preserve"> </w:t>
      </w:r>
      <w:r>
        <w:rPr>
          <w:rStyle w:val="26"/>
          <w:rFonts w:ascii="Arial" w:hAnsi="Arial" w:cs="Arial"/>
          <w:b w:val="0"/>
          <w:bCs w:val="0"/>
          <w:sz w:val="24"/>
        </w:rPr>
        <w:t>建筑给水排水系统中采用的卫生器具应根据使用对象、设置场所、建筑标准等因素确定，且应符合现行行业标准《节水型生活用水器具》CJ164的规定；</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Style w:val="26"/>
          <w:rFonts w:ascii="Arial" w:hAnsi="Arial" w:cs="Arial"/>
          <w:b w:val="0"/>
          <w:bCs w:val="0"/>
          <w:sz w:val="24"/>
        </w:rPr>
      </w:pPr>
      <w:r>
        <w:rPr>
          <w:rFonts w:hint="eastAsia" w:ascii="宋体" w:hAnsi="宋体"/>
          <w:b/>
          <w:bCs/>
          <w:color w:val="000000"/>
          <w:sz w:val="24"/>
        </w:rPr>
        <w:t>3</w:t>
      </w:r>
      <w:r>
        <w:rPr>
          <w:rStyle w:val="26"/>
          <w:rFonts w:ascii="Arial" w:hAnsi="Arial" w:cs="Arial"/>
          <w:sz w:val="24"/>
        </w:rPr>
        <w:t xml:space="preserve"> </w:t>
      </w:r>
      <w:r>
        <w:rPr>
          <w:rStyle w:val="26"/>
          <w:rFonts w:ascii="Arial" w:hAnsi="Arial" w:cs="Arial"/>
          <w:b w:val="0"/>
          <w:bCs w:val="0"/>
          <w:sz w:val="24"/>
        </w:rPr>
        <w:t>公共场所的卫生间小便器应采用感应式或延时自闭式冲洗阀。</w:t>
      </w:r>
    </w:p>
    <w:p>
      <w:pPr>
        <w:adjustRightInd w:val="0"/>
        <w:snapToGrid w:val="0"/>
        <w:spacing w:line="360" w:lineRule="auto"/>
        <w:rPr>
          <w:szCs w:val="18"/>
        </w:rPr>
      </w:pPr>
    </w:p>
    <w:p>
      <w:pPr>
        <w:rPr>
          <w:szCs w:val="18"/>
        </w:rPr>
      </w:pPr>
    </w:p>
    <w:p>
      <w:pPr>
        <w:rPr>
          <w:szCs w:val="18"/>
        </w:rPr>
      </w:pPr>
    </w:p>
    <w:p>
      <w:pPr>
        <w:rPr>
          <w:szCs w:val="18"/>
        </w:rPr>
      </w:pPr>
    </w:p>
    <w:p>
      <w:pPr>
        <w:rPr>
          <w:szCs w:val="18"/>
        </w:rPr>
      </w:pPr>
    </w:p>
    <w:p>
      <w:pPr>
        <w:rPr>
          <w:szCs w:val="18"/>
        </w:rPr>
      </w:pPr>
    </w:p>
    <w:p>
      <w:pPr>
        <w:rPr>
          <w:szCs w:val="18"/>
        </w:rPr>
      </w:pPr>
    </w:p>
    <w:p>
      <w:pPr>
        <w:rPr>
          <w:szCs w:val="18"/>
        </w:rPr>
      </w:pPr>
    </w:p>
    <w:p>
      <w:pPr>
        <w:rPr>
          <w:szCs w:val="18"/>
        </w:rPr>
      </w:pPr>
    </w:p>
    <w:p>
      <w:pPr>
        <w:rPr>
          <w:szCs w:val="18"/>
        </w:rPr>
      </w:pPr>
    </w:p>
    <w:p>
      <w:pPr>
        <w:rPr>
          <w:szCs w:val="18"/>
        </w:rPr>
      </w:pPr>
    </w:p>
    <w:p>
      <w:pPr>
        <w:rPr>
          <w:szCs w:val="18"/>
        </w:rPr>
      </w:pPr>
    </w:p>
    <w:p>
      <w:pPr>
        <w:rPr>
          <w:szCs w:val="18"/>
        </w:rPr>
      </w:pPr>
    </w:p>
    <w:p>
      <w:pPr>
        <w:rPr>
          <w:szCs w:val="18"/>
        </w:rPr>
      </w:pPr>
    </w:p>
    <w:p>
      <w:pPr>
        <w:rPr>
          <w:szCs w:val="18"/>
        </w:rPr>
      </w:pPr>
    </w:p>
    <w:p>
      <w:pPr>
        <w:rPr>
          <w:szCs w:val="18"/>
        </w:rPr>
      </w:pPr>
    </w:p>
    <w:p>
      <w:pPr>
        <w:rPr>
          <w:szCs w:val="18"/>
        </w:rPr>
      </w:pPr>
    </w:p>
    <w:p>
      <w:pPr>
        <w:rPr>
          <w:szCs w:val="18"/>
        </w:rPr>
      </w:pPr>
    </w:p>
    <w:p>
      <w:pPr>
        <w:rPr>
          <w:szCs w:val="18"/>
        </w:rPr>
      </w:pPr>
    </w:p>
    <w:p>
      <w:pPr>
        <w:rPr>
          <w:szCs w:val="18"/>
        </w:rPr>
      </w:pPr>
    </w:p>
    <w:p>
      <w:pPr>
        <w:rPr>
          <w:szCs w:val="18"/>
        </w:rPr>
      </w:pPr>
    </w:p>
    <w:p>
      <w:pPr>
        <w:rPr>
          <w:szCs w:val="18"/>
        </w:rPr>
      </w:pPr>
    </w:p>
    <w:p>
      <w:pPr>
        <w:rPr>
          <w:szCs w:val="18"/>
        </w:rPr>
      </w:pPr>
    </w:p>
    <w:p>
      <w:pPr>
        <w:rPr>
          <w:szCs w:val="18"/>
        </w:rPr>
      </w:pPr>
    </w:p>
    <w:p>
      <w:pPr>
        <w:rPr>
          <w:szCs w:val="18"/>
        </w:rPr>
      </w:pPr>
    </w:p>
    <w:p>
      <w:pPr>
        <w:rPr>
          <w:szCs w:val="18"/>
        </w:rPr>
      </w:pPr>
    </w:p>
    <w:p>
      <w:pPr>
        <w:rPr>
          <w:szCs w:val="18"/>
        </w:rPr>
      </w:pPr>
    </w:p>
    <w:p>
      <w:pPr>
        <w:rPr>
          <w:szCs w:val="18"/>
        </w:rPr>
      </w:pPr>
    </w:p>
    <w:p>
      <w:pPr>
        <w:rPr>
          <w:szCs w:val="18"/>
        </w:rPr>
      </w:pPr>
    </w:p>
    <w:p>
      <w:pPr>
        <w:rPr>
          <w:szCs w:val="18"/>
        </w:rPr>
      </w:pPr>
    </w:p>
    <w:p>
      <w:pPr>
        <w:rPr>
          <w:szCs w:val="18"/>
        </w:rPr>
      </w:pPr>
    </w:p>
    <w:p>
      <w:pPr>
        <w:rPr>
          <w:szCs w:val="18"/>
        </w:rPr>
      </w:pPr>
    </w:p>
    <w:p>
      <w:pPr>
        <w:rPr>
          <w:szCs w:val="18"/>
        </w:rPr>
      </w:pPr>
    </w:p>
    <w:p>
      <w:pPr>
        <w:rPr>
          <w:szCs w:val="18"/>
        </w:rPr>
      </w:pPr>
    </w:p>
    <w:p>
      <w:pPr>
        <w:rPr>
          <w:szCs w:val="18"/>
        </w:rPr>
      </w:pPr>
    </w:p>
    <w:p>
      <w:pPr>
        <w:rPr>
          <w:szCs w:val="18"/>
        </w:rPr>
      </w:pPr>
    </w:p>
    <w:p>
      <w:pPr>
        <w:rPr>
          <w:szCs w:val="18"/>
        </w:rPr>
      </w:pPr>
    </w:p>
    <w:p>
      <w:pPr>
        <w:rPr>
          <w:szCs w:val="18"/>
        </w:rPr>
      </w:pPr>
    </w:p>
    <w:p>
      <w:pPr>
        <w:rPr>
          <w:szCs w:val="18"/>
        </w:rPr>
      </w:pPr>
    </w:p>
    <w:p>
      <w:pPr>
        <w:pStyle w:val="3"/>
        <w:adjustRightInd w:val="0"/>
        <w:snapToGrid w:val="0"/>
        <w:spacing w:line="480" w:lineRule="auto"/>
      </w:pPr>
      <w:bookmarkStart w:id="33" w:name="_Toc436312664"/>
      <w:bookmarkStart w:id="34" w:name="_Toc154331130"/>
      <w:r>
        <w:rPr>
          <w:rFonts w:hint="eastAsia"/>
        </w:rPr>
        <w:t>1.4</w:t>
      </w:r>
      <w:r>
        <w:t>引用标准名录及条款号</w:t>
      </w:r>
      <w:bookmarkEnd w:id="33"/>
      <w:bookmarkEnd w:id="34"/>
    </w:p>
    <w:p>
      <w:pPr>
        <w:pStyle w:val="64"/>
        <w:numPr>
          <w:ilvl w:val="0"/>
          <w:numId w:val="1"/>
        </w:numPr>
        <w:adjustRightInd w:val="0"/>
        <w:snapToGrid w:val="0"/>
        <w:spacing w:line="360" w:lineRule="auto"/>
        <w:ind w:hanging="278" w:firstLineChars="0"/>
        <w:rPr>
          <w:rFonts w:ascii="Arial" w:hAnsi="Arial" w:eastAsia="黑体" w:cs="Arial"/>
          <w:kern w:val="0"/>
          <w:sz w:val="24"/>
          <w:szCs w:val="24"/>
        </w:rPr>
      </w:pPr>
      <w:r>
        <w:rPr>
          <w:rFonts w:ascii="Arial" w:hAnsi="Arial" w:eastAsia="黑体" w:cs="Arial"/>
          <w:kern w:val="0"/>
          <w:sz w:val="24"/>
          <w:szCs w:val="24"/>
        </w:rPr>
        <w:t>《住宅设计标准》DGJ 08-20-2019及（2022年局部修订）</w:t>
      </w:r>
    </w:p>
    <w:p>
      <w:pPr>
        <w:adjustRightInd w:val="0"/>
        <w:snapToGrid w:val="0"/>
        <w:spacing w:line="360" w:lineRule="auto"/>
        <w:ind w:firstLine="480" w:firstLineChars="200"/>
        <w:rPr>
          <w:rFonts w:hint="eastAsia" w:ascii="黑体" w:hAnsi="黑体" w:eastAsia="黑体" w:cs="黑体"/>
          <w:kern w:val="0"/>
          <w:sz w:val="24"/>
        </w:rPr>
      </w:pPr>
      <w:r>
        <w:rPr>
          <w:rFonts w:hint="eastAsia" w:ascii="黑体" w:hAnsi="黑体" w:eastAsia="黑体" w:cs="黑体"/>
          <w:kern w:val="0"/>
          <w:sz w:val="24"/>
        </w:rPr>
        <w:t>10.0.3、10.0.16、10.0.21</w:t>
      </w:r>
    </w:p>
    <w:p>
      <w:pPr>
        <w:keepNext w:val="0"/>
        <w:keepLines w:val="0"/>
        <w:pageBreakBefore w:val="0"/>
        <w:widowControl w:val="0"/>
        <w:numPr>
          <w:ilvl w:val="0"/>
          <w:numId w:val="2"/>
        </w:numPr>
        <w:kinsoku/>
        <w:wordWrap w:val="0"/>
        <w:overflowPunct/>
        <w:topLinePunct w:val="0"/>
        <w:autoSpaceDE/>
        <w:autoSpaceDN/>
        <w:bidi w:val="0"/>
        <w:adjustRightInd/>
        <w:snapToGrid/>
        <w:spacing w:line="360" w:lineRule="auto"/>
        <w:ind w:left="141" w:leftChars="67"/>
        <w:textAlignment w:val="auto"/>
        <w:rPr>
          <w:rFonts w:ascii="Arial" w:hAnsi="Arial" w:eastAsia="黑体" w:cs="Arial"/>
          <w:kern w:val="0"/>
          <w:sz w:val="24"/>
        </w:rPr>
      </w:pPr>
      <w:r>
        <w:rPr>
          <w:rFonts w:ascii="Arial" w:hAnsi="Arial" w:eastAsia="黑体" w:cs="Arial"/>
          <w:kern w:val="0"/>
          <w:sz w:val="24"/>
        </w:rPr>
        <w:t>《保障性住房设计标准（共有产权保障住房和征收安置房分册）》</w:t>
      </w:r>
    </w:p>
    <w:p>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80" w:firstLineChars="200"/>
        <w:textAlignment w:val="auto"/>
        <w:rPr>
          <w:rFonts w:ascii="Arial" w:hAnsi="Arial" w:eastAsia="黑体" w:cs="Arial"/>
          <w:kern w:val="0"/>
          <w:sz w:val="24"/>
        </w:rPr>
      </w:pPr>
      <w:r>
        <w:rPr>
          <w:rFonts w:ascii="Arial" w:hAnsi="Arial" w:eastAsia="黑体" w:cs="Arial"/>
          <w:kern w:val="0"/>
          <w:sz w:val="24"/>
        </w:rPr>
        <w:t>DG/TJ08-2291—2019（2022年局部修订）</w:t>
      </w:r>
    </w:p>
    <w:p>
      <w:pPr>
        <w:adjustRightInd w:val="0"/>
        <w:snapToGrid w:val="0"/>
        <w:spacing w:line="360" w:lineRule="auto"/>
        <w:ind w:firstLine="480" w:firstLineChars="200"/>
        <w:rPr>
          <w:rFonts w:hint="eastAsia" w:ascii="黑体" w:hAnsi="黑体" w:eastAsia="黑体" w:cs="黑体"/>
          <w:kern w:val="0"/>
          <w:sz w:val="24"/>
        </w:rPr>
      </w:pPr>
      <w:r>
        <w:rPr>
          <w:rFonts w:hint="eastAsia" w:ascii="黑体" w:hAnsi="黑体" w:eastAsia="黑体" w:cs="黑体"/>
          <w:kern w:val="0"/>
          <w:sz w:val="24"/>
        </w:rPr>
        <w:t>9.2.4</w:t>
      </w:r>
    </w:p>
    <w:p>
      <w:pPr>
        <w:adjustRightInd w:val="0"/>
        <w:snapToGrid w:val="0"/>
        <w:spacing w:line="360" w:lineRule="auto"/>
        <w:rPr>
          <w:rFonts w:ascii="Arial" w:hAnsi="Arial" w:eastAsia="黑体" w:cs="Arial"/>
          <w:kern w:val="0"/>
          <w:sz w:val="24"/>
        </w:rPr>
      </w:pPr>
      <w:r>
        <w:rPr>
          <w:rFonts w:ascii="Arial" w:hAnsi="Arial" w:eastAsia="黑体" w:cs="Arial"/>
          <w:kern w:val="0"/>
          <w:sz w:val="24"/>
        </w:rPr>
        <w:t>3）《养老设施建筑设计标准》 DG</w:t>
      </w:r>
      <w:r>
        <w:rPr>
          <w:rFonts w:hint="eastAsia" w:ascii="Arial" w:hAnsi="Arial" w:eastAsia="黑体" w:cs="Arial"/>
          <w:kern w:val="0"/>
          <w:sz w:val="24"/>
          <w:lang w:val="en-US" w:eastAsia="zh-CN"/>
        </w:rPr>
        <w:t>/T</w:t>
      </w:r>
      <w:r>
        <w:rPr>
          <w:rFonts w:ascii="Arial" w:hAnsi="Arial" w:eastAsia="黑体" w:cs="Arial"/>
          <w:kern w:val="0"/>
          <w:sz w:val="24"/>
        </w:rPr>
        <w:t>J08-82-2020</w:t>
      </w:r>
    </w:p>
    <w:p>
      <w:pPr>
        <w:adjustRightInd w:val="0"/>
        <w:snapToGrid w:val="0"/>
        <w:spacing w:line="360" w:lineRule="auto"/>
        <w:ind w:firstLine="480" w:firstLineChars="200"/>
        <w:rPr>
          <w:rFonts w:ascii="Arial" w:hAnsi="Arial" w:eastAsia="黑体" w:cs="Arial"/>
          <w:kern w:val="0"/>
          <w:sz w:val="24"/>
        </w:rPr>
      </w:pPr>
      <w:r>
        <w:rPr>
          <w:rFonts w:hint="eastAsia" w:ascii="黑体" w:hAnsi="黑体" w:eastAsia="黑体" w:cs="黑体"/>
          <w:kern w:val="0"/>
          <w:sz w:val="24"/>
        </w:rPr>
        <w:t>8.1.4</w:t>
      </w:r>
    </w:p>
    <w:p>
      <w:pPr>
        <w:pStyle w:val="64"/>
        <w:adjustRightInd w:val="0"/>
        <w:snapToGrid w:val="0"/>
        <w:spacing w:line="360" w:lineRule="auto"/>
        <w:ind w:firstLine="0" w:firstLineChars="0"/>
        <w:rPr>
          <w:rFonts w:ascii="Arial" w:hAnsi="Arial" w:eastAsia="黑体" w:cs="Arial"/>
          <w:sz w:val="24"/>
          <w:szCs w:val="24"/>
        </w:rPr>
      </w:pPr>
      <w:r>
        <w:rPr>
          <w:rFonts w:ascii="Arial" w:hAnsi="Arial" w:eastAsia="黑体" w:cs="Arial"/>
          <w:kern w:val="0"/>
          <w:sz w:val="24"/>
          <w:szCs w:val="24"/>
        </w:rPr>
        <w:t xml:space="preserve">4）《公共建筑节能设计标准》DGJ08-107-2015 </w:t>
      </w:r>
    </w:p>
    <w:p>
      <w:pPr>
        <w:adjustRightInd w:val="0"/>
        <w:snapToGrid w:val="0"/>
        <w:spacing w:line="360" w:lineRule="auto"/>
        <w:ind w:firstLine="480" w:firstLineChars="200"/>
        <w:rPr>
          <w:rFonts w:hint="default" w:ascii="Arial" w:hAnsi="Arial" w:eastAsia="黑体" w:cs="Arial"/>
          <w:kern w:val="0"/>
          <w:sz w:val="24"/>
          <w:lang w:val="en-US" w:eastAsia="zh-CN"/>
        </w:rPr>
      </w:pPr>
      <w:r>
        <w:rPr>
          <w:rFonts w:hint="eastAsia" w:ascii="黑体" w:hAnsi="黑体" w:eastAsia="黑体" w:cs="黑体"/>
          <w:kern w:val="0"/>
          <w:sz w:val="24"/>
        </w:rPr>
        <w:t>5.2.4</w:t>
      </w:r>
      <w:r>
        <w:rPr>
          <w:rFonts w:hint="eastAsia" w:ascii="黑体" w:hAnsi="黑体" w:eastAsia="黑体" w:cs="黑体"/>
          <w:kern w:val="0"/>
          <w:sz w:val="24"/>
          <w:lang w:val="en-US" w:eastAsia="zh-CN"/>
        </w:rPr>
        <w:t>.1、</w:t>
      </w:r>
      <w:r>
        <w:rPr>
          <w:rFonts w:hint="eastAsia" w:ascii="黑体" w:hAnsi="黑体" w:eastAsia="黑体" w:cs="黑体"/>
          <w:kern w:val="0"/>
          <w:sz w:val="24"/>
        </w:rPr>
        <w:t>5.2.4</w:t>
      </w:r>
      <w:r>
        <w:rPr>
          <w:rFonts w:hint="eastAsia" w:ascii="黑体" w:hAnsi="黑体" w:eastAsia="黑体" w:cs="黑体"/>
          <w:kern w:val="0"/>
          <w:sz w:val="24"/>
          <w:lang w:val="en-US" w:eastAsia="zh-CN"/>
        </w:rPr>
        <w:t>.3</w:t>
      </w:r>
    </w:p>
    <w:p>
      <w:pPr>
        <w:pStyle w:val="64"/>
        <w:adjustRightInd w:val="0"/>
        <w:snapToGrid w:val="0"/>
        <w:spacing w:line="360" w:lineRule="auto"/>
        <w:ind w:firstLine="0" w:firstLineChars="0"/>
        <w:rPr>
          <w:rFonts w:ascii="Arial" w:hAnsi="Arial" w:eastAsia="黑体" w:cs="Arial"/>
          <w:kern w:val="0"/>
          <w:sz w:val="24"/>
          <w:szCs w:val="24"/>
        </w:rPr>
      </w:pPr>
      <w:r>
        <w:rPr>
          <w:rFonts w:ascii="Arial" w:hAnsi="Arial" w:eastAsia="黑体" w:cs="Arial"/>
          <w:kern w:val="0"/>
          <w:sz w:val="24"/>
          <w:szCs w:val="24"/>
        </w:rPr>
        <w:t xml:space="preserve">5）《民用建筑水灭火系统设计规程》  DGJ08-94-2007 </w:t>
      </w:r>
    </w:p>
    <w:p>
      <w:pPr>
        <w:adjustRightInd w:val="0"/>
        <w:snapToGrid w:val="0"/>
        <w:spacing w:line="360" w:lineRule="auto"/>
        <w:ind w:left="479" w:leftChars="228" w:firstLine="0" w:firstLineChars="0"/>
        <w:rPr>
          <w:rFonts w:hint="eastAsia" w:ascii="黑体" w:hAnsi="黑体" w:eastAsia="黑体" w:cs="黑体"/>
          <w:kern w:val="0"/>
          <w:sz w:val="24"/>
          <w:lang w:val="en-US" w:eastAsia="zh-CN"/>
        </w:rPr>
      </w:pPr>
      <w:r>
        <w:rPr>
          <w:rFonts w:hint="eastAsia" w:ascii="黑体" w:hAnsi="黑体" w:eastAsia="黑体" w:cs="黑体"/>
          <w:kern w:val="0"/>
          <w:sz w:val="24"/>
        </w:rPr>
        <w:t>4.2.1</w:t>
      </w:r>
      <w:r>
        <w:rPr>
          <w:rFonts w:hint="eastAsia" w:ascii="黑体" w:hAnsi="黑体" w:eastAsia="黑体" w:cs="黑体"/>
          <w:kern w:val="0"/>
          <w:sz w:val="24"/>
          <w:lang w:val="en-US" w:eastAsia="zh-CN"/>
        </w:rPr>
        <w:t>.2</w:t>
      </w:r>
      <w:r>
        <w:rPr>
          <w:rFonts w:hint="eastAsia" w:ascii="黑体" w:hAnsi="黑体" w:eastAsia="黑体" w:cs="黑体"/>
          <w:kern w:val="0"/>
          <w:sz w:val="24"/>
        </w:rPr>
        <w:t>、4.2.3</w:t>
      </w:r>
      <w:r>
        <w:rPr>
          <w:rFonts w:hint="eastAsia" w:ascii="黑体" w:hAnsi="黑体" w:eastAsia="黑体" w:cs="黑体"/>
          <w:kern w:val="0"/>
          <w:sz w:val="24"/>
          <w:lang w:val="en-US" w:eastAsia="zh-CN"/>
        </w:rPr>
        <w:t>.1</w:t>
      </w:r>
      <w:r>
        <w:rPr>
          <w:rFonts w:hint="eastAsia" w:ascii="黑体" w:hAnsi="黑体" w:eastAsia="黑体" w:cs="黑体"/>
          <w:kern w:val="0"/>
          <w:sz w:val="24"/>
        </w:rPr>
        <w:t>、4.2.3</w:t>
      </w:r>
      <w:r>
        <w:rPr>
          <w:rFonts w:hint="eastAsia" w:ascii="黑体" w:hAnsi="黑体" w:eastAsia="黑体" w:cs="黑体"/>
          <w:kern w:val="0"/>
          <w:sz w:val="24"/>
          <w:lang w:val="en-US" w:eastAsia="zh-CN"/>
        </w:rPr>
        <w:t>.3</w:t>
      </w:r>
      <w:r>
        <w:rPr>
          <w:rFonts w:hint="eastAsia" w:ascii="黑体" w:hAnsi="黑体" w:eastAsia="黑体" w:cs="黑体"/>
          <w:kern w:val="0"/>
          <w:sz w:val="24"/>
        </w:rPr>
        <w:t>、4.2.3</w:t>
      </w:r>
      <w:r>
        <w:rPr>
          <w:rFonts w:hint="eastAsia" w:ascii="黑体" w:hAnsi="黑体" w:eastAsia="黑体" w:cs="黑体"/>
          <w:kern w:val="0"/>
          <w:sz w:val="24"/>
          <w:lang w:val="en-US" w:eastAsia="zh-CN"/>
        </w:rPr>
        <w:t>.4</w:t>
      </w:r>
      <w:r>
        <w:rPr>
          <w:rFonts w:hint="eastAsia" w:ascii="黑体" w:hAnsi="黑体" w:eastAsia="黑体" w:cs="黑体"/>
          <w:kern w:val="0"/>
          <w:sz w:val="24"/>
        </w:rPr>
        <w:t>、4.2.4</w:t>
      </w:r>
      <w:r>
        <w:rPr>
          <w:rFonts w:hint="eastAsia" w:ascii="黑体" w:hAnsi="黑体" w:eastAsia="黑体" w:cs="黑体"/>
          <w:kern w:val="0"/>
          <w:sz w:val="24"/>
          <w:lang w:val="en-US" w:eastAsia="zh-CN"/>
        </w:rPr>
        <w:t>.1</w:t>
      </w:r>
      <w:r>
        <w:rPr>
          <w:rFonts w:hint="eastAsia" w:ascii="黑体" w:hAnsi="黑体" w:eastAsia="黑体" w:cs="黑体"/>
          <w:kern w:val="0"/>
          <w:sz w:val="24"/>
        </w:rPr>
        <w:t>、4.2.5</w:t>
      </w:r>
      <w:r>
        <w:rPr>
          <w:rFonts w:hint="eastAsia" w:ascii="黑体" w:hAnsi="黑体" w:eastAsia="黑体" w:cs="黑体"/>
          <w:kern w:val="0"/>
          <w:sz w:val="24"/>
          <w:lang w:val="en-US" w:eastAsia="zh-CN"/>
        </w:rPr>
        <w:t>.2</w:t>
      </w:r>
      <w:r>
        <w:rPr>
          <w:rFonts w:hint="eastAsia" w:ascii="黑体" w:hAnsi="黑体" w:eastAsia="黑体" w:cs="黑体"/>
          <w:kern w:val="0"/>
          <w:sz w:val="24"/>
        </w:rPr>
        <w:t>、4.2.5</w:t>
      </w:r>
      <w:r>
        <w:rPr>
          <w:rFonts w:hint="eastAsia" w:ascii="黑体" w:hAnsi="黑体" w:eastAsia="黑体" w:cs="黑体"/>
          <w:kern w:val="0"/>
          <w:sz w:val="24"/>
          <w:lang w:val="en-US" w:eastAsia="zh-CN"/>
        </w:rPr>
        <w:t>.3</w:t>
      </w:r>
      <w:r>
        <w:rPr>
          <w:rFonts w:hint="eastAsia" w:ascii="黑体" w:hAnsi="黑体" w:eastAsia="黑体" w:cs="黑体"/>
          <w:kern w:val="0"/>
          <w:sz w:val="24"/>
        </w:rPr>
        <w:t>、4.2.6</w:t>
      </w:r>
      <w:r>
        <w:rPr>
          <w:rFonts w:hint="eastAsia" w:ascii="黑体" w:hAnsi="黑体" w:eastAsia="黑体" w:cs="黑体"/>
          <w:kern w:val="0"/>
          <w:sz w:val="24"/>
          <w:lang w:val="en-US" w:eastAsia="zh-CN"/>
        </w:rPr>
        <w:t>.1</w:t>
      </w:r>
    </w:p>
    <w:p>
      <w:pPr>
        <w:adjustRightInd w:val="0"/>
        <w:snapToGrid w:val="0"/>
        <w:spacing w:line="360" w:lineRule="auto"/>
        <w:ind w:left="479" w:leftChars="228" w:firstLine="0" w:firstLineChars="0"/>
        <w:rPr>
          <w:rFonts w:hint="eastAsia" w:ascii="黑体" w:hAnsi="黑体" w:eastAsia="黑体" w:cs="黑体"/>
          <w:kern w:val="0"/>
          <w:sz w:val="24"/>
        </w:rPr>
      </w:pPr>
      <w:r>
        <w:rPr>
          <w:rFonts w:hint="eastAsia" w:ascii="黑体" w:hAnsi="黑体" w:eastAsia="黑体" w:cs="黑体"/>
          <w:kern w:val="0"/>
          <w:sz w:val="24"/>
        </w:rPr>
        <w:t>4.2.7</w:t>
      </w:r>
      <w:r>
        <w:rPr>
          <w:rFonts w:hint="eastAsia" w:ascii="黑体" w:hAnsi="黑体" w:eastAsia="黑体" w:cs="黑体"/>
          <w:kern w:val="0"/>
          <w:sz w:val="24"/>
          <w:lang w:val="en-US" w:eastAsia="zh-CN"/>
        </w:rPr>
        <w:t>.1</w:t>
      </w:r>
      <w:r>
        <w:rPr>
          <w:rFonts w:hint="eastAsia" w:ascii="黑体" w:hAnsi="黑体" w:eastAsia="黑体" w:cs="黑体"/>
          <w:kern w:val="0"/>
          <w:sz w:val="24"/>
        </w:rPr>
        <w:t>、4.2.7</w:t>
      </w:r>
      <w:r>
        <w:rPr>
          <w:rFonts w:hint="eastAsia" w:ascii="黑体" w:hAnsi="黑体" w:eastAsia="黑体" w:cs="黑体"/>
          <w:kern w:val="0"/>
          <w:sz w:val="24"/>
          <w:lang w:val="en-US" w:eastAsia="zh-CN"/>
        </w:rPr>
        <w:t>.2</w:t>
      </w:r>
      <w:r>
        <w:rPr>
          <w:rFonts w:hint="eastAsia" w:ascii="黑体" w:hAnsi="黑体" w:eastAsia="黑体" w:cs="黑体"/>
          <w:kern w:val="0"/>
          <w:sz w:val="24"/>
        </w:rPr>
        <w:t>、4.2.10、4.2.12、4.2.15、4.2.17</w:t>
      </w:r>
      <w:r>
        <w:rPr>
          <w:rFonts w:hint="eastAsia" w:ascii="黑体" w:hAnsi="黑体" w:eastAsia="黑体" w:cs="黑体"/>
          <w:kern w:val="0"/>
          <w:sz w:val="24"/>
          <w:lang w:val="en-US" w:eastAsia="zh-CN"/>
        </w:rPr>
        <w:t>.1</w:t>
      </w:r>
      <w:r>
        <w:rPr>
          <w:rFonts w:hint="eastAsia" w:ascii="黑体" w:hAnsi="黑体" w:eastAsia="黑体" w:cs="黑体"/>
          <w:kern w:val="0"/>
          <w:sz w:val="24"/>
        </w:rPr>
        <w:t>、4.2.17</w:t>
      </w:r>
      <w:r>
        <w:rPr>
          <w:rFonts w:hint="eastAsia" w:ascii="黑体" w:hAnsi="黑体" w:eastAsia="黑体" w:cs="黑体"/>
          <w:kern w:val="0"/>
          <w:sz w:val="24"/>
          <w:lang w:val="en-US" w:eastAsia="zh-CN"/>
        </w:rPr>
        <w:t>.2</w:t>
      </w:r>
      <w:r>
        <w:rPr>
          <w:rFonts w:hint="eastAsia" w:ascii="黑体" w:hAnsi="黑体" w:eastAsia="黑体" w:cs="黑体"/>
          <w:kern w:val="0"/>
          <w:sz w:val="24"/>
        </w:rPr>
        <w:t>、5.1.6</w:t>
      </w:r>
      <w:r>
        <w:rPr>
          <w:rFonts w:hint="eastAsia" w:ascii="黑体" w:hAnsi="黑体" w:eastAsia="黑体" w:cs="黑体"/>
          <w:kern w:val="0"/>
          <w:sz w:val="24"/>
          <w:lang w:val="en-US" w:eastAsia="zh-CN"/>
        </w:rPr>
        <w:t>.1</w:t>
      </w:r>
      <w:r>
        <w:rPr>
          <w:rFonts w:hint="eastAsia" w:ascii="黑体" w:hAnsi="黑体" w:eastAsia="黑体" w:cs="黑体"/>
          <w:kern w:val="0"/>
          <w:sz w:val="24"/>
        </w:rPr>
        <w:t>、7.3.1</w:t>
      </w:r>
      <w:r>
        <w:rPr>
          <w:rFonts w:hint="eastAsia" w:ascii="黑体" w:hAnsi="黑体" w:eastAsia="黑体" w:cs="黑体"/>
          <w:kern w:val="0"/>
          <w:sz w:val="24"/>
          <w:lang w:val="en-US" w:eastAsia="zh-CN"/>
        </w:rPr>
        <w:t>.2</w:t>
      </w:r>
      <w:r>
        <w:rPr>
          <w:rFonts w:hint="eastAsia" w:ascii="黑体" w:hAnsi="黑体" w:eastAsia="黑体" w:cs="黑体"/>
          <w:kern w:val="0"/>
          <w:sz w:val="24"/>
        </w:rPr>
        <w:t>、10.4.1</w:t>
      </w:r>
    </w:p>
    <w:p>
      <w:pPr>
        <w:adjustRightInd w:val="0"/>
        <w:snapToGrid w:val="0"/>
        <w:spacing w:line="360" w:lineRule="auto"/>
        <w:rPr>
          <w:rFonts w:ascii="Arial" w:hAnsi="Arial" w:eastAsia="黑体" w:cs="Arial"/>
          <w:sz w:val="24"/>
        </w:rPr>
      </w:pPr>
      <w:r>
        <w:rPr>
          <w:rFonts w:ascii="Arial" w:hAnsi="Arial" w:eastAsia="黑体" w:cs="Arial"/>
          <w:kern w:val="0"/>
          <w:sz w:val="24"/>
        </w:rPr>
        <w:t>6）</w:t>
      </w:r>
      <w:r>
        <w:rPr>
          <w:rFonts w:ascii="Arial" w:hAnsi="Arial" w:eastAsia="黑体" w:cs="Arial"/>
          <w:sz w:val="24"/>
        </w:rPr>
        <w:t>保障性住房设计标准（保障性租赁住房新建分册） DG/TJ08-2291B—2022</w:t>
      </w:r>
    </w:p>
    <w:p>
      <w:pPr>
        <w:adjustRightInd w:val="0"/>
        <w:snapToGrid w:val="0"/>
        <w:spacing w:line="360" w:lineRule="auto"/>
        <w:ind w:firstLine="480" w:firstLineChars="200"/>
        <w:rPr>
          <w:rFonts w:hint="default" w:ascii="黑体" w:hAnsi="黑体" w:eastAsia="黑体" w:cs="黑体"/>
          <w:kern w:val="0"/>
          <w:sz w:val="24"/>
          <w:lang w:val="en-US" w:eastAsia="zh-CN"/>
        </w:rPr>
      </w:pPr>
      <w:r>
        <w:rPr>
          <w:rFonts w:hint="eastAsia" w:ascii="黑体" w:hAnsi="黑体" w:eastAsia="黑体" w:cs="黑体"/>
          <w:kern w:val="0"/>
          <w:sz w:val="24"/>
        </w:rPr>
        <w:t>9.0.6</w:t>
      </w:r>
      <w:r>
        <w:rPr>
          <w:rFonts w:hint="eastAsia" w:ascii="黑体" w:hAnsi="黑体" w:eastAsia="黑体" w:cs="黑体"/>
          <w:kern w:val="0"/>
          <w:sz w:val="24"/>
          <w:lang w:val="en-US" w:eastAsia="zh-CN"/>
        </w:rPr>
        <w:t>.1</w:t>
      </w:r>
      <w:r>
        <w:rPr>
          <w:rFonts w:hint="eastAsia" w:ascii="黑体" w:hAnsi="黑体" w:eastAsia="黑体" w:cs="黑体"/>
          <w:kern w:val="0"/>
          <w:sz w:val="24"/>
        </w:rPr>
        <w:t>、9.0.6</w:t>
      </w:r>
      <w:r>
        <w:rPr>
          <w:rFonts w:hint="eastAsia" w:ascii="黑体" w:hAnsi="黑体" w:eastAsia="黑体" w:cs="黑体"/>
          <w:kern w:val="0"/>
          <w:sz w:val="24"/>
          <w:lang w:val="en-US" w:eastAsia="zh-CN"/>
        </w:rPr>
        <w:t>.2</w:t>
      </w:r>
      <w:r>
        <w:rPr>
          <w:rFonts w:hint="eastAsia" w:ascii="黑体" w:hAnsi="黑体" w:eastAsia="黑体" w:cs="黑体"/>
          <w:kern w:val="0"/>
          <w:sz w:val="24"/>
        </w:rPr>
        <w:t>、9.0.6</w:t>
      </w:r>
      <w:r>
        <w:rPr>
          <w:rFonts w:hint="eastAsia" w:ascii="黑体" w:hAnsi="黑体" w:eastAsia="黑体" w:cs="黑体"/>
          <w:kern w:val="0"/>
          <w:sz w:val="24"/>
          <w:lang w:val="en-US" w:eastAsia="zh-CN"/>
        </w:rPr>
        <w:t>.3</w:t>
      </w:r>
      <w:r>
        <w:rPr>
          <w:rFonts w:hint="eastAsia" w:ascii="黑体" w:hAnsi="黑体" w:eastAsia="黑体" w:cs="黑体"/>
          <w:kern w:val="0"/>
          <w:sz w:val="24"/>
        </w:rPr>
        <w:t>、9.0.7</w:t>
      </w:r>
      <w:r>
        <w:rPr>
          <w:rFonts w:hint="eastAsia" w:ascii="黑体" w:hAnsi="黑体" w:eastAsia="黑体" w:cs="黑体"/>
          <w:kern w:val="0"/>
          <w:sz w:val="24"/>
          <w:lang w:val="en-US" w:eastAsia="zh-CN"/>
        </w:rPr>
        <w:t>.1、</w:t>
      </w:r>
      <w:r>
        <w:rPr>
          <w:rFonts w:hint="eastAsia" w:ascii="黑体" w:hAnsi="黑体" w:eastAsia="黑体" w:cs="黑体"/>
          <w:kern w:val="0"/>
          <w:sz w:val="24"/>
        </w:rPr>
        <w:t>9.0.7</w:t>
      </w:r>
      <w:r>
        <w:rPr>
          <w:rFonts w:hint="eastAsia" w:ascii="黑体" w:hAnsi="黑体" w:eastAsia="黑体" w:cs="黑体"/>
          <w:kern w:val="0"/>
          <w:sz w:val="24"/>
          <w:lang w:val="en-US" w:eastAsia="zh-CN"/>
        </w:rPr>
        <w:t>.2、</w:t>
      </w:r>
      <w:r>
        <w:rPr>
          <w:rFonts w:hint="eastAsia" w:ascii="黑体" w:hAnsi="黑体" w:eastAsia="黑体" w:cs="黑体"/>
          <w:kern w:val="0"/>
          <w:sz w:val="24"/>
        </w:rPr>
        <w:t>9.0.7</w:t>
      </w:r>
      <w:r>
        <w:rPr>
          <w:rFonts w:hint="eastAsia" w:ascii="黑体" w:hAnsi="黑体" w:eastAsia="黑体" w:cs="黑体"/>
          <w:kern w:val="0"/>
          <w:sz w:val="24"/>
          <w:lang w:val="en-US" w:eastAsia="zh-CN"/>
        </w:rPr>
        <w:t>.3</w:t>
      </w:r>
    </w:p>
    <w:p>
      <w:pPr>
        <w:adjustRightInd w:val="0"/>
        <w:snapToGrid w:val="0"/>
        <w:spacing w:line="360" w:lineRule="auto"/>
        <w:rPr>
          <w:rFonts w:ascii="Arial" w:hAnsi="Arial" w:eastAsia="黑体" w:cs="Arial"/>
          <w:sz w:val="24"/>
        </w:rPr>
      </w:pPr>
      <w:r>
        <w:rPr>
          <w:rFonts w:ascii="Arial" w:hAnsi="Arial" w:eastAsia="黑体" w:cs="Arial"/>
          <w:sz w:val="24"/>
        </w:rPr>
        <w:t>7)《城市综合体消防技术标准》DG/TJ08-2408-2022</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黑体" w:hAnsi="黑体" w:eastAsia="黑体" w:cs="黑体"/>
          <w:kern w:val="0"/>
          <w:sz w:val="24"/>
        </w:rPr>
      </w:pPr>
      <w:r>
        <w:rPr>
          <w:rFonts w:hint="eastAsia" w:ascii="黑体" w:hAnsi="黑体" w:eastAsia="黑体" w:cs="黑体"/>
          <w:kern w:val="0"/>
          <w:sz w:val="24"/>
        </w:rPr>
        <w:t>8.2.21、8.2.27</w:t>
      </w:r>
    </w:p>
    <w:p>
      <w:pPr>
        <w:adjustRightInd w:val="0"/>
        <w:snapToGrid w:val="0"/>
        <w:spacing w:line="360" w:lineRule="auto"/>
        <w:rPr>
          <w:rFonts w:ascii="Arial" w:hAnsi="Arial" w:eastAsia="黑体" w:cs="Arial"/>
          <w:sz w:val="24"/>
        </w:rPr>
      </w:pPr>
      <w:r>
        <w:rPr>
          <w:rFonts w:ascii="Arial" w:hAnsi="Arial" w:eastAsia="黑体" w:cs="Arial"/>
          <w:sz w:val="24"/>
        </w:rPr>
        <w:t>8) 《文物和优秀历史建筑消防技术标准》DG/TJ08-2410-2022</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黑体" w:hAnsi="黑体" w:eastAsia="黑体" w:cs="黑体"/>
          <w:kern w:val="0"/>
          <w:sz w:val="24"/>
        </w:rPr>
      </w:pPr>
      <w:r>
        <w:rPr>
          <w:rFonts w:hint="eastAsia" w:ascii="黑体" w:hAnsi="黑体" w:eastAsia="黑体" w:cs="黑体"/>
          <w:kern w:val="0"/>
          <w:sz w:val="24"/>
        </w:rPr>
        <w:t>6.1.3、6.1.8</w:t>
      </w:r>
    </w:p>
    <w:p>
      <w:pPr>
        <w:adjustRightInd w:val="0"/>
        <w:snapToGrid w:val="0"/>
        <w:spacing w:line="360" w:lineRule="auto"/>
        <w:rPr>
          <w:rFonts w:ascii="Arial" w:hAnsi="Arial" w:eastAsia="黑体" w:cs="Arial"/>
          <w:sz w:val="24"/>
        </w:rPr>
      </w:pPr>
      <w:r>
        <w:rPr>
          <w:rFonts w:ascii="Arial" w:hAnsi="Arial" w:eastAsia="黑体" w:cs="Arial"/>
          <w:sz w:val="24"/>
        </w:rPr>
        <w:t>9）《大型物流建筑消防设计标准》DG/TJ08-2343-2020</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黑体" w:hAnsi="黑体" w:eastAsia="黑体" w:cs="黑体"/>
          <w:kern w:val="0"/>
          <w:sz w:val="24"/>
        </w:rPr>
      </w:pPr>
      <w:r>
        <w:rPr>
          <w:rFonts w:hint="eastAsia" w:ascii="黑体" w:hAnsi="黑体" w:eastAsia="黑体" w:cs="黑体"/>
          <w:kern w:val="0"/>
          <w:sz w:val="24"/>
        </w:rPr>
        <w:t>5.2.1</w:t>
      </w:r>
    </w:p>
    <w:p/>
    <w:p/>
    <w:p/>
    <w:p/>
    <w:p/>
    <w:p/>
    <w:p/>
    <w:p/>
    <w:p/>
    <w:p/>
    <w:p/>
    <w:p/>
    <w:p>
      <w:pPr>
        <w:pStyle w:val="2"/>
        <w:adjustRightInd w:val="0"/>
        <w:snapToGrid w:val="0"/>
        <w:spacing w:before="240" w:after="240"/>
        <w:ind w:firstLine="0"/>
      </w:pPr>
      <w:bookmarkStart w:id="35" w:name="_Toc154331131"/>
      <w:r>
        <w:rPr>
          <w:rFonts w:hint="eastAsia"/>
        </w:rPr>
        <w:t>二、暖通专业</w:t>
      </w:r>
      <w:bookmarkEnd w:id="35"/>
    </w:p>
    <w:p>
      <w:pPr>
        <w:pStyle w:val="3"/>
        <w:adjustRightInd w:val="0"/>
        <w:snapToGrid w:val="0"/>
        <w:spacing w:line="480" w:lineRule="auto"/>
        <w:rPr>
          <w:rFonts w:ascii="Arial" w:hAnsi="Arial" w:cs="Arial"/>
        </w:rPr>
      </w:pPr>
      <w:bookmarkStart w:id="36" w:name="_Toc154331132"/>
      <w:r>
        <w:rPr>
          <w:rFonts w:ascii="Arial" w:hAnsi="Arial" w:cs="Arial"/>
        </w:rPr>
        <w:t>2.1</w:t>
      </w:r>
      <w:bookmarkEnd w:id="25"/>
      <w:r>
        <w:rPr>
          <w:rFonts w:ascii="Arial" w:hAnsi="Arial" w:cs="Arial"/>
        </w:rPr>
        <w:t>建筑设备</w:t>
      </w:r>
      <w:bookmarkEnd w:id="36"/>
    </w:p>
    <w:p>
      <w:pPr>
        <w:adjustRightInd w:val="0"/>
        <w:snapToGrid w:val="0"/>
        <w:spacing w:line="360" w:lineRule="auto"/>
        <w:rPr>
          <w:rFonts w:ascii="Arial" w:hAnsi="Arial" w:eastAsia="黑体" w:cs="Arial"/>
          <w:sz w:val="24"/>
          <w:szCs w:val="24"/>
        </w:rPr>
      </w:pPr>
      <w:r>
        <w:rPr>
          <w:rFonts w:hint="eastAsia" w:ascii="Arial" w:hAnsi="Arial" w:eastAsia="黑体" w:cs="Arial"/>
          <w:sz w:val="24"/>
          <w:szCs w:val="24"/>
        </w:rPr>
        <w:t>《上海市餐饮业油烟排放标准》DB31</w:t>
      </w:r>
      <w:r>
        <w:rPr>
          <w:rFonts w:ascii="Arial" w:hAnsi="Arial" w:eastAsia="黑体" w:cs="Arial"/>
          <w:sz w:val="24"/>
          <w:szCs w:val="24"/>
        </w:rPr>
        <w:t>/844-</w:t>
      </w:r>
      <w:r>
        <w:rPr>
          <w:rFonts w:hint="eastAsia" w:ascii="Arial" w:hAnsi="Arial" w:eastAsia="黑体" w:cs="Arial"/>
          <w:sz w:val="24"/>
          <w:szCs w:val="24"/>
        </w:rPr>
        <w:t>2014</w:t>
      </w:r>
    </w:p>
    <w:p>
      <w:pPr>
        <w:adjustRightInd w:val="0"/>
        <w:snapToGrid w:val="0"/>
        <w:spacing w:line="360" w:lineRule="auto"/>
        <w:rPr>
          <w:rFonts w:ascii="Arial" w:hAnsi="Arial" w:cs="Arial"/>
          <w:sz w:val="24"/>
          <w:szCs w:val="24"/>
        </w:rPr>
      </w:pPr>
      <w:r>
        <w:rPr>
          <w:rFonts w:hint="eastAsia" w:ascii="宋体" w:hAnsi="宋体"/>
          <w:b/>
          <w:bCs/>
          <w:color w:val="000000"/>
          <w:sz w:val="24"/>
        </w:rPr>
        <w:t>4.1</w:t>
      </w:r>
      <w:r>
        <w:rPr>
          <w:rFonts w:hint="eastAsia" w:ascii="Arial" w:hAnsi="Arial" w:eastAsia="黑体" w:cs="Arial"/>
          <w:sz w:val="24"/>
          <w:szCs w:val="24"/>
        </w:rPr>
        <w:t xml:space="preserve"> </w:t>
      </w:r>
      <w:r>
        <w:rPr>
          <w:rFonts w:hint="eastAsia" w:ascii="Arial" w:hAnsi="Arial" w:cs="Arial"/>
          <w:sz w:val="24"/>
          <w:szCs w:val="24"/>
        </w:rPr>
        <w:t>新建餐饮服务企业自2015年5月1日起，现有餐饮服务企业自2016年5月1日起执行表1规定的餐饮油烟浓度排放限值。</w:t>
      </w:r>
    </w:p>
    <w:p>
      <w:pPr>
        <w:adjustRightInd w:val="0"/>
        <w:snapToGrid w:val="0"/>
        <w:spacing w:line="360" w:lineRule="auto"/>
        <w:jc w:val="center"/>
        <w:rPr>
          <w:rFonts w:ascii="Arial" w:hAnsi="Arial" w:cs="Arial" w:eastAsiaTheme="minorEastAsia"/>
          <w:szCs w:val="21"/>
        </w:rPr>
      </w:pPr>
      <w:r>
        <w:rPr>
          <w:rFonts w:ascii="Arial" w:hAnsi="Arial" w:cs="Arial" w:eastAsiaTheme="minorEastAsia"/>
          <w:szCs w:val="21"/>
        </w:rPr>
        <w:t>表1 餐饮服务企业餐饮油烟浓度排放限值</w:t>
      </w:r>
    </w:p>
    <w:tbl>
      <w:tblPr>
        <w:tblStyle w:val="23"/>
        <w:tblW w:w="0" w:type="auto"/>
        <w:tblInd w:w="4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77"/>
        <w:gridCol w:w="2098"/>
        <w:gridCol w:w="28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177" w:type="dxa"/>
          </w:tcPr>
          <w:p>
            <w:pPr>
              <w:spacing w:line="360" w:lineRule="auto"/>
              <w:jc w:val="center"/>
              <w:rPr>
                <w:rFonts w:ascii="Arial" w:hAnsi="Arial" w:cs="Arial"/>
                <w:szCs w:val="21"/>
              </w:rPr>
            </w:pPr>
            <w:r>
              <w:rPr>
                <w:rFonts w:hint="eastAsia" w:ascii="Arial" w:hAnsi="Arial" w:cs="Arial"/>
                <w:szCs w:val="21"/>
              </w:rPr>
              <w:t>污染物项目</w:t>
            </w:r>
          </w:p>
        </w:tc>
        <w:tc>
          <w:tcPr>
            <w:tcW w:w="2098" w:type="dxa"/>
          </w:tcPr>
          <w:p>
            <w:pPr>
              <w:spacing w:line="360" w:lineRule="auto"/>
              <w:jc w:val="center"/>
              <w:rPr>
                <w:rFonts w:ascii="Arial" w:hAnsi="Arial" w:cs="Arial"/>
                <w:szCs w:val="21"/>
              </w:rPr>
            </w:pPr>
            <w:r>
              <w:rPr>
                <w:rFonts w:hint="eastAsia" w:ascii="Arial" w:hAnsi="Arial" w:cs="Arial"/>
                <w:szCs w:val="21"/>
              </w:rPr>
              <w:t>排放限值</w:t>
            </w:r>
          </w:p>
        </w:tc>
        <w:tc>
          <w:tcPr>
            <w:tcW w:w="2863" w:type="dxa"/>
          </w:tcPr>
          <w:p>
            <w:pPr>
              <w:spacing w:line="360" w:lineRule="auto"/>
              <w:jc w:val="center"/>
              <w:rPr>
                <w:rFonts w:ascii="Arial" w:hAnsi="Arial" w:cs="Arial"/>
                <w:szCs w:val="21"/>
              </w:rPr>
            </w:pPr>
            <w:r>
              <w:rPr>
                <w:rFonts w:hint="eastAsia" w:ascii="Arial" w:hAnsi="Arial" w:cs="Arial"/>
                <w:szCs w:val="21"/>
              </w:rPr>
              <w:t>污染物排放监控位置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2177" w:type="dxa"/>
          </w:tcPr>
          <w:p>
            <w:pPr>
              <w:spacing w:line="360" w:lineRule="auto"/>
              <w:jc w:val="center"/>
              <w:rPr>
                <w:rFonts w:ascii="Arial" w:hAnsi="Arial" w:cs="Arial"/>
                <w:szCs w:val="21"/>
              </w:rPr>
            </w:pPr>
            <w:r>
              <w:rPr>
                <w:rFonts w:hint="eastAsia" w:ascii="Arial" w:hAnsi="Arial" w:cs="Arial"/>
                <w:szCs w:val="21"/>
              </w:rPr>
              <w:t>餐饮油烟（mg/m</w:t>
            </w:r>
            <w:r>
              <w:rPr>
                <w:rFonts w:hint="eastAsia" w:ascii="Arial" w:hAnsi="Arial" w:cs="Arial"/>
                <w:szCs w:val="21"/>
                <w:vertAlign w:val="superscript"/>
              </w:rPr>
              <w:t>3</w:t>
            </w:r>
            <w:r>
              <w:rPr>
                <w:rFonts w:hint="eastAsia" w:ascii="Arial" w:hAnsi="Arial" w:cs="Arial"/>
                <w:szCs w:val="21"/>
              </w:rPr>
              <w:t>）</w:t>
            </w:r>
          </w:p>
        </w:tc>
        <w:tc>
          <w:tcPr>
            <w:tcW w:w="2098" w:type="dxa"/>
          </w:tcPr>
          <w:p>
            <w:pPr>
              <w:spacing w:line="360" w:lineRule="auto"/>
              <w:jc w:val="center"/>
              <w:rPr>
                <w:rFonts w:ascii="Arial" w:hAnsi="Arial" w:cs="Arial"/>
                <w:szCs w:val="21"/>
              </w:rPr>
            </w:pPr>
            <w:r>
              <w:rPr>
                <w:rFonts w:hint="eastAsia" w:ascii="Arial" w:hAnsi="Arial" w:cs="Arial"/>
                <w:szCs w:val="21"/>
              </w:rPr>
              <w:t>1.0</w:t>
            </w:r>
          </w:p>
        </w:tc>
        <w:tc>
          <w:tcPr>
            <w:tcW w:w="2863" w:type="dxa"/>
          </w:tcPr>
          <w:p>
            <w:pPr>
              <w:spacing w:line="360" w:lineRule="auto"/>
              <w:jc w:val="center"/>
              <w:rPr>
                <w:rFonts w:ascii="Arial" w:hAnsi="Arial" w:cs="Arial"/>
                <w:szCs w:val="21"/>
              </w:rPr>
            </w:pPr>
            <w:r>
              <w:rPr>
                <w:rFonts w:hint="eastAsia" w:ascii="Arial" w:hAnsi="Arial" w:cs="Arial"/>
                <w:szCs w:val="21"/>
              </w:rPr>
              <w:t>排风管或排气筒</w:t>
            </w:r>
          </w:p>
        </w:tc>
      </w:tr>
    </w:tbl>
    <w:p>
      <w:pPr>
        <w:adjustRightInd w:val="0"/>
        <w:snapToGrid w:val="0"/>
        <w:spacing w:line="360" w:lineRule="auto"/>
        <w:rPr>
          <w:rFonts w:ascii="Arial" w:hAnsi="Arial" w:eastAsia="黑体" w:cs="Arial"/>
          <w:sz w:val="24"/>
          <w:szCs w:val="24"/>
        </w:rPr>
      </w:pPr>
    </w:p>
    <w:p>
      <w:pPr>
        <w:adjustRightInd w:val="0"/>
        <w:snapToGrid w:val="0"/>
        <w:spacing w:line="360" w:lineRule="auto"/>
        <w:rPr>
          <w:rFonts w:ascii="Arial" w:hAnsi="Arial" w:cs="Arial"/>
          <w:sz w:val="24"/>
          <w:szCs w:val="24"/>
        </w:rPr>
      </w:pPr>
      <w:r>
        <w:rPr>
          <w:rFonts w:hint="eastAsia" w:ascii="宋体" w:hAnsi="宋体"/>
          <w:b/>
          <w:bCs/>
          <w:color w:val="000000"/>
          <w:sz w:val="24"/>
        </w:rPr>
        <w:t>4.2</w:t>
      </w:r>
      <w:r>
        <w:rPr>
          <w:rFonts w:hint="eastAsia" w:ascii="Arial" w:hAnsi="Arial" w:eastAsia="黑体" w:cs="Arial"/>
          <w:sz w:val="24"/>
          <w:szCs w:val="24"/>
        </w:rPr>
        <w:t xml:space="preserve"> </w:t>
      </w:r>
      <w:r>
        <w:rPr>
          <w:rFonts w:hint="eastAsia" w:ascii="Arial" w:hAnsi="Arial" w:cs="Arial"/>
          <w:sz w:val="24"/>
          <w:szCs w:val="24"/>
        </w:rPr>
        <w:t>产生餐饮油烟的餐饮服务企业应按规范设置集气罩、排风管道和排风机，并安装使用经环境保护产品认证的油烟净化设备，新建企业应安装使用在认证检验中餐饮油烟去除效率≥90%的设备，否则视同超标。</w:t>
      </w:r>
    </w:p>
    <w:p>
      <w:pPr>
        <w:adjustRightInd w:val="0"/>
        <w:snapToGrid w:val="0"/>
        <w:spacing w:line="360" w:lineRule="auto"/>
        <w:rPr>
          <w:rFonts w:ascii="Arial" w:hAnsi="Arial" w:cs="Arial"/>
          <w:sz w:val="24"/>
          <w:szCs w:val="24"/>
        </w:rPr>
      </w:pPr>
    </w:p>
    <w:p>
      <w:pPr>
        <w:adjustRightInd w:val="0"/>
        <w:snapToGrid w:val="0"/>
        <w:spacing w:line="360" w:lineRule="auto"/>
        <w:rPr>
          <w:rFonts w:ascii="Arial" w:hAnsi="Arial" w:eastAsia="黑体" w:cs="Arial"/>
          <w:sz w:val="24"/>
          <w:szCs w:val="24"/>
        </w:rPr>
      </w:pPr>
      <w:r>
        <w:rPr>
          <w:rFonts w:hint="eastAsia" w:ascii="Arial" w:hAnsi="Arial" w:eastAsia="黑体" w:cs="Arial"/>
          <w:sz w:val="24"/>
          <w:szCs w:val="24"/>
        </w:rPr>
        <w:t>《餐饮单位清洁设计技术标准》DG/TJ08-110-2021</w:t>
      </w:r>
    </w:p>
    <w:p>
      <w:pPr>
        <w:adjustRightInd w:val="0"/>
        <w:snapToGrid w:val="0"/>
        <w:spacing w:line="360" w:lineRule="auto"/>
        <w:rPr>
          <w:rFonts w:ascii="Arial" w:hAnsi="Arial" w:cs="Arial"/>
          <w:sz w:val="24"/>
          <w:szCs w:val="24"/>
        </w:rPr>
      </w:pPr>
      <w:r>
        <w:rPr>
          <w:rFonts w:hint="eastAsia" w:ascii="宋体" w:hAnsi="宋体"/>
          <w:b/>
          <w:bCs/>
          <w:color w:val="000000"/>
          <w:sz w:val="24"/>
        </w:rPr>
        <w:t>4.2.4</w:t>
      </w:r>
      <w:r>
        <w:rPr>
          <w:rFonts w:hint="eastAsia" w:ascii="Arial" w:hAnsi="Arial" w:cs="Arial"/>
          <w:sz w:val="24"/>
          <w:szCs w:val="24"/>
        </w:rPr>
        <w:t xml:space="preserve"> 设有餐饮单位的新建建筑必须预留排油烟管道的专用井道，且应预留排油烟管道的清理空间，宜预留管道的更换空间。</w:t>
      </w:r>
    </w:p>
    <w:p>
      <w:pPr>
        <w:adjustRightInd w:val="0"/>
        <w:snapToGrid w:val="0"/>
        <w:spacing w:line="360" w:lineRule="auto"/>
        <w:rPr>
          <w:rFonts w:ascii="Arial" w:hAnsi="Arial" w:cs="Arial"/>
          <w:sz w:val="24"/>
          <w:szCs w:val="24"/>
        </w:rPr>
      </w:pPr>
      <w:r>
        <w:rPr>
          <w:rFonts w:hint="eastAsia" w:ascii="宋体" w:hAnsi="宋体"/>
          <w:b/>
          <w:bCs/>
          <w:color w:val="000000"/>
          <w:sz w:val="24"/>
        </w:rPr>
        <w:t>4.3.1</w:t>
      </w:r>
      <w:r>
        <w:rPr>
          <w:rFonts w:hint="eastAsia" w:ascii="Arial" w:hAnsi="Arial" w:eastAsia="黑体" w:cs="Arial"/>
          <w:sz w:val="24"/>
          <w:szCs w:val="24"/>
        </w:rPr>
        <w:t xml:space="preserve"> </w:t>
      </w:r>
      <w:r>
        <w:rPr>
          <w:rFonts w:hint="eastAsia" w:ascii="Arial" w:hAnsi="Arial" w:cs="Arial"/>
          <w:sz w:val="24"/>
          <w:szCs w:val="24"/>
        </w:rPr>
        <w:t>经油烟净化后的油烟排放口与周边环境敏感建筑的最近直线距离不应小于20m；经油烟净化和除异味处理后的油烟排放口与周边环境敏感建筑的最近直线距离不应小于10m。</w:t>
      </w:r>
    </w:p>
    <w:p>
      <w:pPr>
        <w:adjustRightInd w:val="0"/>
        <w:snapToGrid w:val="0"/>
        <w:spacing w:line="360" w:lineRule="auto"/>
        <w:rPr>
          <w:rFonts w:ascii="Arial" w:hAnsi="Arial" w:cs="Arial"/>
          <w:sz w:val="24"/>
          <w:szCs w:val="24"/>
        </w:rPr>
      </w:pPr>
      <w:r>
        <w:rPr>
          <w:rFonts w:hint="eastAsia" w:ascii="宋体" w:hAnsi="宋体"/>
          <w:b/>
          <w:bCs/>
          <w:color w:val="000000"/>
          <w:sz w:val="24"/>
        </w:rPr>
        <w:t>4.3.2</w:t>
      </w:r>
      <w:r>
        <w:rPr>
          <w:rFonts w:hint="eastAsia" w:ascii="Arial" w:hAnsi="Arial" w:eastAsia="黑体" w:cs="Arial"/>
          <w:sz w:val="24"/>
          <w:szCs w:val="24"/>
        </w:rPr>
        <w:t xml:space="preserve"> </w:t>
      </w:r>
      <w:r>
        <w:rPr>
          <w:rFonts w:hint="eastAsia" w:ascii="Arial" w:hAnsi="Arial" w:cs="Arial"/>
          <w:sz w:val="24"/>
          <w:szCs w:val="24"/>
        </w:rPr>
        <w:t>餐饮单位所在建筑物高度不大于15m时，油烟排放口应高出屋顶；建筑物高度大于15m时，油烟排放口高度应大于15m。油烟排放口不得朝向环境敏感建筑。</w:t>
      </w:r>
    </w:p>
    <w:p>
      <w:pPr>
        <w:adjustRightInd w:val="0"/>
        <w:snapToGrid w:val="0"/>
        <w:spacing w:line="360" w:lineRule="auto"/>
        <w:rPr>
          <w:rFonts w:ascii="Arial" w:hAnsi="Arial" w:eastAsia="黑体" w:cs="Arial"/>
          <w:sz w:val="24"/>
          <w:szCs w:val="24"/>
        </w:rPr>
      </w:pPr>
      <w:r>
        <w:rPr>
          <w:rFonts w:hint="eastAsia" w:ascii="宋体" w:hAnsi="宋体"/>
          <w:b/>
          <w:bCs/>
          <w:color w:val="000000"/>
          <w:sz w:val="24"/>
        </w:rPr>
        <w:t>4.3.3</w:t>
      </w:r>
      <w:r>
        <w:rPr>
          <w:rFonts w:hint="eastAsia" w:ascii="宋体" w:hAnsi="宋体"/>
          <w:b/>
          <w:bCs/>
          <w:color w:val="000000"/>
          <w:sz w:val="24"/>
          <w:lang w:val="en-US" w:eastAsia="zh-CN"/>
        </w:rPr>
        <w:t xml:space="preserve"> </w:t>
      </w:r>
      <w:r>
        <w:rPr>
          <w:rFonts w:hint="eastAsia" w:ascii="Arial" w:hAnsi="Arial" w:cs="Arial"/>
          <w:sz w:val="24"/>
          <w:szCs w:val="24"/>
        </w:rPr>
        <w:t>油烟排放口与新风口位于同一侧墙面时，水平距离不应小于20m；有条件时，应设置在不同方向的墙面上。</w:t>
      </w:r>
    </w:p>
    <w:p>
      <w:pPr>
        <w:adjustRightInd w:val="0"/>
        <w:snapToGrid w:val="0"/>
        <w:spacing w:line="360" w:lineRule="auto"/>
        <w:rPr>
          <w:rFonts w:ascii="Arial" w:hAnsi="Arial" w:cs="Arial"/>
          <w:sz w:val="24"/>
          <w:szCs w:val="24"/>
        </w:rPr>
      </w:pPr>
      <w:r>
        <w:rPr>
          <w:rFonts w:hint="eastAsia" w:ascii="宋体" w:hAnsi="宋体"/>
          <w:b/>
          <w:bCs/>
          <w:color w:val="000000"/>
          <w:sz w:val="24"/>
        </w:rPr>
        <w:t>5.1.2</w:t>
      </w:r>
      <w:r>
        <w:rPr>
          <w:rFonts w:hint="eastAsia" w:ascii="Arial" w:hAnsi="Arial" w:cs="Arial"/>
          <w:sz w:val="24"/>
          <w:szCs w:val="24"/>
        </w:rPr>
        <w:t xml:space="preserve"> 不具备自然进风条件的厨房，应采用机械送、排风系统。</w:t>
      </w:r>
    </w:p>
    <w:p>
      <w:pPr>
        <w:adjustRightInd w:val="0"/>
        <w:snapToGrid w:val="0"/>
        <w:spacing w:line="360" w:lineRule="auto"/>
        <w:rPr>
          <w:rFonts w:ascii="Arial" w:hAnsi="Arial" w:cs="Arial"/>
          <w:sz w:val="24"/>
          <w:szCs w:val="24"/>
        </w:rPr>
      </w:pPr>
      <w:r>
        <w:rPr>
          <w:rFonts w:hint="eastAsia" w:ascii="宋体" w:hAnsi="宋体"/>
          <w:b/>
          <w:bCs/>
          <w:color w:val="000000"/>
          <w:sz w:val="24"/>
        </w:rPr>
        <w:t>5.1.3</w:t>
      </w:r>
      <w:r>
        <w:rPr>
          <w:rFonts w:hint="eastAsia" w:ascii="宋体" w:hAnsi="宋体"/>
          <w:b/>
          <w:bCs/>
          <w:color w:val="000000"/>
          <w:sz w:val="24"/>
          <w:lang w:val="en-US" w:eastAsia="zh-CN"/>
        </w:rPr>
        <w:t xml:space="preserve"> </w:t>
      </w:r>
      <w:r>
        <w:rPr>
          <w:rFonts w:hint="eastAsia" w:ascii="Arial" w:hAnsi="Arial" w:cs="Arial"/>
          <w:sz w:val="24"/>
          <w:szCs w:val="24"/>
        </w:rPr>
        <w:t>食物烹饪作业时，厨房内应保持负压，负压值应满足现行行业标准《饮食建筑设计标准》JGJ64的要求。</w:t>
      </w:r>
    </w:p>
    <w:p>
      <w:pPr>
        <w:adjustRightInd w:val="0"/>
        <w:snapToGrid w:val="0"/>
        <w:spacing w:line="360" w:lineRule="auto"/>
        <w:rPr>
          <w:rFonts w:ascii="Arial" w:hAnsi="Arial" w:cs="Arial"/>
          <w:sz w:val="24"/>
          <w:szCs w:val="24"/>
        </w:rPr>
      </w:pPr>
      <w:r>
        <w:rPr>
          <w:rFonts w:hint="eastAsia" w:ascii="宋体" w:hAnsi="宋体"/>
          <w:b/>
          <w:bCs/>
          <w:color w:val="000000"/>
          <w:sz w:val="24"/>
        </w:rPr>
        <w:t>5.1.6</w:t>
      </w:r>
      <w:r>
        <w:rPr>
          <w:rFonts w:hint="eastAsia" w:ascii="宋体" w:hAnsi="宋体"/>
          <w:b/>
          <w:bCs/>
          <w:color w:val="000000"/>
          <w:sz w:val="24"/>
          <w:lang w:val="en-US" w:eastAsia="zh-CN"/>
        </w:rPr>
        <w:t xml:space="preserve"> </w:t>
      </w:r>
      <w:r>
        <w:rPr>
          <w:rFonts w:hint="eastAsia" w:ascii="Arial" w:hAnsi="Arial" w:cs="Arial"/>
          <w:sz w:val="24"/>
          <w:szCs w:val="24"/>
        </w:rPr>
        <w:t>油烟应经净化后排放，且应符合现行上海市地方标准</w:t>
      </w:r>
      <w:r>
        <w:rPr>
          <w:rFonts w:ascii="Arial" w:hAnsi="Arial" w:eastAsia="黑体" w:cs="Arial"/>
          <w:sz w:val="24"/>
          <w:szCs w:val="24"/>
        </w:rPr>
        <w:t>《</w:t>
      </w:r>
      <w:r>
        <w:rPr>
          <w:rFonts w:hint="eastAsia" w:ascii="Arial" w:hAnsi="Arial" w:cs="Arial"/>
          <w:sz w:val="24"/>
          <w:szCs w:val="24"/>
        </w:rPr>
        <w:t>餐饮</w:t>
      </w:r>
      <w:r>
        <w:rPr>
          <w:rFonts w:ascii="Arial" w:hAnsi="Arial" w:cs="Arial"/>
          <w:sz w:val="24"/>
          <w:szCs w:val="24"/>
        </w:rPr>
        <w:t>业</w:t>
      </w:r>
      <w:r>
        <w:rPr>
          <w:rFonts w:hint="eastAsia" w:ascii="Arial" w:hAnsi="Arial" w:cs="Arial"/>
          <w:sz w:val="24"/>
          <w:szCs w:val="24"/>
        </w:rPr>
        <w:t>油烟排放标准</w:t>
      </w:r>
      <w:r>
        <w:rPr>
          <w:rFonts w:ascii="Arial" w:hAnsi="Arial" w:cs="Arial"/>
          <w:sz w:val="24"/>
          <w:szCs w:val="24"/>
        </w:rPr>
        <w:t>》</w:t>
      </w:r>
      <w:r>
        <w:rPr>
          <w:rFonts w:hint="eastAsia" w:ascii="Arial" w:hAnsi="Arial" w:cs="Arial"/>
          <w:sz w:val="24"/>
          <w:szCs w:val="24"/>
        </w:rPr>
        <w:t>DB31/844的有关规定。</w:t>
      </w:r>
    </w:p>
    <w:p>
      <w:pPr>
        <w:adjustRightInd w:val="0"/>
        <w:snapToGrid w:val="0"/>
        <w:spacing w:line="360" w:lineRule="auto"/>
        <w:rPr>
          <w:rFonts w:ascii="Arial" w:hAnsi="Arial" w:cs="Arial"/>
          <w:sz w:val="24"/>
          <w:szCs w:val="24"/>
        </w:rPr>
      </w:pPr>
      <w:r>
        <w:rPr>
          <w:rFonts w:hint="eastAsia" w:ascii="宋体" w:hAnsi="宋体"/>
          <w:b/>
          <w:bCs/>
          <w:color w:val="000000"/>
          <w:sz w:val="24"/>
        </w:rPr>
        <w:t>5.2.4</w:t>
      </w:r>
      <w:r>
        <w:rPr>
          <w:rFonts w:hint="eastAsia" w:ascii="宋体" w:hAnsi="宋体"/>
          <w:b/>
          <w:bCs/>
          <w:color w:val="000000"/>
          <w:sz w:val="24"/>
          <w:lang w:val="en-US" w:eastAsia="zh-CN"/>
        </w:rPr>
        <w:t xml:space="preserve"> </w:t>
      </w:r>
      <w:r>
        <w:rPr>
          <w:rFonts w:hint="eastAsia" w:ascii="Arial" w:hAnsi="Arial" w:cs="Arial"/>
          <w:sz w:val="24"/>
          <w:szCs w:val="24"/>
        </w:rPr>
        <w:t>油烟排风系统的净化装置应置于油烟排风机之前。净化装置及油烟和恶臭（异味）排放应符合现行上海市地方标准</w:t>
      </w:r>
      <w:r>
        <w:rPr>
          <w:rFonts w:ascii="Arial" w:hAnsi="Arial" w:eastAsia="黑体" w:cs="Arial"/>
          <w:sz w:val="24"/>
          <w:szCs w:val="24"/>
        </w:rPr>
        <w:t>《</w:t>
      </w:r>
      <w:r>
        <w:rPr>
          <w:rFonts w:hint="eastAsia" w:ascii="Arial" w:hAnsi="Arial" w:cs="Arial"/>
          <w:sz w:val="24"/>
          <w:szCs w:val="24"/>
        </w:rPr>
        <w:t>餐饮</w:t>
      </w:r>
      <w:r>
        <w:rPr>
          <w:rFonts w:ascii="Arial" w:hAnsi="Arial" w:cs="Arial"/>
          <w:sz w:val="24"/>
          <w:szCs w:val="24"/>
        </w:rPr>
        <w:t>业</w:t>
      </w:r>
      <w:r>
        <w:rPr>
          <w:rFonts w:hint="eastAsia" w:ascii="Arial" w:hAnsi="Arial" w:cs="Arial"/>
          <w:sz w:val="24"/>
          <w:szCs w:val="24"/>
        </w:rPr>
        <w:t>油烟排放标准</w:t>
      </w:r>
      <w:r>
        <w:rPr>
          <w:rFonts w:ascii="Arial" w:hAnsi="Arial" w:cs="Arial"/>
          <w:sz w:val="24"/>
          <w:szCs w:val="24"/>
        </w:rPr>
        <w:t>》</w:t>
      </w:r>
      <w:r>
        <w:rPr>
          <w:rFonts w:hint="eastAsia" w:ascii="Arial" w:hAnsi="Arial" w:cs="Arial"/>
          <w:sz w:val="24"/>
          <w:szCs w:val="24"/>
        </w:rPr>
        <w:t>DB31/844的有关规定。</w:t>
      </w:r>
    </w:p>
    <w:p>
      <w:pPr>
        <w:adjustRightInd w:val="0"/>
        <w:snapToGrid w:val="0"/>
        <w:spacing w:line="360" w:lineRule="auto"/>
        <w:rPr>
          <w:rFonts w:ascii="Arial" w:hAnsi="Arial" w:cs="Arial"/>
          <w:sz w:val="24"/>
          <w:szCs w:val="24"/>
        </w:rPr>
      </w:pPr>
      <w:r>
        <w:rPr>
          <w:rFonts w:hint="eastAsia" w:ascii="宋体" w:hAnsi="宋体"/>
          <w:b/>
          <w:bCs/>
          <w:color w:val="000000"/>
          <w:sz w:val="24"/>
        </w:rPr>
        <w:t>5.3.1</w:t>
      </w:r>
      <w:r>
        <w:rPr>
          <w:rFonts w:hint="eastAsia" w:ascii="Arial" w:hAnsi="Arial" w:cs="Arial"/>
          <w:sz w:val="24"/>
          <w:szCs w:val="24"/>
        </w:rPr>
        <w:t xml:space="preserve"> 厨房的通风换气次数不应小于表5.3.1的规定。</w:t>
      </w:r>
    </w:p>
    <w:p>
      <w:pPr>
        <w:spacing w:line="360" w:lineRule="auto"/>
        <w:jc w:val="center"/>
        <w:rPr>
          <w:rFonts w:ascii="Arial" w:hAnsi="Arial" w:cs="Arial"/>
          <w:szCs w:val="21"/>
        </w:rPr>
      </w:pPr>
      <w:r>
        <w:rPr>
          <w:rFonts w:hint="eastAsia" w:ascii="Arial" w:hAnsi="Arial" w:cs="Arial"/>
          <w:szCs w:val="21"/>
        </w:rPr>
        <w:t>表5.3.1 厨房通风换气次数 (次/h)</w:t>
      </w:r>
    </w:p>
    <w:tbl>
      <w:tblPr>
        <w:tblStyle w:val="23"/>
        <w:tblW w:w="0" w:type="auto"/>
        <w:tblInd w:w="4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5"/>
        <w:gridCol w:w="1350"/>
        <w:gridCol w:w="1380"/>
        <w:gridCol w:w="1470"/>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545" w:type="dxa"/>
          </w:tcPr>
          <w:p>
            <w:pPr>
              <w:spacing w:line="360" w:lineRule="auto"/>
              <w:jc w:val="center"/>
              <w:rPr>
                <w:rFonts w:ascii="Arial" w:hAnsi="Arial" w:cs="Arial"/>
                <w:szCs w:val="21"/>
              </w:rPr>
            </w:pPr>
            <w:r>
              <w:rPr>
                <w:rFonts w:hint="eastAsia" w:ascii="Arial" w:hAnsi="Arial" w:cs="Arial"/>
                <w:szCs w:val="21"/>
              </w:rPr>
              <w:t>餐饮类型</w:t>
            </w:r>
          </w:p>
        </w:tc>
        <w:tc>
          <w:tcPr>
            <w:tcW w:w="1350" w:type="dxa"/>
          </w:tcPr>
          <w:p>
            <w:pPr>
              <w:spacing w:line="360" w:lineRule="auto"/>
              <w:jc w:val="center"/>
              <w:rPr>
                <w:rFonts w:ascii="Arial" w:hAnsi="Arial" w:cs="Arial"/>
                <w:szCs w:val="21"/>
              </w:rPr>
            </w:pPr>
            <w:r>
              <w:rPr>
                <w:rFonts w:hint="eastAsia" w:ascii="Arial" w:hAnsi="Arial" w:cs="Arial"/>
                <w:szCs w:val="21"/>
              </w:rPr>
              <w:t>中餐</w:t>
            </w:r>
          </w:p>
        </w:tc>
        <w:tc>
          <w:tcPr>
            <w:tcW w:w="1380" w:type="dxa"/>
          </w:tcPr>
          <w:p>
            <w:pPr>
              <w:spacing w:line="360" w:lineRule="auto"/>
              <w:jc w:val="center"/>
              <w:rPr>
                <w:rFonts w:ascii="Arial" w:hAnsi="Arial" w:cs="Arial"/>
                <w:szCs w:val="21"/>
              </w:rPr>
            </w:pPr>
            <w:r>
              <w:rPr>
                <w:rFonts w:hint="eastAsia" w:ascii="Arial" w:hAnsi="Arial" w:cs="Arial"/>
                <w:szCs w:val="21"/>
              </w:rPr>
              <w:t>西餐</w:t>
            </w:r>
          </w:p>
        </w:tc>
        <w:tc>
          <w:tcPr>
            <w:tcW w:w="1470" w:type="dxa"/>
          </w:tcPr>
          <w:p>
            <w:pPr>
              <w:spacing w:line="360" w:lineRule="auto"/>
              <w:jc w:val="center"/>
              <w:rPr>
                <w:rFonts w:ascii="Arial" w:hAnsi="Arial" w:cs="Arial"/>
                <w:szCs w:val="21"/>
              </w:rPr>
            </w:pPr>
            <w:r>
              <w:rPr>
                <w:rFonts w:hint="eastAsia" w:ascii="Arial" w:hAnsi="Arial" w:cs="Arial"/>
                <w:szCs w:val="21"/>
              </w:rPr>
              <w:t>火锅</w:t>
            </w:r>
          </w:p>
        </w:tc>
        <w:tc>
          <w:tcPr>
            <w:tcW w:w="1393" w:type="dxa"/>
          </w:tcPr>
          <w:p>
            <w:pPr>
              <w:spacing w:line="360" w:lineRule="auto"/>
              <w:jc w:val="center"/>
              <w:rPr>
                <w:rFonts w:ascii="Arial" w:hAnsi="Arial" w:cs="Arial"/>
                <w:szCs w:val="21"/>
              </w:rPr>
            </w:pPr>
            <w:r>
              <w:rPr>
                <w:rFonts w:hint="eastAsia" w:ascii="Arial" w:hAnsi="Arial" w:cs="Arial"/>
                <w:szCs w:val="21"/>
              </w:rPr>
              <w:t>咖啡、酒吧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1545" w:type="dxa"/>
          </w:tcPr>
          <w:p>
            <w:pPr>
              <w:spacing w:line="360" w:lineRule="auto"/>
              <w:jc w:val="center"/>
              <w:rPr>
                <w:rFonts w:ascii="Arial" w:hAnsi="Arial" w:cs="Arial"/>
                <w:szCs w:val="21"/>
              </w:rPr>
            </w:pPr>
            <w:r>
              <w:rPr>
                <w:rFonts w:hint="eastAsia" w:ascii="Arial" w:hAnsi="Arial" w:cs="Arial"/>
                <w:szCs w:val="21"/>
              </w:rPr>
              <w:t>换气次数</w:t>
            </w:r>
          </w:p>
        </w:tc>
        <w:tc>
          <w:tcPr>
            <w:tcW w:w="1350" w:type="dxa"/>
          </w:tcPr>
          <w:p>
            <w:pPr>
              <w:spacing w:line="360" w:lineRule="auto"/>
              <w:jc w:val="center"/>
              <w:rPr>
                <w:rFonts w:ascii="Arial" w:hAnsi="Arial" w:cs="Arial"/>
                <w:szCs w:val="21"/>
              </w:rPr>
            </w:pPr>
            <w:r>
              <w:rPr>
                <w:rFonts w:hint="eastAsia" w:ascii="Arial" w:hAnsi="Arial" w:cs="Arial"/>
                <w:szCs w:val="21"/>
              </w:rPr>
              <w:t>40</w:t>
            </w:r>
          </w:p>
        </w:tc>
        <w:tc>
          <w:tcPr>
            <w:tcW w:w="1380" w:type="dxa"/>
          </w:tcPr>
          <w:p>
            <w:pPr>
              <w:spacing w:line="360" w:lineRule="auto"/>
              <w:jc w:val="center"/>
              <w:rPr>
                <w:rFonts w:ascii="Arial" w:hAnsi="Arial" w:cs="Arial"/>
                <w:szCs w:val="21"/>
              </w:rPr>
            </w:pPr>
            <w:r>
              <w:rPr>
                <w:rFonts w:hint="eastAsia" w:ascii="Arial" w:hAnsi="Arial" w:cs="Arial"/>
                <w:szCs w:val="21"/>
              </w:rPr>
              <w:t>25</w:t>
            </w:r>
          </w:p>
        </w:tc>
        <w:tc>
          <w:tcPr>
            <w:tcW w:w="1470" w:type="dxa"/>
          </w:tcPr>
          <w:p>
            <w:pPr>
              <w:spacing w:line="360" w:lineRule="auto"/>
              <w:jc w:val="center"/>
              <w:rPr>
                <w:rFonts w:ascii="Arial" w:hAnsi="Arial" w:cs="Arial"/>
                <w:szCs w:val="21"/>
              </w:rPr>
            </w:pPr>
            <w:r>
              <w:rPr>
                <w:rFonts w:hint="eastAsia" w:ascii="Arial" w:hAnsi="Arial" w:cs="Arial"/>
                <w:szCs w:val="21"/>
              </w:rPr>
              <w:t>10~15</w:t>
            </w:r>
          </w:p>
        </w:tc>
        <w:tc>
          <w:tcPr>
            <w:tcW w:w="1393" w:type="dxa"/>
          </w:tcPr>
          <w:p>
            <w:pPr>
              <w:spacing w:line="360" w:lineRule="auto"/>
              <w:jc w:val="center"/>
              <w:rPr>
                <w:rFonts w:ascii="Arial" w:hAnsi="Arial" w:cs="Arial"/>
                <w:szCs w:val="21"/>
              </w:rPr>
            </w:pPr>
            <w:r>
              <w:rPr>
                <w:rFonts w:hint="eastAsia" w:ascii="Arial" w:hAnsi="Arial" w:cs="Arial"/>
                <w:szCs w:val="21"/>
              </w:rPr>
              <w:t>6</w:t>
            </w:r>
          </w:p>
        </w:tc>
      </w:tr>
    </w:tbl>
    <w:p>
      <w:pPr>
        <w:adjustRightInd w:val="0"/>
        <w:snapToGrid w:val="0"/>
        <w:spacing w:line="360" w:lineRule="auto"/>
        <w:rPr>
          <w:rFonts w:ascii="Arial" w:hAnsi="Arial" w:cs="Arial"/>
          <w:sz w:val="24"/>
          <w:szCs w:val="24"/>
        </w:rPr>
      </w:pPr>
    </w:p>
    <w:p>
      <w:pPr>
        <w:adjustRightInd w:val="0"/>
        <w:snapToGrid w:val="0"/>
        <w:spacing w:line="360" w:lineRule="auto"/>
        <w:rPr>
          <w:rFonts w:ascii="Arial" w:hAnsi="Arial" w:cs="Arial"/>
          <w:sz w:val="24"/>
          <w:szCs w:val="24"/>
        </w:rPr>
      </w:pPr>
      <w:r>
        <w:rPr>
          <w:rFonts w:hint="eastAsia" w:ascii="宋体" w:hAnsi="宋体"/>
          <w:b/>
          <w:bCs/>
          <w:color w:val="000000"/>
          <w:sz w:val="24"/>
        </w:rPr>
        <w:t>5.3.6</w:t>
      </w:r>
      <w:r>
        <w:rPr>
          <w:rFonts w:hint="eastAsia" w:ascii="Arial" w:hAnsi="Arial" w:cs="Arial"/>
          <w:sz w:val="24"/>
          <w:szCs w:val="24"/>
        </w:rPr>
        <w:t xml:space="preserve"> 餐厨垃圾贮存间应设独立排风系统，通风换气次数不宜小于8次/h，并保持室内负压。</w:t>
      </w:r>
    </w:p>
    <w:p>
      <w:pPr>
        <w:adjustRightInd w:val="0"/>
        <w:snapToGrid w:val="0"/>
        <w:spacing w:line="360" w:lineRule="auto"/>
        <w:rPr>
          <w:rFonts w:ascii="Arial" w:hAnsi="Arial" w:cs="Arial"/>
          <w:sz w:val="24"/>
          <w:szCs w:val="24"/>
        </w:rPr>
      </w:pPr>
    </w:p>
    <w:p>
      <w:pPr>
        <w:adjustRightInd w:val="0"/>
        <w:snapToGrid w:val="0"/>
        <w:spacing w:line="360" w:lineRule="auto"/>
        <w:rPr>
          <w:rFonts w:ascii="Arial" w:hAnsi="Arial" w:eastAsia="黑体" w:cs="Arial"/>
          <w:sz w:val="24"/>
          <w:szCs w:val="24"/>
        </w:rPr>
      </w:pPr>
      <w:r>
        <w:rPr>
          <w:rFonts w:hint="eastAsia" w:ascii="Arial" w:hAnsi="Arial" w:eastAsia="黑体" w:cs="Arial"/>
          <w:sz w:val="24"/>
          <w:szCs w:val="24"/>
        </w:rPr>
        <w:t>《城镇天然气管道工程技术标准》DG/TJ08-10-2022</w:t>
      </w:r>
    </w:p>
    <w:p>
      <w:pPr>
        <w:adjustRightInd w:val="0"/>
        <w:snapToGrid w:val="0"/>
        <w:spacing w:line="360" w:lineRule="auto"/>
        <w:rPr>
          <w:rFonts w:ascii="Arial" w:hAnsi="Arial" w:cs="Arial"/>
          <w:sz w:val="24"/>
          <w:szCs w:val="24"/>
        </w:rPr>
      </w:pPr>
      <w:r>
        <w:rPr>
          <w:rFonts w:hint="eastAsia" w:ascii="宋体" w:hAnsi="宋体"/>
          <w:b/>
          <w:bCs/>
          <w:color w:val="000000"/>
          <w:sz w:val="24"/>
        </w:rPr>
        <w:t>5.4.10</w:t>
      </w:r>
      <w:r>
        <w:rPr>
          <w:rFonts w:hint="eastAsia" w:ascii="Arial" w:hAnsi="Arial" w:cs="Arial"/>
          <w:sz w:val="24"/>
          <w:szCs w:val="24"/>
        </w:rPr>
        <w:t xml:space="preserve"> 天然气管道敷设在地下室和地上密闭房间时，应符合下列要求：</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Fonts w:ascii="Arial" w:hAnsi="Arial" w:cs="Arial"/>
          <w:sz w:val="24"/>
          <w:szCs w:val="24"/>
        </w:rPr>
      </w:pPr>
      <w:r>
        <w:rPr>
          <w:rFonts w:hint="eastAsia" w:ascii="宋体" w:hAnsi="宋体"/>
          <w:b/>
          <w:bCs/>
          <w:color w:val="000000"/>
          <w:sz w:val="24"/>
        </w:rPr>
        <w:t>2</w:t>
      </w:r>
      <w:r>
        <w:rPr>
          <w:rFonts w:hint="eastAsia" w:ascii="Arial" w:hAnsi="Arial" w:cs="Arial"/>
          <w:sz w:val="24"/>
          <w:szCs w:val="24"/>
        </w:rPr>
        <w:t xml:space="preserve"> 应有良好的通风设施，房间换气次数不小于3次/时；并应有独立的事故机械通风设施，其换气次数不应小于6次/时。</w:t>
      </w:r>
    </w:p>
    <w:p>
      <w:pPr>
        <w:adjustRightInd w:val="0"/>
        <w:snapToGrid w:val="0"/>
        <w:spacing w:line="360" w:lineRule="auto"/>
        <w:rPr>
          <w:rFonts w:ascii="Arial" w:hAnsi="Arial" w:cs="Arial"/>
          <w:sz w:val="24"/>
          <w:szCs w:val="24"/>
        </w:rPr>
      </w:pPr>
      <w:r>
        <w:rPr>
          <w:rFonts w:hint="eastAsia" w:ascii="宋体" w:hAnsi="宋体"/>
          <w:b/>
          <w:bCs/>
          <w:color w:val="000000"/>
          <w:sz w:val="24"/>
        </w:rPr>
        <w:t>7.0.4</w:t>
      </w:r>
      <w:r>
        <w:rPr>
          <w:rFonts w:hint="eastAsia" w:ascii="Arial" w:hAnsi="Arial" w:cs="Arial"/>
          <w:sz w:val="24"/>
          <w:szCs w:val="24"/>
        </w:rPr>
        <w:t xml:space="preserve"> 公共建筑使用天然气的各类用气设备确需设置在地下室或半地下室以及地上密闭房间时，除应符合本标准第5.4.9条和第5.4.10条的规定外，还应符合下列要求：</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Fonts w:ascii="Arial" w:hAnsi="Arial" w:cs="Arial"/>
          <w:sz w:val="24"/>
          <w:szCs w:val="24"/>
        </w:rPr>
      </w:pPr>
      <w:r>
        <w:rPr>
          <w:rFonts w:hint="eastAsia" w:ascii="宋体" w:hAnsi="宋体"/>
          <w:b/>
          <w:bCs/>
          <w:color w:val="000000"/>
          <w:sz w:val="24"/>
        </w:rPr>
        <w:t>1</w:t>
      </w:r>
      <w:r>
        <w:rPr>
          <w:rFonts w:hint="eastAsia" w:ascii="Arial" w:hAnsi="Arial" w:cs="Arial"/>
          <w:sz w:val="24"/>
          <w:szCs w:val="24"/>
        </w:rPr>
        <w:t xml:space="preserve"> 应设置独立的机械送排风系统，通风量应满足下列要求：</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Arial" w:hAnsi="Arial" w:cs="Arial"/>
          <w:sz w:val="24"/>
          <w:szCs w:val="24"/>
        </w:rPr>
      </w:pPr>
      <w:r>
        <w:rPr>
          <w:rFonts w:hint="eastAsia" w:ascii="宋体" w:hAnsi="宋体"/>
          <w:b w:val="0"/>
          <w:bCs w:val="0"/>
          <w:color w:val="000000"/>
          <w:sz w:val="24"/>
        </w:rPr>
        <w:t>1）</w:t>
      </w:r>
      <w:r>
        <w:rPr>
          <w:rFonts w:hint="eastAsia" w:ascii="Arial" w:hAnsi="Arial" w:cs="Arial"/>
          <w:sz w:val="24"/>
          <w:szCs w:val="24"/>
        </w:rPr>
        <w:t>正常工作时，换气次数不应小于6次/时；事故通风时，换气次数不应小于12次/时；不工作时，换气次数不应小于3次/时。</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Arial" w:hAnsi="Arial" w:cs="Arial"/>
          <w:sz w:val="24"/>
          <w:szCs w:val="24"/>
        </w:rPr>
      </w:pPr>
      <w:r>
        <w:rPr>
          <w:rFonts w:hint="eastAsia" w:ascii="宋体" w:hAnsi="宋体"/>
          <w:b w:val="0"/>
          <w:bCs w:val="0"/>
          <w:color w:val="000000"/>
          <w:sz w:val="24"/>
        </w:rPr>
        <w:t>2）</w:t>
      </w:r>
      <w:r>
        <w:rPr>
          <w:rFonts w:hint="eastAsia" w:ascii="Arial" w:hAnsi="Arial" w:cs="Arial"/>
          <w:sz w:val="24"/>
          <w:szCs w:val="24"/>
        </w:rPr>
        <w:t>当燃烧所需的空气由室内吸取时，应满足燃烧所需的空气量。</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Arial" w:hAnsi="Arial" w:cs="Arial"/>
          <w:sz w:val="24"/>
          <w:szCs w:val="24"/>
        </w:rPr>
      </w:pPr>
      <w:r>
        <w:rPr>
          <w:rFonts w:hint="eastAsia" w:ascii="宋体" w:hAnsi="宋体"/>
          <w:b w:val="0"/>
          <w:bCs w:val="0"/>
          <w:color w:val="000000"/>
          <w:sz w:val="24"/>
        </w:rPr>
        <w:t>3）</w:t>
      </w:r>
      <w:r>
        <w:rPr>
          <w:rFonts w:hint="eastAsia" w:ascii="Arial" w:hAnsi="Arial" w:cs="Arial"/>
          <w:sz w:val="24"/>
          <w:szCs w:val="24"/>
        </w:rPr>
        <w:t>应满足排除房间内热力设备散失的多余热量所需的空气量。</w:t>
      </w:r>
    </w:p>
    <w:p>
      <w:pPr>
        <w:adjustRightInd w:val="0"/>
        <w:snapToGrid w:val="0"/>
        <w:spacing w:line="360" w:lineRule="auto"/>
        <w:rPr>
          <w:rFonts w:ascii="Arial" w:hAnsi="Arial" w:cs="Arial"/>
          <w:sz w:val="24"/>
          <w:szCs w:val="24"/>
        </w:rPr>
      </w:pPr>
    </w:p>
    <w:p>
      <w:pPr>
        <w:adjustRightInd w:val="0"/>
        <w:snapToGrid w:val="0"/>
        <w:spacing w:line="360" w:lineRule="auto"/>
        <w:rPr>
          <w:rFonts w:ascii="Arial" w:hAnsi="Arial" w:eastAsia="黑体" w:cs="Arial"/>
          <w:sz w:val="24"/>
          <w:szCs w:val="24"/>
        </w:rPr>
      </w:pPr>
      <w:r>
        <w:rPr>
          <w:rFonts w:hint="eastAsia" w:ascii="Arial" w:hAnsi="Arial" w:eastAsia="黑体" w:cs="Arial"/>
          <w:sz w:val="24"/>
          <w:szCs w:val="24"/>
        </w:rPr>
        <w:t>《集中</w:t>
      </w:r>
      <w:r>
        <w:rPr>
          <w:rFonts w:ascii="Arial" w:hAnsi="Arial" w:eastAsia="黑体" w:cs="Arial"/>
          <w:sz w:val="24"/>
          <w:szCs w:val="24"/>
        </w:rPr>
        <w:t>空调通风系统卫生管理规范》DB31/</w:t>
      </w:r>
      <w:r>
        <w:rPr>
          <w:rFonts w:hint="eastAsia" w:ascii="Arial" w:hAnsi="Arial" w:eastAsia="黑体" w:cs="Arial"/>
          <w:sz w:val="24"/>
          <w:szCs w:val="24"/>
        </w:rPr>
        <w:t>T</w:t>
      </w:r>
      <w:r>
        <w:rPr>
          <w:rFonts w:ascii="Arial" w:hAnsi="Arial" w:eastAsia="黑体" w:cs="Arial"/>
          <w:sz w:val="24"/>
          <w:szCs w:val="24"/>
        </w:rPr>
        <w:t>405-20</w:t>
      </w:r>
      <w:r>
        <w:rPr>
          <w:rFonts w:hint="eastAsia" w:ascii="Arial" w:hAnsi="Arial" w:eastAsia="黑体" w:cs="Arial"/>
          <w:sz w:val="24"/>
          <w:szCs w:val="24"/>
        </w:rPr>
        <w:t>21</w:t>
      </w:r>
    </w:p>
    <w:p>
      <w:pPr>
        <w:adjustRightInd w:val="0"/>
        <w:snapToGrid w:val="0"/>
        <w:spacing w:line="360" w:lineRule="auto"/>
        <w:rPr>
          <w:rFonts w:hint="eastAsia" w:ascii="Arial" w:hAnsi="Arial" w:cs="Arial"/>
          <w:sz w:val="24"/>
          <w:szCs w:val="24"/>
        </w:rPr>
      </w:pPr>
      <w:r>
        <w:rPr>
          <w:rFonts w:hint="eastAsia" w:ascii="宋体" w:hAnsi="宋体"/>
          <w:b/>
          <w:bCs/>
          <w:color w:val="000000"/>
          <w:sz w:val="24"/>
        </w:rPr>
        <w:t xml:space="preserve">4.3.3 </w:t>
      </w:r>
      <w:r>
        <w:rPr>
          <w:rFonts w:hint="eastAsia" w:ascii="Arial" w:hAnsi="Arial" w:cs="Arial"/>
          <w:sz w:val="24"/>
          <w:szCs w:val="24"/>
        </w:rPr>
        <w:t>新风口与污染源的水平距离达不到10m的，应符合表1的要求。</w:t>
      </w:r>
    </w:p>
    <w:p>
      <w:pPr>
        <w:adjustRightInd w:val="0"/>
        <w:snapToGrid w:val="0"/>
        <w:spacing w:line="360" w:lineRule="auto"/>
        <w:rPr>
          <w:rFonts w:hint="eastAsia" w:ascii="Arial" w:hAnsi="Arial" w:cs="Arial"/>
          <w:sz w:val="24"/>
          <w:szCs w:val="24"/>
        </w:rPr>
      </w:pPr>
    </w:p>
    <w:p>
      <w:pPr>
        <w:adjustRightInd w:val="0"/>
        <w:snapToGrid w:val="0"/>
        <w:spacing w:line="360" w:lineRule="auto"/>
        <w:rPr>
          <w:rFonts w:hint="eastAsia" w:ascii="Arial" w:hAnsi="Arial" w:cs="Arial"/>
          <w:sz w:val="24"/>
          <w:szCs w:val="24"/>
        </w:rPr>
      </w:pPr>
    </w:p>
    <w:p>
      <w:pPr>
        <w:adjustRightInd w:val="0"/>
        <w:snapToGrid w:val="0"/>
        <w:spacing w:line="360" w:lineRule="auto"/>
        <w:rPr>
          <w:rFonts w:hint="eastAsia" w:ascii="Arial" w:hAnsi="Arial" w:cs="Arial"/>
          <w:sz w:val="24"/>
          <w:szCs w:val="24"/>
        </w:rPr>
      </w:pPr>
    </w:p>
    <w:p>
      <w:pPr>
        <w:adjustRightInd w:val="0"/>
        <w:snapToGrid w:val="0"/>
        <w:spacing w:line="360" w:lineRule="auto"/>
        <w:rPr>
          <w:rFonts w:ascii="Arial" w:hAnsi="Arial" w:cs="Arial"/>
          <w:sz w:val="24"/>
          <w:szCs w:val="24"/>
        </w:rPr>
      </w:pPr>
    </w:p>
    <w:p>
      <w:pPr>
        <w:adjustRightInd w:val="0"/>
        <w:snapToGrid w:val="0"/>
        <w:spacing w:line="360" w:lineRule="auto"/>
        <w:jc w:val="center"/>
        <w:rPr>
          <w:rFonts w:ascii="Arial" w:hAnsi="Arial" w:cs="Arial"/>
          <w:szCs w:val="21"/>
        </w:rPr>
      </w:pPr>
      <w:r>
        <w:rPr>
          <w:rFonts w:hint="eastAsia" w:ascii="Arial" w:hAnsi="Arial" w:cs="Arial"/>
          <w:szCs w:val="21"/>
        </w:rPr>
        <w:t>表1 新风口与污染源的水平距离的卫生要求</w:t>
      </w:r>
    </w:p>
    <w:tbl>
      <w:tblPr>
        <w:tblStyle w:val="23"/>
        <w:tblW w:w="864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36"/>
        <w:gridCol w:w="41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536" w:type="dxa"/>
          </w:tcPr>
          <w:p>
            <w:pPr>
              <w:spacing w:line="360" w:lineRule="auto"/>
              <w:jc w:val="center"/>
              <w:rPr>
                <w:rFonts w:ascii="Arial" w:hAnsi="Arial" w:cs="Arial"/>
                <w:szCs w:val="21"/>
              </w:rPr>
            </w:pPr>
            <w:r>
              <w:rPr>
                <w:rFonts w:hint="eastAsia" w:ascii="Arial" w:hAnsi="Arial" w:cs="Arial"/>
                <w:szCs w:val="21"/>
              </w:rPr>
              <w:t>污染源</w:t>
            </w:r>
          </w:p>
        </w:tc>
        <w:tc>
          <w:tcPr>
            <w:tcW w:w="4111" w:type="dxa"/>
          </w:tcPr>
          <w:p>
            <w:pPr>
              <w:spacing w:line="360" w:lineRule="auto"/>
              <w:jc w:val="center"/>
              <w:rPr>
                <w:rFonts w:ascii="Arial" w:hAnsi="Arial" w:cs="Arial"/>
                <w:szCs w:val="21"/>
              </w:rPr>
            </w:pPr>
            <w:r>
              <w:rPr>
                <w:rFonts w:hint="eastAsia" w:ascii="Arial" w:hAnsi="Arial" w:cs="Arial"/>
                <w:szCs w:val="21"/>
              </w:rPr>
              <w:t>水平距离（m）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4536" w:type="dxa"/>
          </w:tcPr>
          <w:p>
            <w:pPr>
              <w:spacing w:line="360" w:lineRule="auto"/>
              <w:jc w:val="center"/>
              <w:rPr>
                <w:rFonts w:ascii="Arial" w:hAnsi="Arial" w:cs="Arial"/>
                <w:szCs w:val="21"/>
              </w:rPr>
            </w:pPr>
            <w:r>
              <w:rPr>
                <w:rFonts w:hint="eastAsia" w:ascii="Arial" w:hAnsi="Arial" w:cs="Arial"/>
                <w:szCs w:val="21"/>
              </w:rPr>
              <w:t>排风口</w:t>
            </w:r>
          </w:p>
        </w:tc>
        <w:tc>
          <w:tcPr>
            <w:tcW w:w="4111" w:type="dxa"/>
          </w:tcPr>
          <w:p>
            <w:pPr>
              <w:spacing w:line="360" w:lineRule="auto"/>
              <w:jc w:val="center"/>
              <w:rPr>
                <w:rFonts w:ascii="Arial" w:hAnsi="Arial" w:cs="Arial"/>
                <w:szCs w:val="21"/>
                <w:vertAlign w:val="superscript"/>
              </w:rPr>
            </w:pPr>
            <w:r>
              <w:rPr>
                <w:rFonts w:hint="eastAsia" w:ascii="Arial" w:hAnsi="Arial" w:cs="Arial"/>
                <w:szCs w:val="21"/>
              </w:rPr>
              <w:t>≥5</w:t>
            </w:r>
            <w:r>
              <w:rPr>
                <w:rFonts w:hint="eastAsia" w:ascii="Arial" w:hAnsi="Arial" w:cs="Arial"/>
                <w:szCs w:val="21"/>
                <w:vertAlign w:val="superscript"/>
              </w:rPr>
              <w:t xml:space="preserve">a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4536" w:type="dxa"/>
          </w:tcPr>
          <w:p>
            <w:pPr>
              <w:spacing w:line="360" w:lineRule="auto"/>
              <w:jc w:val="center"/>
              <w:rPr>
                <w:rFonts w:ascii="Arial" w:hAnsi="Arial" w:cs="Arial"/>
                <w:szCs w:val="21"/>
              </w:rPr>
            </w:pPr>
            <w:r>
              <w:rPr>
                <w:rFonts w:hint="eastAsia" w:ascii="Arial" w:hAnsi="Arial" w:cs="Arial"/>
                <w:szCs w:val="21"/>
              </w:rPr>
              <w:t>室内停车场出入口、室外停车场</w:t>
            </w:r>
          </w:p>
        </w:tc>
        <w:tc>
          <w:tcPr>
            <w:tcW w:w="4111" w:type="dxa"/>
          </w:tcPr>
          <w:p>
            <w:pPr>
              <w:spacing w:line="360" w:lineRule="auto"/>
              <w:jc w:val="center"/>
              <w:rPr>
                <w:rFonts w:ascii="Arial" w:hAnsi="Arial" w:cs="Arial"/>
                <w:szCs w:val="21"/>
              </w:rPr>
            </w:pPr>
            <w:r>
              <w:rPr>
                <w:rFonts w:hint="eastAsia" w:ascii="Arial" w:hAnsi="Arial" w:cs="Arial"/>
                <w:szCs w:val="21"/>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4536" w:type="dxa"/>
          </w:tcPr>
          <w:p>
            <w:pPr>
              <w:spacing w:line="360" w:lineRule="auto"/>
              <w:jc w:val="center"/>
              <w:rPr>
                <w:rFonts w:ascii="Arial" w:hAnsi="Arial" w:cs="Arial"/>
                <w:szCs w:val="21"/>
              </w:rPr>
            </w:pPr>
            <w:r>
              <w:rPr>
                <w:rFonts w:hint="eastAsia" w:ascii="Arial" w:hAnsi="Arial" w:cs="Arial"/>
                <w:szCs w:val="21"/>
              </w:rPr>
              <w:t>垃圾投放/收集/转运/处置区（点）</w:t>
            </w:r>
          </w:p>
        </w:tc>
        <w:tc>
          <w:tcPr>
            <w:tcW w:w="4111" w:type="dxa"/>
          </w:tcPr>
          <w:p>
            <w:pPr>
              <w:spacing w:line="360" w:lineRule="auto"/>
              <w:jc w:val="center"/>
              <w:rPr>
                <w:rFonts w:ascii="Arial" w:hAnsi="Arial" w:cs="Arial"/>
                <w:szCs w:val="21"/>
              </w:rPr>
            </w:pPr>
            <w:r>
              <w:rPr>
                <w:rFonts w:hint="eastAsia" w:ascii="Arial" w:hAnsi="Arial" w:cs="Arial"/>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4536" w:type="dxa"/>
          </w:tcPr>
          <w:p>
            <w:pPr>
              <w:spacing w:line="360" w:lineRule="auto"/>
              <w:jc w:val="center"/>
              <w:rPr>
                <w:rFonts w:ascii="Arial" w:hAnsi="Arial" w:cs="Arial"/>
                <w:szCs w:val="21"/>
              </w:rPr>
            </w:pPr>
            <w:r>
              <w:rPr>
                <w:rFonts w:hint="eastAsia" w:ascii="Arial" w:hAnsi="Arial" w:cs="Arial"/>
                <w:szCs w:val="21"/>
              </w:rPr>
              <w:t>冷却塔进气口</w:t>
            </w:r>
          </w:p>
        </w:tc>
        <w:tc>
          <w:tcPr>
            <w:tcW w:w="4111" w:type="dxa"/>
          </w:tcPr>
          <w:p>
            <w:pPr>
              <w:spacing w:line="360" w:lineRule="auto"/>
              <w:jc w:val="center"/>
              <w:rPr>
                <w:rFonts w:ascii="Arial" w:hAnsi="Arial" w:cs="Arial"/>
                <w:szCs w:val="21"/>
              </w:rPr>
            </w:pPr>
            <w:r>
              <w:rPr>
                <w:rFonts w:hint="eastAsia" w:ascii="Arial" w:hAnsi="Arial" w:cs="Arial"/>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4536" w:type="dxa"/>
          </w:tcPr>
          <w:p>
            <w:pPr>
              <w:spacing w:line="360" w:lineRule="auto"/>
              <w:jc w:val="center"/>
              <w:rPr>
                <w:rFonts w:ascii="Arial" w:hAnsi="Arial" w:cs="Arial"/>
                <w:szCs w:val="21"/>
              </w:rPr>
            </w:pPr>
            <w:r>
              <w:rPr>
                <w:rFonts w:hint="eastAsia" w:ascii="Arial" w:hAnsi="Arial" w:cs="Arial"/>
                <w:szCs w:val="21"/>
              </w:rPr>
              <w:t>冷却塔排气口</w:t>
            </w:r>
          </w:p>
        </w:tc>
        <w:tc>
          <w:tcPr>
            <w:tcW w:w="4111" w:type="dxa"/>
          </w:tcPr>
          <w:p>
            <w:pPr>
              <w:spacing w:line="360" w:lineRule="auto"/>
              <w:jc w:val="center"/>
              <w:rPr>
                <w:rFonts w:ascii="Arial" w:hAnsi="Arial" w:cs="Arial"/>
                <w:szCs w:val="21"/>
              </w:rPr>
            </w:pPr>
            <w:r>
              <w:rPr>
                <w:rFonts w:hint="eastAsia" w:ascii="Arial" w:hAnsi="Arial" w:cs="Arial"/>
                <w:szCs w:val="21"/>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8647" w:type="dxa"/>
            <w:gridSpan w:val="2"/>
          </w:tcPr>
          <w:p>
            <w:pPr>
              <w:spacing w:line="360" w:lineRule="auto"/>
              <w:jc w:val="center"/>
              <w:rPr>
                <w:rFonts w:ascii="Arial" w:hAnsi="Arial" w:cs="Arial"/>
                <w:szCs w:val="21"/>
              </w:rPr>
            </w:pPr>
            <w:r>
              <w:rPr>
                <w:rFonts w:hint="eastAsia" w:ascii="Arial" w:hAnsi="Arial" w:cs="Arial"/>
                <w:szCs w:val="21"/>
              </w:rPr>
              <w:t>a新风口与排风口的水平距离达不到5m的，新风口应低于排风口，且垂直距离不应小于3m。</w:t>
            </w:r>
          </w:p>
        </w:tc>
      </w:tr>
    </w:tbl>
    <w:p>
      <w:pPr>
        <w:spacing w:line="360" w:lineRule="auto"/>
        <w:rPr>
          <w:rFonts w:ascii="Arial" w:hAnsi="Arial" w:cs="Arial"/>
          <w:sz w:val="24"/>
          <w:szCs w:val="24"/>
        </w:rPr>
      </w:pPr>
    </w:p>
    <w:p>
      <w:pPr>
        <w:adjustRightInd w:val="0"/>
        <w:snapToGrid w:val="0"/>
        <w:spacing w:line="360" w:lineRule="auto"/>
        <w:rPr>
          <w:rFonts w:ascii="Arial" w:hAnsi="Arial" w:cs="Arial"/>
          <w:sz w:val="24"/>
          <w:szCs w:val="24"/>
        </w:rPr>
      </w:pPr>
      <w:r>
        <w:rPr>
          <w:rFonts w:hint="eastAsia" w:ascii="宋体" w:hAnsi="宋体"/>
          <w:b/>
          <w:bCs/>
          <w:color w:val="000000"/>
          <w:sz w:val="24"/>
        </w:rPr>
        <w:t>4.3.5</w:t>
      </w:r>
      <w:r>
        <w:rPr>
          <w:rFonts w:hint="eastAsia" w:ascii="Arial" w:hAnsi="Arial" w:cs="Arial"/>
          <w:sz w:val="24"/>
          <w:szCs w:val="24"/>
        </w:rPr>
        <w:t xml:space="preserve"> 新风口应避免设置在冷却塔夏季最大频率风向的下风侧。</w:t>
      </w:r>
    </w:p>
    <w:p>
      <w:pPr>
        <w:adjustRightInd w:val="0"/>
        <w:snapToGrid w:val="0"/>
        <w:spacing w:line="360" w:lineRule="auto"/>
        <w:rPr>
          <w:rFonts w:ascii="Arial" w:hAnsi="Arial" w:cs="Arial"/>
          <w:sz w:val="24"/>
          <w:szCs w:val="24"/>
        </w:rPr>
      </w:pPr>
      <w:r>
        <w:rPr>
          <w:rFonts w:hint="eastAsia" w:ascii="宋体" w:hAnsi="宋体"/>
          <w:b/>
          <w:bCs/>
          <w:color w:val="000000"/>
          <w:sz w:val="24"/>
        </w:rPr>
        <w:t>4.3.8</w:t>
      </w:r>
      <w:r>
        <w:rPr>
          <w:rFonts w:hint="eastAsia" w:ascii="Arial" w:hAnsi="Arial" w:cs="Arial"/>
          <w:sz w:val="24"/>
          <w:szCs w:val="24"/>
        </w:rPr>
        <w:t xml:space="preserve"> 新风口应设置防雨罩或防雨百叶窗等防水配件、耐腐蚀的防护（防虫）网和过滤网。</w:t>
      </w:r>
    </w:p>
    <w:p>
      <w:pPr>
        <w:adjustRightInd w:val="0"/>
        <w:snapToGrid w:val="0"/>
        <w:spacing w:line="360" w:lineRule="auto"/>
        <w:rPr>
          <w:rFonts w:ascii="Arial" w:hAnsi="Arial" w:cs="Arial"/>
          <w:sz w:val="24"/>
          <w:szCs w:val="24"/>
        </w:rPr>
      </w:pPr>
      <w:r>
        <w:rPr>
          <w:rFonts w:hint="eastAsia" w:ascii="宋体" w:hAnsi="宋体"/>
          <w:b/>
          <w:bCs/>
          <w:color w:val="000000"/>
          <w:sz w:val="24"/>
        </w:rPr>
        <w:t>4.4.1</w:t>
      </w:r>
      <w:r>
        <w:rPr>
          <w:rFonts w:hint="eastAsia" w:ascii="Arial" w:hAnsi="Arial" w:cs="Arial"/>
          <w:sz w:val="24"/>
          <w:szCs w:val="24"/>
        </w:rPr>
        <w:t xml:space="preserve"> 回风口及吊装式空气处理机不得设于产生异味、粉尘、油烟的区域。</w:t>
      </w:r>
    </w:p>
    <w:p>
      <w:pPr>
        <w:adjustRightInd w:val="0"/>
        <w:snapToGrid w:val="0"/>
        <w:spacing w:line="360" w:lineRule="auto"/>
        <w:rPr>
          <w:rFonts w:ascii="Arial" w:hAnsi="Arial" w:cs="Arial"/>
          <w:sz w:val="24"/>
          <w:szCs w:val="24"/>
        </w:rPr>
      </w:pPr>
      <w:r>
        <w:rPr>
          <w:rFonts w:hint="eastAsia" w:ascii="宋体" w:hAnsi="宋体"/>
          <w:b/>
          <w:bCs/>
          <w:color w:val="000000"/>
          <w:sz w:val="24"/>
        </w:rPr>
        <w:t>4.4.3</w:t>
      </w:r>
      <w:r>
        <w:rPr>
          <w:rFonts w:hint="eastAsia" w:ascii="Arial" w:hAnsi="Arial" w:cs="Arial"/>
          <w:sz w:val="24"/>
          <w:szCs w:val="24"/>
        </w:rPr>
        <w:t xml:space="preserve"> 回风口应设置孔径或缝隙不大于6mm的防鼠装置。</w:t>
      </w:r>
    </w:p>
    <w:p>
      <w:pPr>
        <w:adjustRightInd w:val="0"/>
        <w:snapToGrid w:val="0"/>
        <w:spacing w:line="360" w:lineRule="auto"/>
        <w:rPr>
          <w:rFonts w:ascii="Arial" w:hAnsi="Arial" w:cs="Arial"/>
          <w:sz w:val="24"/>
          <w:szCs w:val="24"/>
        </w:rPr>
      </w:pPr>
      <w:r>
        <w:rPr>
          <w:rFonts w:hint="eastAsia" w:ascii="宋体" w:hAnsi="宋体"/>
          <w:b/>
          <w:bCs/>
          <w:color w:val="000000"/>
          <w:sz w:val="24"/>
        </w:rPr>
        <w:t>4.5</w:t>
      </w:r>
      <w:r>
        <w:rPr>
          <w:rFonts w:hint="eastAsia" w:ascii="Arial" w:hAnsi="Arial" w:cs="Arial"/>
          <w:sz w:val="24"/>
          <w:szCs w:val="24"/>
        </w:rPr>
        <w:t xml:space="preserve"> 冷凝水系统</w:t>
      </w:r>
    </w:p>
    <w:p>
      <w:pPr>
        <w:adjustRightInd w:val="0"/>
        <w:snapToGrid w:val="0"/>
        <w:spacing w:line="360" w:lineRule="auto"/>
        <w:rPr>
          <w:rFonts w:ascii="Arial" w:hAnsi="Arial" w:cs="Arial"/>
          <w:sz w:val="24"/>
          <w:szCs w:val="24"/>
        </w:rPr>
      </w:pPr>
      <w:r>
        <w:rPr>
          <w:rFonts w:hint="eastAsia" w:ascii="宋体" w:hAnsi="宋体"/>
          <w:b/>
          <w:bCs/>
          <w:color w:val="000000"/>
          <w:sz w:val="24"/>
        </w:rPr>
        <w:t>4.5.1</w:t>
      </w:r>
      <w:r>
        <w:rPr>
          <w:rFonts w:hint="eastAsia" w:ascii="Arial" w:hAnsi="Arial" w:cs="Arial"/>
          <w:sz w:val="24"/>
          <w:szCs w:val="24"/>
        </w:rPr>
        <w:t xml:space="preserve"> 冷凝水排水管道不得与污水、废水、室内密闭雨水系统直接连接。</w:t>
      </w:r>
    </w:p>
    <w:p>
      <w:pPr>
        <w:adjustRightInd w:val="0"/>
        <w:snapToGrid w:val="0"/>
        <w:spacing w:line="360" w:lineRule="auto"/>
        <w:rPr>
          <w:rFonts w:ascii="Arial" w:hAnsi="Arial" w:cs="Arial"/>
          <w:sz w:val="24"/>
          <w:szCs w:val="24"/>
        </w:rPr>
      </w:pPr>
      <w:r>
        <w:rPr>
          <w:rFonts w:hint="eastAsia" w:ascii="宋体" w:hAnsi="宋体"/>
          <w:b/>
          <w:bCs/>
          <w:color w:val="000000"/>
          <w:sz w:val="24"/>
        </w:rPr>
        <w:t>4.5.2</w:t>
      </w:r>
      <w:r>
        <w:rPr>
          <w:rFonts w:hint="eastAsia" w:ascii="Arial" w:hAnsi="Arial" w:cs="Arial"/>
          <w:sz w:val="24"/>
          <w:szCs w:val="24"/>
        </w:rPr>
        <w:t xml:space="preserve"> 新风处理机组和空气处理机组的冷凝水盘出水口应设置水封。</w:t>
      </w:r>
    </w:p>
    <w:p>
      <w:pPr>
        <w:adjustRightInd w:val="0"/>
        <w:snapToGrid w:val="0"/>
        <w:spacing w:line="360" w:lineRule="auto"/>
        <w:rPr>
          <w:rFonts w:ascii="Arial" w:hAnsi="Arial" w:cs="Arial"/>
          <w:sz w:val="24"/>
          <w:szCs w:val="24"/>
        </w:rPr>
      </w:pPr>
      <w:r>
        <w:rPr>
          <w:rFonts w:hint="eastAsia" w:ascii="宋体" w:hAnsi="宋体"/>
          <w:b/>
          <w:bCs/>
          <w:color w:val="000000"/>
          <w:sz w:val="24"/>
        </w:rPr>
        <w:t>4.5.3</w:t>
      </w:r>
      <w:r>
        <w:rPr>
          <w:rFonts w:hint="eastAsia" w:ascii="Arial" w:hAnsi="Arial" w:cs="Arial"/>
          <w:sz w:val="24"/>
          <w:szCs w:val="24"/>
        </w:rPr>
        <w:t xml:space="preserve"> 冷凝水管道应采取防凝露措施。</w:t>
      </w:r>
    </w:p>
    <w:p>
      <w:pPr>
        <w:adjustRightInd w:val="0"/>
        <w:snapToGrid w:val="0"/>
        <w:spacing w:line="360" w:lineRule="auto"/>
        <w:rPr>
          <w:rFonts w:ascii="Arial" w:hAnsi="Arial" w:cs="Arial"/>
          <w:sz w:val="24"/>
          <w:szCs w:val="24"/>
        </w:rPr>
      </w:pPr>
      <w:r>
        <w:rPr>
          <w:rFonts w:hint="eastAsia" w:ascii="宋体" w:hAnsi="宋体"/>
          <w:b/>
          <w:bCs/>
          <w:color w:val="000000"/>
          <w:sz w:val="24"/>
        </w:rPr>
        <w:t>6.2.1</w:t>
      </w:r>
      <w:r>
        <w:rPr>
          <w:rFonts w:hint="eastAsia" w:ascii="Arial" w:hAnsi="Arial" w:cs="Arial"/>
          <w:sz w:val="24"/>
          <w:szCs w:val="24"/>
        </w:rPr>
        <w:t xml:space="preserve"> 室内新风量应符合表4的要求。</w:t>
      </w:r>
    </w:p>
    <w:p>
      <w:pPr>
        <w:adjustRightInd w:val="0"/>
        <w:snapToGrid w:val="0"/>
        <w:spacing w:line="360" w:lineRule="auto"/>
        <w:jc w:val="center"/>
        <w:rPr>
          <w:rFonts w:ascii="Arial" w:hAnsi="Arial" w:cs="Arial"/>
          <w:szCs w:val="21"/>
        </w:rPr>
      </w:pPr>
      <w:r>
        <w:rPr>
          <w:rFonts w:hint="eastAsia" w:ascii="Arial" w:hAnsi="Arial" w:cs="Arial"/>
          <w:szCs w:val="21"/>
        </w:rPr>
        <w:t>表4 室内新风量限值要求</w:t>
      </w:r>
    </w:p>
    <w:tbl>
      <w:tblPr>
        <w:tblStyle w:val="2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52"/>
        <w:gridCol w:w="4742"/>
        <w:gridCol w:w="18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927" w:type="pct"/>
            <w:gridSpan w:val="2"/>
            <w:vAlign w:val="center"/>
          </w:tcPr>
          <w:p>
            <w:pPr>
              <w:spacing w:line="360" w:lineRule="auto"/>
              <w:jc w:val="center"/>
              <w:rPr>
                <w:rFonts w:ascii="Arial" w:hAnsi="Arial" w:cs="Arial"/>
                <w:szCs w:val="21"/>
                <w:vertAlign w:val="superscript"/>
              </w:rPr>
            </w:pPr>
            <w:r>
              <w:rPr>
                <w:rFonts w:hint="eastAsia" w:ascii="Arial" w:hAnsi="Arial" w:cs="Arial"/>
                <w:szCs w:val="21"/>
              </w:rPr>
              <w:t>建筑</w:t>
            </w:r>
            <w:r>
              <w:rPr>
                <w:rFonts w:hint="eastAsia" w:ascii="Arial" w:hAnsi="Arial" w:cs="Arial"/>
                <w:sz w:val="24"/>
                <w:szCs w:val="24"/>
                <w:vertAlign w:val="superscript"/>
              </w:rPr>
              <w:t>a</w:t>
            </w:r>
          </w:p>
        </w:tc>
        <w:tc>
          <w:tcPr>
            <w:tcW w:w="1073" w:type="pct"/>
          </w:tcPr>
          <w:p>
            <w:pPr>
              <w:spacing w:line="360" w:lineRule="auto"/>
              <w:jc w:val="center"/>
              <w:rPr>
                <w:rFonts w:ascii="Arial" w:hAnsi="Arial" w:cs="Arial"/>
                <w:szCs w:val="21"/>
              </w:rPr>
            </w:pPr>
            <w:r>
              <w:rPr>
                <w:rFonts w:hint="eastAsia" w:ascii="Arial" w:hAnsi="Arial" w:cs="Arial"/>
                <w:szCs w:val="21"/>
              </w:rPr>
              <w:t>新风量</w:t>
            </w:r>
            <w:r>
              <w:rPr>
                <w:rFonts w:hint="eastAsia" w:ascii="Arial" w:hAnsi="Arial" w:cs="Arial"/>
                <w:szCs w:val="21"/>
                <w:vertAlign w:val="superscript"/>
              </w:rPr>
              <w:t>b</w:t>
            </w:r>
            <w:r>
              <w:rPr>
                <w:rFonts w:hint="eastAsia" w:ascii="Arial" w:hAnsi="Arial" w:cs="Arial"/>
                <w:szCs w:val="21"/>
              </w:rPr>
              <w:t>（m</w:t>
            </w:r>
            <w:r>
              <w:rPr>
                <w:rFonts w:hint="eastAsia" w:ascii="Arial" w:hAnsi="Arial" w:cs="Arial"/>
                <w:szCs w:val="21"/>
                <w:vertAlign w:val="superscript"/>
              </w:rPr>
              <w:t>3</w:t>
            </w:r>
            <w:r>
              <w:rPr>
                <w:rFonts w:hint="eastAsia" w:ascii="Arial" w:hAnsi="Arial" w:cs="Arial"/>
                <w:szCs w:val="21"/>
              </w:rPr>
              <w:t>/(h</w:t>
            </w:r>
            <w:r>
              <w:rPr>
                <w:rFonts w:hint="eastAsia" w:ascii="宋体" w:hAnsi="宋体" w:cs="Arial"/>
                <w:szCs w:val="21"/>
              </w:rPr>
              <w:t>·</w:t>
            </w:r>
            <w:r>
              <w:rPr>
                <w:rFonts w:hint="eastAsia" w:ascii="Arial" w:hAnsi="Arial" w:cs="Arial"/>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1145" w:type="pct"/>
            <w:vMerge w:val="restart"/>
            <w:vAlign w:val="center"/>
          </w:tcPr>
          <w:p>
            <w:pPr>
              <w:spacing w:line="360" w:lineRule="auto"/>
              <w:jc w:val="center"/>
              <w:rPr>
                <w:rFonts w:ascii="Arial" w:hAnsi="Arial" w:cs="Arial"/>
                <w:szCs w:val="21"/>
              </w:rPr>
            </w:pPr>
            <w:r>
              <w:rPr>
                <w:rFonts w:hint="eastAsia" w:ascii="Arial" w:hAnsi="Arial" w:cs="Arial"/>
                <w:szCs w:val="21"/>
              </w:rPr>
              <w:t>商业建筑</w:t>
            </w:r>
          </w:p>
        </w:tc>
        <w:tc>
          <w:tcPr>
            <w:tcW w:w="2782" w:type="pct"/>
          </w:tcPr>
          <w:p>
            <w:pPr>
              <w:spacing w:line="360" w:lineRule="auto"/>
              <w:jc w:val="center"/>
              <w:rPr>
                <w:rFonts w:ascii="Arial" w:hAnsi="Arial" w:cs="Arial"/>
                <w:szCs w:val="21"/>
              </w:rPr>
            </w:pPr>
            <w:r>
              <w:rPr>
                <w:rFonts w:hint="eastAsia" w:ascii="Arial" w:hAnsi="Arial" w:cs="Arial"/>
                <w:szCs w:val="21"/>
              </w:rPr>
              <w:t>旅馆</w:t>
            </w:r>
          </w:p>
        </w:tc>
        <w:tc>
          <w:tcPr>
            <w:tcW w:w="1073" w:type="pct"/>
          </w:tcPr>
          <w:p>
            <w:pPr>
              <w:spacing w:line="360" w:lineRule="auto"/>
              <w:jc w:val="center"/>
              <w:rPr>
                <w:rFonts w:ascii="Arial" w:hAnsi="Arial" w:cs="Arial"/>
                <w:szCs w:val="21"/>
                <w:vertAlign w:val="superscript"/>
              </w:rPr>
            </w:pPr>
            <w:r>
              <w:rPr>
                <w:rFonts w:hint="eastAsia" w:ascii="Arial" w:hAnsi="Arial" w:cs="Arial"/>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1145" w:type="pct"/>
            <w:vMerge w:val="continue"/>
          </w:tcPr>
          <w:p>
            <w:pPr>
              <w:spacing w:line="360" w:lineRule="auto"/>
              <w:jc w:val="center"/>
              <w:rPr>
                <w:rFonts w:ascii="Arial" w:hAnsi="Arial" w:cs="Arial"/>
                <w:szCs w:val="21"/>
              </w:rPr>
            </w:pPr>
          </w:p>
        </w:tc>
        <w:tc>
          <w:tcPr>
            <w:tcW w:w="2782" w:type="pct"/>
          </w:tcPr>
          <w:p>
            <w:pPr>
              <w:ind w:leftChars="-50" w:hanging="105" w:hangingChars="50"/>
              <w:jc w:val="center"/>
              <w:rPr>
                <w:rFonts w:ascii="Arial" w:hAnsi="Arial" w:cs="Arial"/>
                <w:szCs w:val="21"/>
              </w:rPr>
            </w:pPr>
            <w:r>
              <w:rPr>
                <w:rFonts w:hint="eastAsia" w:ascii="Arial" w:hAnsi="Arial" w:cs="Arial"/>
                <w:szCs w:val="21"/>
              </w:rPr>
              <w:t>餐饮建筑、商场、公用事业及金融机构的</w:t>
            </w:r>
          </w:p>
          <w:p>
            <w:pPr>
              <w:ind w:leftChars="-50" w:hanging="105" w:hangingChars="50"/>
              <w:jc w:val="center"/>
              <w:rPr>
                <w:rFonts w:ascii="Arial" w:hAnsi="Arial" w:cs="Arial"/>
                <w:szCs w:val="21"/>
              </w:rPr>
            </w:pPr>
            <w:r>
              <w:rPr>
                <w:rFonts w:hint="eastAsia" w:ascii="Arial" w:hAnsi="Arial" w:cs="Arial"/>
                <w:szCs w:val="21"/>
              </w:rPr>
              <w:t>营业建筑</w:t>
            </w:r>
          </w:p>
        </w:tc>
        <w:tc>
          <w:tcPr>
            <w:tcW w:w="1073" w:type="pct"/>
            <w:vAlign w:val="center"/>
          </w:tcPr>
          <w:p>
            <w:pPr>
              <w:spacing w:line="360" w:lineRule="auto"/>
              <w:jc w:val="center"/>
              <w:rPr>
                <w:rFonts w:ascii="Arial" w:hAnsi="Arial" w:cs="Arial"/>
                <w:szCs w:val="21"/>
              </w:rPr>
            </w:pPr>
            <w:r>
              <w:rPr>
                <w:rFonts w:hint="eastAsia" w:ascii="Arial" w:hAnsi="Arial" w:cs="Arial"/>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1145" w:type="pct"/>
            <w:vMerge w:val="continue"/>
          </w:tcPr>
          <w:p>
            <w:pPr>
              <w:spacing w:line="360" w:lineRule="auto"/>
              <w:jc w:val="center"/>
              <w:rPr>
                <w:rFonts w:ascii="Arial" w:hAnsi="Arial" w:cs="Arial"/>
                <w:szCs w:val="21"/>
              </w:rPr>
            </w:pPr>
          </w:p>
        </w:tc>
        <w:tc>
          <w:tcPr>
            <w:tcW w:w="2782" w:type="pct"/>
          </w:tcPr>
          <w:p>
            <w:pPr>
              <w:jc w:val="center"/>
              <w:rPr>
                <w:rFonts w:ascii="Arial" w:hAnsi="Arial" w:cs="Arial"/>
                <w:szCs w:val="21"/>
              </w:rPr>
            </w:pPr>
            <w:r>
              <w:rPr>
                <w:rFonts w:hint="eastAsia" w:ascii="Arial" w:hAnsi="Arial" w:cs="Arial"/>
                <w:szCs w:val="21"/>
              </w:rPr>
              <w:t>公共浴室</w:t>
            </w:r>
          </w:p>
        </w:tc>
        <w:tc>
          <w:tcPr>
            <w:tcW w:w="1073" w:type="pct"/>
          </w:tcPr>
          <w:p>
            <w:pPr>
              <w:spacing w:line="360" w:lineRule="auto"/>
              <w:jc w:val="center"/>
              <w:rPr>
                <w:rFonts w:ascii="Arial" w:hAnsi="Arial" w:cs="Arial"/>
                <w:szCs w:val="21"/>
              </w:rPr>
            </w:pPr>
            <w:r>
              <w:rPr>
                <w:rFonts w:hint="eastAsia" w:ascii="Arial" w:hAnsi="Arial" w:cs="Arial"/>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1145" w:type="pct"/>
          </w:tcPr>
          <w:p>
            <w:pPr>
              <w:spacing w:line="360" w:lineRule="auto"/>
              <w:jc w:val="center"/>
              <w:rPr>
                <w:rFonts w:ascii="Arial" w:hAnsi="Arial" w:cs="Arial"/>
                <w:szCs w:val="21"/>
              </w:rPr>
            </w:pPr>
            <w:r>
              <w:rPr>
                <w:rFonts w:hint="eastAsia" w:ascii="Arial" w:hAnsi="Arial" w:cs="Arial"/>
                <w:szCs w:val="21"/>
              </w:rPr>
              <w:t>办公建筑</w:t>
            </w:r>
          </w:p>
        </w:tc>
        <w:tc>
          <w:tcPr>
            <w:tcW w:w="2782" w:type="pct"/>
          </w:tcPr>
          <w:p>
            <w:pPr>
              <w:spacing w:line="360" w:lineRule="auto"/>
              <w:jc w:val="center"/>
              <w:rPr>
                <w:rFonts w:ascii="Arial" w:hAnsi="Arial" w:cs="Arial"/>
                <w:szCs w:val="21"/>
              </w:rPr>
            </w:pPr>
            <w:r>
              <w:rPr>
                <w:rFonts w:hint="eastAsia" w:ascii="Arial" w:hAnsi="Arial" w:cs="Arial"/>
                <w:szCs w:val="21"/>
              </w:rPr>
              <w:t>行政办公楼、商务写字楼</w:t>
            </w:r>
          </w:p>
        </w:tc>
        <w:tc>
          <w:tcPr>
            <w:tcW w:w="1073" w:type="pct"/>
          </w:tcPr>
          <w:p>
            <w:pPr>
              <w:spacing w:line="360" w:lineRule="auto"/>
              <w:jc w:val="center"/>
              <w:rPr>
                <w:rFonts w:ascii="Arial" w:hAnsi="Arial" w:cs="Arial"/>
                <w:szCs w:val="21"/>
              </w:rPr>
            </w:pPr>
            <w:r>
              <w:rPr>
                <w:rFonts w:hint="eastAsia" w:ascii="Arial" w:hAnsi="Arial" w:cs="Arial"/>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1145" w:type="pct"/>
            <w:vMerge w:val="restart"/>
            <w:vAlign w:val="center"/>
          </w:tcPr>
          <w:p>
            <w:pPr>
              <w:spacing w:line="360" w:lineRule="auto"/>
              <w:jc w:val="center"/>
              <w:rPr>
                <w:rFonts w:ascii="Arial" w:hAnsi="Arial" w:cs="Arial"/>
                <w:szCs w:val="21"/>
              </w:rPr>
            </w:pPr>
            <w:r>
              <w:rPr>
                <w:rFonts w:hint="eastAsia" w:ascii="Arial" w:hAnsi="Arial" w:cs="Arial"/>
                <w:szCs w:val="21"/>
              </w:rPr>
              <w:t>文化体育娱乐建筑</w:t>
            </w:r>
          </w:p>
        </w:tc>
        <w:tc>
          <w:tcPr>
            <w:tcW w:w="2782" w:type="pct"/>
          </w:tcPr>
          <w:p>
            <w:pPr>
              <w:spacing w:line="360" w:lineRule="auto"/>
              <w:jc w:val="center"/>
              <w:rPr>
                <w:rFonts w:ascii="Arial" w:hAnsi="Arial" w:cs="Arial"/>
                <w:szCs w:val="21"/>
              </w:rPr>
            </w:pPr>
            <w:r>
              <w:rPr>
                <w:rFonts w:hint="eastAsia" w:ascii="Arial" w:hAnsi="Arial" w:cs="Arial"/>
                <w:szCs w:val="21"/>
              </w:rPr>
              <w:t>音乐厅、影剧院、体育馆、展览馆</w:t>
            </w:r>
          </w:p>
        </w:tc>
        <w:tc>
          <w:tcPr>
            <w:tcW w:w="1073" w:type="pct"/>
          </w:tcPr>
          <w:p>
            <w:pPr>
              <w:spacing w:line="360" w:lineRule="auto"/>
              <w:jc w:val="center"/>
              <w:rPr>
                <w:rFonts w:ascii="Arial" w:hAnsi="Arial" w:cs="Arial"/>
                <w:szCs w:val="21"/>
              </w:rPr>
            </w:pPr>
            <w:r>
              <w:rPr>
                <w:rFonts w:hint="eastAsia" w:ascii="Arial" w:hAnsi="Arial" w:cs="Arial"/>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1145" w:type="pct"/>
            <w:vMerge w:val="continue"/>
          </w:tcPr>
          <w:p>
            <w:pPr>
              <w:spacing w:line="360" w:lineRule="auto"/>
              <w:jc w:val="center"/>
              <w:rPr>
                <w:rFonts w:ascii="Arial" w:hAnsi="Arial" w:cs="Arial"/>
                <w:szCs w:val="21"/>
              </w:rPr>
            </w:pPr>
          </w:p>
        </w:tc>
        <w:tc>
          <w:tcPr>
            <w:tcW w:w="2782" w:type="pct"/>
          </w:tcPr>
          <w:p>
            <w:pPr>
              <w:jc w:val="left"/>
              <w:rPr>
                <w:rFonts w:ascii="Arial" w:hAnsi="Arial" w:cs="Arial"/>
                <w:szCs w:val="21"/>
              </w:rPr>
            </w:pPr>
            <w:r>
              <w:rPr>
                <w:rFonts w:hint="eastAsia" w:ascii="Arial" w:hAnsi="Arial" w:cs="Arial"/>
                <w:szCs w:val="21"/>
              </w:rPr>
              <w:t>博物馆、图书馆、美术馆、纪念馆、科技馆、</w:t>
            </w:r>
          </w:p>
          <w:p>
            <w:pPr>
              <w:jc w:val="left"/>
              <w:rPr>
                <w:rFonts w:ascii="Arial" w:hAnsi="Arial" w:cs="Arial"/>
                <w:szCs w:val="21"/>
              </w:rPr>
            </w:pPr>
            <w:r>
              <w:rPr>
                <w:rFonts w:hint="eastAsia" w:ascii="Arial" w:hAnsi="Arial" w:cs="Arial"/>
                <w:szCs w:val="21"/>
              </w:rPr>
              <w:t>档案馆、游艺厅、歌舞厅、网吧、游泳馆</w:t>
            </w:r>
          </w:p>
        </w:tc>
        <w:tc>
          <w:tcPr>
            <w:tcW w:w="1073" w:type="pct"/>
            <w:vAlign w:val="center"/>
          </w:tcPr>
          <w:p>
            <w:pPr>
              <w:spacing w:line="360" w:lineRule="auto"/>
              <w:jc w:val="center"/>
              <w:rPr>
                <w:rFonts w:ascii="Arial" w:hAnsi="Arial" w:cs="Arial"/>
                <w:szCs w:val="21"/>
              </w:rPr>
            </w:pPr>
            <w:r>
              <w:rPr>
                <w:rFonts w:hint="eastAsia" w:ascii="Arial" w:hAnsi="Arial" w:cs="Arial"/>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1145" w:type="pct"/>
            <w:vMerge w:val="restart"/>
            <w:vAlign w:val="center"/>
          </w:tcPr>
          <w:p>
            <w:pPr>
              <w:spacing w:line="360" w:lineRule="auto"/>
              <w:jc w:val="center"/>
              <w:rPr>
                <w:rFonts w:ascii="Arial" w:hAnsi="Arial" w:cs="Arial"/>
                <w:szCs w:val="21"/>
              </w:rPr>
            </w:pPr>
            <w:r>
              <w:rPr>
                <w:rFonts w:hint="eastAsia" w:ascii="Arial" w:hAnsi="Arial" w:cs="Arial"/>
                <w:szCs w:val="21"/>
              </w:rPr>
              <w:t>交通建筑</w:t>
            </w:r>
          </w:p>
        </w:tc>
        <w:tc>
          <w:tcPr>
            <w:tcW w:w="2782" w:type="pct"/>
          </w:tcPr>
          <w:p>
            <w:pPr>
              <w:spacing w:line="360" w:lineRule="auto"/>
              <w:jc w:val="center"/>
              <w:rPr>
                <w:rFonts w:ascii="Arial" w:hAnsi="Arial" w:cs="Arial"/>
                <w:szCs w:val="21"/>
              </w:rPr>
            </w:pPr>
            <w:r>
              <w:rPr>
                <w:rFonts w:hint="eastAsia" w:ascii="Arial" w:hAnsi="Arial" w:cs="Arial"/>
                <w:szCs w:val="21"/>
              </w:rPr>
              <w:t>机场、铁路客运站、长途客运站、港口客运站</w:t>
            </w:r>
          </w:p>
        </w:tc>
        <w:tc>
          <w:tcPr>
            <w:tcW w:w="1073" w:type="pct"/>
          </w:tcPr>
          <w:p>
            <w:pPr>
              <w:spacing w:line="360" w:lineRule="auto"/>
              <w:jc w:val="center"/>
              <w:rPr>
                <w:rFonts w:ascii="Arial" w:hAnsi="Arial" w:cs="Arial"/>
                <w:szCs w:val="21"/>
              </w:rPr>
            </w:pPr>
            <w:r>
              <w:rPr>
                <w:rFonts w:hint="eastAsia" w:ascii="Arial" w:hAnsi="Arial" w:cs="Arial"/>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1145" w:type="pct"/>
            <w:vMerge w:val="continue"/>
          </w:tcPr>
          <w:p>
            <w:pPr>
              <w:spacing w:line="360" w:lineRule="auto"/>
              <w:jc w:val="center"/>
              <w:rPr>
                <w:rFonts w:ascii="Arial" w:hAnsi="Arial" w:cs="Arial"/>
                <w:szCs w:val="21"/>
              </w:rPr>
            </w:pPr>
          </w:p>
        </w:tc>
        <w:tc>
          <w:tcPr>
            <w:tcW w:w="2782" w:type="pct"/>
          </w:tcPr>
          <w:p>
            <w:pPr>
              <w:spacing w:line="360" w:lineRule="auto"/>
              <w:jc w:val="center"/>
              <w:rPr>
                <w:rFonts w:ascii="Arial" w:hAnsi="Arial" w:cs="Arial"/>
                <w:szCs w:val="21"/>
              </w:rPr>
            </w:pPr>
            <w:r>
              <w:rPr>
                <w:rFonts w:hint="eastAsia" w:ascii="Arial" w:hAnsi="Arial" w:cs="Arial"/>
                <w:szCs w:val="21"/>
              </w:rPr>
              <w:t>轨道交通站</w:t>
            </w:r>
          </w:p>
        </w:tc>
        <w:tc>
          <w:tcPr>
            <w:tcW w:w="1073" w:type="pct"/>
          </w:tcPr>
          <w:p>
            <w:pPr>
              <w:spacing w:line="360" w:lineRule="auto"/>
              <w:jc w:val="center"/>
              <w:rPr>
                <w:rFonts w:ascii="Arial" w:hAnsi="Arial" w:cs="Arial"/>
                <w:szCs w:val="21"/>
              </w:rPr>
            </w:pPr>
            <w:r>
              <w:rPr>
                <w:rFonts w:hint="eastAsia" w:ascii="Arial" w:hAnsi="Arial" w:cs="Arial"/>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1145" w:type="pct"/>
            <w:vMerge w:val="restart"/>
            <w:vAlign w:val="center"/>
          </w:tcPr>
          <w:p>
            <w:pPr>
              <w:spacing w:line="360" w:lineRule="auto"/>
              <w:jc w:val="center"/>
              <w:rPr>
                <w:rFonts w:ascii="Arial" w:hAnsi="Arial" w:cs="Arial"/>
                <w:szCs w:val="21"/>
              </w:rPr>
            </w:pPr>
            <w:r>
              <w:rPr>
                <w:rFonts w:hint="eastAsia" w:ascii="Arial" w:hAnsi="Arial" w:cs="Arial"/>
                <w:szCs w:val="21"/>
              </w:rPr>
              <w:t>教育卫生建筑</w:t>
            </w:r>
          </w:p>
        </w:tc>
        <w:tc>
          <w:tcPr>
            <w:tcW w:w="2782" w:type="pct"/>
          </w:tcPr>
          <w:p>
            <w:pPr>
              <w:spacing w:line="360" w:lineRule="auto"/>
              <w:jc w:val="center"/>
              <w:rPr>
                <w:rFonts w:ascii="Arial" w:hAnsi="Arial" w:cs="Arial"/>
                <w:szCs w:val="21"/>
              </w:rPr>
            </w:pPr>
            <w:r>
              <w:rPr>
                <w:rFonts w:hint="eastAsia" w:ascii="Arial" w:hAnsi="Arial" w:cs="Arial"/>
                <w:szCs w:val="21"/>
              </w:rPr>
              <w:t>学校</w:t>
            </w:r>
          </w:p>
        </w:tc>
        <w:tc>
          <w:tcPr>
            <w:tcW w:w="1073" w:type="pct"/>
          </w:tcPr>
          <w:p>
            <w:pPr>
              <w:spacing w:line="360" w:lineRule="auto"/>
              <w:jc w:val="center"/>
              <w:rPr>
                <w:rFonts w:ascii="Arial" w:hAnsi="Arial" w:cs="Arial"/>
                <w:szCs w:val="21"/>
              </w:rPr>
            </w:pPr>
            <w:r>
              <w:rPr>
                <w:rFonts w:hint="eastAsia" w:ascii="Arial" w:hAnsi="Arial" w:cs="Arial"/>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1145" w:type="pct"/>
            <w:vMerge w:val="continue"/>
          </w:tcPr>
          <w:p>
            <w:pPr>
              <w:spacing w:line="360" w:lineRule="auto"/>
              <w:jc w:val="center"/>
              <w:rPr>
                <w:rFonts w:ascii="Arial" w:hAnsi="Arial" w:cs="Arial"/>
                <w:szCs w:val="21"/>
              </w:rPr>
            </w:pPr>
          </w:p>
        </w:tc>
        <w:tc>
          <w:tcPr>
            <w:tcW w:w="2782" w:type="pct"/>
          </w:tcPr>
          <w:p>
            <w:pPr>
              <w:spacing w:line="360" w:lineRule="auto"/>
              <w:jc w:val="center"/>
              <w:rPr>
                <w:rFonts w:ascii="Arial" w:hAnsi="Arial" w:cs="Arial"/>
                <w:szCs w:val="21"/>
                <w:vertAlign w:val="superscript"/>
              </w:rPr>
            </w:pPr>
            <w:r>
              <w:rPr>
                <w:rFonts w:hint="eastAsia" w:ascii="Arial" w:hAnsi="Arial" w:cs="Arial"/>
                <w:szCs w:val="21"/>
              </w:rPr>
              <w:t>医疗用房</w:t>
            </w:r>
            <w:r>
              <w:rPr>
                <w:rFonts w:hint="eastAsia" w:ascii="Arial" w:hAnsi="Arial" w:cs="Arial"/>
                <w:szCs w:val="21"/>
                <w:vertAlign w:val="superscript"/>
              </w:rPr>
              <w:t>C</w:t>
            </w:r>
          </w:p>
        </w:tc>
        <w:tc>
          <w:tcPr>
            <w:tcW w:w="1073" w:type="pct"/>
          </w:tcPr>
          <w:p>
            <w:pPr>
              <w:spacing w:line="360" w:lineRule="auto"/>
              <w:jc w:val="center"/>
              <w:rPr>
                <w:rFonts w:ascii="Arial" w:hAnsi="Arial" w:cs="Arial"/>
                <w:szCs w:val="21"/>
              </w:rPr>
            </w:pPr>
            <w:r>
              <w:rPr>
                <w:rFonts w:hint="eastAsia" w:ascii="Arial" w:hAnsi="Arial" w:cs="Arial"/>
                <w:szCs w:val="21"/>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1145" w:type="pct"/>
          </w:tcPr>
          <w:p>
            <w:pPr>
              <w:spacing w:line="360" w:lineRule="auto"/>
              <w:jc w:val="center"/>
              <w:rPr>
                <w:rFonts w:ascii="Arial" w:hAnsi="Arial" w:cs="Arial"/>
                <w:szCs w:val="21"/>
              </w:rPr>
            </w:pPr>
            <w:r>
              <w:rPr>
                <w:rFonts w:hint="eastAsia" w:ascii="Arial" w:hAnsi="Arial" w:cs="Arial"/>
                <w:szCs w:val="21"/>
              </w:rPr>
              <w:t>居住建筑</w:t>
            </w:r>
          </w:p>
        </w:tc>
        <w:tc>
          <w:tcPr>
            <w:tcW w:w="2782" w:type="pct"/>
          </w:tcPr>
          <w:p>
            <w:pPr>
              <w:spacing w:line="360" w:lineRule="auto"/>
              <w:jc w:val="center"/>
              <w:rPr>
                <w:rFonts w:ascii="Arial" w:hAnsi="Arial" w:cs="Arial"/>
                <w:szCs w:val="21"/>
              </w:rPr>
            </w:pPr>
            <w:r>
              <w:rPr>
                <w:rFonts w:hint="eastAsia" w:ascii="Arial" w:hAnsi="Arial" w:cs="Arial"/>
                <w:szCs w:val="21"/>
              </w:rPr>
              <w:t>住宅</w:t>
            </w:r>
          </w:p>
        </w:tc>
        <w:tc>
          <w:tcPr>
            <w:tcW w:w="1073" w:type="pct"/>
          </w:tcPr>
          <w:p>
            <w:pPr>
              <w:spacing w:line="360" w:lineRule="auto"/>
              <w:jc w:val="center"/>
              <w:rPr>
                <w:rFonts w:ascii="Arial" w:hAnsi="Arial" w:cs="Arial"/>
                <w:szCs w:val="21"/>
              </w:rPr>
            </w:pPr>
            <w:r>
              <w:rPr>
                <w:rFonts w:hint="eastAsia" w:ascii="Arial" w:hAnsi="Arial" w:cs="Arial"/>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5000" w:type="pct"/>
            <w:gridSpan w:val="3"/>
          </w:tcPr>
          <w:p>
            <w:pPr>
              <w:jc w:val="left"/>
              <w:rPr>
                <w:rFonts w:ascii="Arial" w:hAnsi="Arial" w:cs="Arial"/>
                <w:szCs w:val="21"/>
              </w:rPr>
            </w:pPr>
            <w:r>
              <w:rPr>
                <w:rFonts w:hint="eastAsia" w:ascii="Arial" w:hAnsi="Arial" w:cs="Arial"/>
                <w:szCs w:val="21"/>
              </w:rPr>
              <w:t xml:space="preserve">     a 表中所列为常见的建筑，未列举建筑可参照执行。</w:t>
            </w:r>
          </w:p>
          <w:p>
            <w:pPr>
              <w:jc w:val="left"/>
              <w:rPr>
                <w:rFonts w:ascii="Arial" w:hAnsi="Arial" w:cs="Arial"/>
                <w:szCs w:val="21"/>
              </w:rPr>
            </w:pPr>
            <w:r>
              <w:rPr>
                <w:rFonts w:hint="eastAsia" w:ascii="Arial" w:hAnsi="Arial" w:cs="Arial"/>
                <w:szCs w:val="21"/>
              </w:rPr>
              <w:t xml:space="preserve">     b 系统新风量和服务区域新风量均应符合本表的要求。</w:t>
            </w:r>
          </w:p>
          <w:p>
            <w:pPr>
              <w:jc w:val="left"/>
              <w:rPr>
                <w:rFonts w:ascii="Arial" w:hAnsi="Arial" w:cs="Arial"/>
                <w:szCs w:val="21"/>
              </w:rPr>
            </w:pPr>
            <w:r>
              <w:rPr>
                <w:rFonts w:hint="eastAsia" w:ascii="Arial" w:hAnsi="Arial" w:cs="Arial"/>
                <w:szCs w:val="21"/>
              </w:rPr>
              <w:t xml:space="preserve">     c 医疗用房新风量可用换气次数替代，换气次数不应小于2次/h。</w:t>
            </w:r>
          </w:p>
        </w:tc>
      </w:tr>
    </w:tbl>
    <w:p>
      <w:pPr>
        <w:adjustRightInd w:val="0"/>
        <w:snapToGrid w:val="0"/>
        <w:spacing w:line="360" w:lineRule="auto"/>
        <w:rPr>
          <w:rFonts w:ascii="Arial" w:hAnsi="Arial" w:eastAsia="黑体" w:cs="Arial"/>
          <w:sz w:val="24"/>
          <w:szCs w:val="24"/>
        </w:rPr>
      </w:pPr>
    </w:p>
    <w:p>
      <w:pPr>
        <w:adjustRightInd w:val="0"/>
        <w:snapToGrid w:val="0"/>
        <w:spacing w:line="360" w:lineRule="auto"/>
        <w:rPr>
          <w:rFonts w:ascii="Arial" w:hAnsi="Arial" w:eastAsia="黑体" w:cs="Arial"/>
          <w:sz w:val="24"/>
          <w:szCs w:val="24"/>
        </w:rPr>
      </w:pPr>
      <w:r>
        <w:rPr>
          <w:rFonts w:hint="eastAsia" w:ascii="Arial" w:hAnsi="Arial" w:eastAsia="黑体" w:cs="Arial"/>
          <w:sz w:val="24"/>
          <w:szCs w:val="24"/>
        </w:rPr>
        <w:t>《养老设施建筑设计标准</w:t>
      </w:r>
      <w:r>
        <w:rPr>
          <w:rFonts w:ascii="Arial" w:hAnsi="Arial" w:eastAsia="黑体" w:cs="Arial"/>
          <w:sz w:val="24"/>
          <w:szCs w:val="24"/>
        </w:rPr>
        <w:t>》D</w:t>
      </w:r>
      <w:r>
        <w:rPr>
          <w:rFonts w:hint="eastAsia" w:ascii="Arial" w:hAnsi="Arial" w:eastAsia="黑体" w:cs="Arial"/>
          <w:sz w:val="24"/>
          <w:szCs w:val="24"/>
        </w:rPr>
        <w:t>G</w:t>
      </w:r>
      <w:r>
        <w:rPr>
          <w:rFonts w:ascii="Arial" w:hAnsi="Arial" w:eastAsia="黑体" w:cs="Arial"/>
          <w:sz w:val="24"/>
          <w:szCs w:val="24"/>
        </w:rPr>
        <w:t>/</w:t>
      </w:r>
      <w:r>
        <w:rPr>
          <w:rFonts w:hint="eastAsia" w:ascii="Arial" w:hAnsi="Arial" w:eastAsia="黑体" w:cs="Arial"/>
          <w:sz w:val="24"/>
          <w:szCs w:val="24"/>
        </w:rPr>
        <w:t>TJ08-82</w:t>
      </w:r>
      <w:r>
        <w:rPr>
          <w:rFonts w:ascii="Arial" w:hAnsi="Arial" w:eastAsia="黑体" w:cs="Arial"/>
          <w:sz w:val="24"/>
          <w:szCs w:val="24"/>
        </w:rPr>
        <w:t>-20</w:t>
      </w:r>
      <w:r>
        <w:rPr>
          <w:rFonts w:hint="eastAsia" w:ascii="Arial" w:hAnsi="Arial" w:eastAsia="黑体" w:cs="Arial"/>
          <w:sz w:val="24"/>
          <w:szCs w:val="24"/>
        </w:rPr>
        <w:t>20</w:t>
      </w:r>
    </w:p>
    <w:p>
      <w:pPr>
        <w:adjustRightInd w:val="0"/>
        <w:snapToGrid w:val="0"/>
        <w:spacing w:line="360" w:lineRule="auto"/>
        <w:rPr>
          <w:rFonts w:ascii="Arial" w:hAnsi="Arial" w:cs="Arial"/>
          <w:sz w:val="24"/>
          <w:szCs w:val="24"/>
        </w:rPr>
      </w:pPr>
      <w:r>
        <w:rPr>
          <w:rFonts w:hint="eastAsia" w:ascii="宋体" w:hAnsi="宋体"/>
          <w:b/>
          <w:bCs/>
          <w:color w:val="000000"/>
          <w:sz w:val="24"/>
        </w:rPr>
        <w:t>8.3.1</w:t>
      </w:r>
      <w:r>
        <w:rPr>
          <w:rFonts w:hint="eastAsia" w:ascii="Arial" w:hAnsi="Arial" w:cs="Arial"/>
          <w:sz w:val="24"/>
          <w:szCs w:val="24"/>
        </w:rPr>
        <w:t xml:space="preserve"> 养老设施建筑有关用房应设置供暖、降温措施。</w:t>
      </w:r>
    </w:p>
    <w:p>
      <w:pPr>
        <w:adjustRightInd w:val="0"/>
        <w:snapToGrid w:val="0"/>
        <w:spacing w:line="360" w:lineRule="auto"/>
        <w:rPr>
          <w:rFonts w:ascii="Arial" w:hAnsi="Arial" w:cs="Arial"/>
          <w:sz w:val="24"/>
          <w:szCs w:val="24"/>
        </w:rPr>
      </w:pPr>
      <w:r>
        <w:rPr>
          <w:rFonts w:hint="eastAsia" w:ascii="宋体" w:hAnsi="宋体"/>
          <w:b/>
          <w:bCs/>
          <w:color w:val="000000"/>
          <w:sz w:val="24"/>
        </w:rPr>
        <w:t>8.3.3</w:t>
      </w:r>
      <w:r>
        <w:rPr>
          <w:rFonts w:hint="eastAsia" w:ascii="Arial" w:hAnsi="Arial" w:cs="Arial"/>
          <w:sz w:val="24"/>
          <w:szCs w:val="24"/>
        </w:rPr>
        <w:t xml:space="preserve"> 供暖系统的散热器及人所能触及到的供暖管道必须暗装或加防护罩。</w:t>
      </w:r>
    </w:p>
    <w:p>
      <w:pPr>
        <w:adjustRightInd w:val="0"/>
        <w:snapToGrid w:val="0"/>
        <w:spacing w:line="360" w:lineRule="auto"/>
        <w:rPr>
          <w:rFonts w:ascii="Arial" w:hAnsi="Arial" w:cs="Arial"/>
          <w:sz w:val="24"/>
          <w:szCs w:val="24"/>
        </w:rPr>
      </w:pPr>
      <w:r>
        <w:rPr>
          <w:rFonts w:hint="eastAsia" w:ascii="宋体" w:hAnsi="宋体"/>
          <w:b/>
          <w:bCs/>
          <w:color w:val="000000"/>
          <w:sz w:val="24"/>
        </w:rPr>
        <w:t>8.3.5</w:t>
      </w:r>
      <w:r>
        <w:rPr>
          <w:rFonts w:hint="eastAsia" w:ascii="Arial" w:hAnsi="Arial" w:cs="Arial"/>
          <w:sz w:val="24"/>
          <w:szCs w:val="24"/>
        </w:rPr>
        <w:t xml:space="preserve"> 无集中空气调节系统的老年人居住单元，应设置通风换气设施，室内每小时换气次数不应少于1.5次，且满足室内卫生要求。当设有集中空气调节系统时，应设置新风系统，新风量应符合现行行业标准《老年人照料设施建筑设计标准》JGJ450的有关规定。</w:t>
      </w:r>
    </w:p>
    <w:p>
      <w:pPr>
        <w:adjustRightInd w:val="0"/>
        <w:snapToGrid w:val="0"/>
        <w:spacing w:line="360" w:lineRule="auto"/>
        <w:rPr>
          <w:rFonts w:ascii="Arial" w:hAnsi="Arial" w:cs="Arial"/>
          <w:sz w:val="24"/>
          <w:szCs w:val="24"/>
        </w:rPr>
      </w:pPr>
    </w:p>
    <w:p>
      <w:pPr>
        <w:adjustRightInd w:val="0"/>
        <w:snapToGrid w:val="0"/>
        <w:spacing w:line="360" w:lineRule="auto"/>
        <w:rPr>
          <w:rFonts w:ascii="Arial" w:hAnsi="Arial" w:eastAsia="黑体" w:cs="Arial"/>
          <w:sz w:val="24"/>
          <w:szCs w:val="24"/>
        </w:rPr>
      </w:pPr>
      <w:r>
        <w:rPr>
          <w:rFonts w:ascii="Arial" w:hAnsi="Arial" w:eastAsia="黑体" w:cs="Arial"/>
          <w:sz w:val="24"/>
          <w:szCs w:val="24"/>
        </w:rPr>
        <w:t>《</w:t>
      </w:r>
      <w:r>
        <w:rPr>
          <w:rFonts w:hint="eastAsia" w:ascii="Arial" w:hAnsi="Arial" w:eastAsia="黑体" w:cs="Arial"/>
          <w:sz w:val="24"/>
          <w:szCs w:val="24"/>
        </w:rPr>
        <w:t>燃气直燃型吸收式冷热水机组工程技术标准</w:t>
      </w:r>
      <w:r>
        <w:rPr>
          <w:rFonts w:ascii="Arial" w:hAnsi="Arial" w:eastAsia="黑体" w:cs="Arial"/>
          <w:sz w:val="24"/>
          <w:szCs w:val="24"/>
        </w:rPr>
        <w:t>》</w:t>
      </w:r>
      <w:r>
        <w:rPr>
          <w:rFonts w:hint="eastAsia" w:ascii="Arial" w:hAnsi="Arial" w:eastAsia="黑体" w:cs="Arial"/>
          <w:sz w:val="24"/>
          <w:szCs w:val="24"/>
        </w:rPr>
        <w:t>DGJ08-74-2020</w:t>
      </w:r>
    </w:p>
    <w:p>
      <w:pPr>
        <w:adjustRightInd w:val="0"/>
        <w:snapToGrid w:val="0"/>
        <w:spacing w:line="360" w:lineRule="auto"/>
        <w:rPr>
          <w:rFonts w:ascii="Arial" w:hAnsi="Arial" w:cs="Arial"/>
          <w:sz w:val="24"/>
          <w:szCs w:val="24"/>
        </w:rPr>
      </w:pPr>
      <w:r>
        <w:rPr>
          <w:rFonts w:hint="eastAsia" w:ascii="宋体" w:hAnsi="宋体"/>
          <w:b/>
          <w:bCs/>
          <w:color w:val="000000"/>
          <w:sz w:val="24"/>
        </w:rPr>
        <w:t>4.1.5</w:t>
      </w:r>
      <w:r>
        <w:rPr>
          <w:rFonts w:hint="eastAsia" w:ascii="宋体" w:hAnsi="宋体"/>
          <w:b/>
          <w:bCs/>
          <w:color w:val="000000"/>
          <w:sz w:val="24"/>
          <w:lang w:val="en-US" w:eastAsia="zh-CN"/>
        </w:rPr>
        <w:t xml:space="preserve"> </w:t>
      </w:r>
      <w:r>
        <w:rPr>
          <w:rFonts w:hint="eastAsia" w:ascii="Arial" w:hAnsi="Arial" w:cs="Arial"/>
          <w:sz w:val="24"/>
          <w:szCs w:val="24"/>
        </w:rPr>
        <w:t>烟气排放应通畅，并应排至室外，应有防烟气倒回的措施，室内有害气体的浓度应符合国家卫生标准要求。</w:t>
      </w:r>
    </w:p>
    <w:p>
      <w:pPr>
        <w:adjustRightInd w:val="0"/>
        <w:snapToGrid w:val="0"/>
        <w:spacing w:line="360" w:lineRule="auto"/>
        <w:rPr>
          <w:rFonts w:ascii="Arial" w:hAnsi="Arial" w:cs="Arial"/>
          <w:sz w:val="24"/>
          <w:szCs w:val="24"/>
        </w:rPr>
      </w:pPr>
      <w:r>
        <w:rPr>
          <w:rFonts w:hint="eastAsia" w:ascii="宋体" w:hAnsi="宋体"/>
          <w:b/>
          <w:bCs/>
          <w:color w:val="000000"/>
          <w:sz w:val="24"/>
        </w:rPr>
        <w:t xml:space="preserve">4.2.7 </w:t>
      </w:r>
      <w:r>
        <w:rPr>
          <w:rFonts w:hint="eastAsia" w:ascii="Arial" w:hAnsi="Arial" w:cs="Arial"/>
          <w:sz w:val="24"/>
          <w:szCs w:val="24"/>
        </w:rPr>
        <w:t>安装机组的机房及燃气管道经过的场所应有独立的机械送排风系统，事故排风机应采用防爆型，并应由消防电源供电。</w:t>
      </w:r>
    </w:p>
    <w:p>
      <w:pPr>
        <w:adjustRightInd w:val="0"/>
        <w:snapToGrid w:val="0"/>
        <w:spacing w:line="360" w:lineRule="auto"/>
        <w:rPr>
          <w:rFonts w:ascii="Arial" w:hAnsi="Arial" w:cs="Arial"/>
          <w:sz w:val="24"/>
          <w:szCs w:val="24"/>
        </w:rPr>
      </w:pPr>
      <w:r>
        <w:rPr>
          <w:rFonts w:hint="eastAsia" w:ascii="Arial" w:hAnsi="Arial" w:cs="Arial"/>
          <w:sz w:val="24"/>
          <w:szCs w:val="24"/>
        </w:rPr>
        <w:t>新风量必须符合下列要求：</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Fonts w:ascii="Arial" w:hAnsi="Arial" w:cs="Arial"/>
          <w:sz w:val="24"/>
          <w:szCs w:val="24"/>
        </w:rPr>
      </w:pPr>
      <w:r>
        <w:rPr>
          <w:rFonts w:hint="eastAsia" w:ascii="宋体" w:hAnsi="宋体"/>
          <w:b/>
          <w:bCs/>
          <w:color w:val="000000"/>
          <w:sz w:val="24"/>
        </w:rPr>
        <w:t>1</w:t>
      </w:r>
      <w:r>
        <w:rPr>
          <w:rFonts w:hint="eastAsia" w:ascii="Arial" w:hAnsi="Arial" w:cs="Arial"/>
          <w:sz w:val="24"/>
          <w:szCs w:val="24"/>
        </w:rPr>
        <w:t xml:space="preserve"> 机组设置在地上且有直接对外的通风口时，正常工作时换气次数不应少于6次/h，事故换气次数不应少于12次/h。</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Fonts w:ascii="Arial" w:hAnsi="Arial" w:cs="Arial"/>
          <w:sz w:val="24"/>
          <w:szCs w:val="24"/>
        </w:rPr>
      </w:pPr>
      <w:r>
        <w:rPr>
          <w:rFonts w:hint="eastAsia" w:ascii="宋体" w:hAnsi="宋体"/>
          <w:b/>
          <w:bCs/>
          <w:color w:val="000000"/>
          <w:sz w:val="24"/>
        </w:rPr>
        <w:t>2</w:t>
      </w:r>
      <w:r>
        <w:rPr>
          <w:rFonts w:hint="eastAsia" w:ascii="Arial" w:hAnsi="Arial" w:cs="Arial"/>
          <w:sz w:val="24"/>
          <w:szCs w:val="24"/>
        </w:rPr>
        <w:t xml:space="preserve"> 机组设置在半地下室时，正常工作时换气次数不应少于6次/h，事故换气次数不应少于12次/h。</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Fonts w:ascii="Arial" w:hAnsi="Arial" w:cs="Arial"/>
          <w:sz w:val="24"/>
          <w:szCs w:val="24"/>
        </w:rPr>
      </w:pPr>
      <w:r>
        <w:rPr>
          <w:rFonts w:hint="eastAsia" w:ascii="宋体" w:hAnsi="宋体"/>
          <w:b/>
          <w:bCs/>
          <w:color w:val="000000"/>
          <w:sz w:val="24"/>
        </w:rPr>
        <w:t xml:space="preserve">3 </w:t>
      </w:r>
      <w:r>
        <w:rPr>
          <w:rFonts w:hint="eastAsia" w:ascii="Arial" w:hAnsi="Arial" w:cs="Arial"/>
          <w:sz w:val="24"/>
          <w:szCs w:val="24"/>
        </w:rPr>
        <w:t>机组设置在地下室时，正常工作时换气次数不应少于12次/h，事故换气次数不应少于12次/h。</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Fonts w:ascii="Arial" w:hAnsi="Arial" w:cs="Arial"/>
          <w:sz w:val="24"/>
          <w:szCs w:val="24"/>
        </w:rPr>
      </w:pPr>
      <w:r>
        <w:rPr>
          <w:rFonts w:hint="eastAsia" w:ascii="宋体" w:hAnsi="宋体"/>
          <w:b/>
          <w:bCs/>
          <w:color w:val="000000"/>
          <w:sz w:val="24"/>
        </w:rPr>
        <w:t>4</w:t>
      </w:r>
      <w:r>
        <w:rPr>
          <w:rFonts w:hint="eastAsia" w:ascii="Arial" w:hAnsi="Arial" w:cs="Arial"/>
          <w:sz w:val="24"/>
          <w:szCs w:val="24"/>
        </w:rPr>
        <w:t xml:space="preserve"> 机组设置在地上密闭空间时，正常工作时换气次数不应少于12次/h，事故换气次数不应少于12次/h。</w:t>
      </w:r>
    </w:p>
    <w:p>
      <w:pPr>
        <w:adjustRightInd w:val="0"/>
        <w:snapToGrid w:val="0"/>
        <w:spacing w:line="360" w:lineRule="auto"/>
        <w:rPr>
          <w:rFonts w:ascii="Arial" w:hAnsi="Arial" w:cs="Arial"/>
          <w:sz w:val="24"/>
          <w:szCs w:val="24"/>
        </w:rPr>
      </w:pPr>
      <w:r>
        <w:rPr>
          <w:rFonts w:hint="eastAsia" w:ascii="宋体" w:hAnsi="宋体"/>
          <w:b/>
          <w:bCs/>
          <w:color w:val="000000"/>
          <w:sz w:val="24"/>
        </w:rPr>
        <w:t>4.2.8</w:t>
      </w:r>
      <w:r>
        <w:rPr>
          <w:rFonts w:hint="eastAsia" w:ascii="Arial" w:hAnsi="Arial" w:cs="Arial"/>
          <w:sz w:val="24"/>
          <w:szCs w:val="24"/>
        </w:rPr>
        <w:t xml:space="preserve"> 当机组运行时，机房内必须有可靠的通风换气措施，换气量按下列三个因素进行计算确定：</w:t>
      </w:r>
    </w:p>
    <w:p>
      <w:pPr>
        <w:pStyle w:val="64"/>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Arial" w:hAnsi="Arial" w:cs="Arial"/>
          <w:sz w:val="24"/>
          <w:szCs w:val="24"/>
        </w:rPr>
      </w:pPr>
      <w:r>
        <w:rPr>
          <w:rFonts w:hint="eastAsia" w:ascii="宋体" w:hAnsi="宋体" w:eastAsia="宋体" w:cs="Times New Roman"/>
          <w:b/>
          <w:bCs/>
          <w:color w:val="000000"/>
          <w:kern w:val="2"/>
          <w:sz w:val="24"/>
          <w:szCs w:val="22"/>
          <w:lang w:val="en-US" w:eastAsia="zh-CN" w:bidi="ar-SA"/>
        </w:rPr>
        <w:t>1</w:t>
      </w:r>
      <w:r>
        <w:rPr>
          <w:rFonts w:hint="eastAsia" w:ascii="Arial" w:hAnsi="Arial" w:cs="Arial"/>
          <w:sz w:val="24"/>
          <w:szCs w:val="24"/>
        </w:rPr>
        <w:t xml:space="preserve"> 供给燃气燃烧时所需要的助燃空气；</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Fonts w:ascii="Arial" w:hAnsi="Arial" w:cs="Arial"/>
          <w:sz w:val="24"/>
          <w:szCs w:val="24"/>
        </w:rPr>
      </w:pPr>
      <w:r>
        <w:rPr>
          <w:rFonts w:hint="eastAsia" w:ascii="宋体" w:hAnsi="宋体" w:eastAsia="宋体" w:cs="Times New Roman"/>
          <w:b/>
          <w:bCs/>
          <w:color w:val="000000"/>
          <w:kern w:val="2"/>
          <w:sz w:val="24"/>
          <w:szCs w:val="22"/>
          <w:lang w:val="en-US" w:eastAsia="zh-CN" w:bidi="ar-SA"/>
        </w:rPr>
        <w:t>2</w:t>
      </w:r>
      <w:r>
        <w:rPr>
          <w:rFonts w:hint="eastAsia" w:ascii="Arial" w:hAnsi="Arial" w:cs="Arial"/>
          <w:sz w:val="24"/>
          <w:szCs w:val="24"/>
        </w:rPr>
        <w:t xml:space="preserve"> 将燃气燃烧时机体、烟道及其它设备等散发的热量而引起机房内空气温度上升控制在允许范围内；</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Fonts w:ascii="Arial" w:hAnsi="Arial" w:cs="Arial"/>
          <w:sz w:val="24"/>
          <w:szCs w:val="24"/>
        </w:rPr>
      </w:pPr>
      <w:r>
        <w:rPr>
          <w:rFonts w:hint="eastAsia" w:ascii="宋体" w:hAnsi="宋体" w:eastAsia="宋体" w:cs="Times New Roman"/>
          <w:b/>
          <w:bCs/>
          <w:color w:val="000000"/>
          <w:kern w:val="2"/>
          <w:sz w:val="24"/>
          <w:szCs w:val="22"/>
          <w:lang w:val="en-US" w:eastAsia="zh-CN" w:bidi="ar-SA"/>
        </w:rPr>
        <w:t>3</w:t>
      </w:r>
      <w:r>
        <w:rPr>
          <w:rFonts w:hint="eastAsia" w:ascii="Arial" w:hAnsi="Arial" w:cs="Arial"/>
          <w:sz w:val="24"/>
          <w:szCs w:val="24"/>
        </w:rPr>
        <w:t xml:space="preserve"> 人体环境卫生所必须的新鲜空气。</w:t>
      </w:r>
    </w:p>
    <w:p>
      <w:pPr>
        <w:adjustRightInd w:val="0"/>
        <w:snapToGrid w:val="0"/>
        <w:spacing w:line="360" w:lineRule="auto"/>
        <w:rPr>
          <w:rFonts w:ascii="Arial" w:hAnsi="Arial" w:cs="Arial"/>
          <w:sz w:val="24"/>
          <w:szCs w:val="24"/>
        </w:rPr>
      </w:pPr>
      <w:r>
        <w:rPr>
          <w:rFonts w:hint="eastAsia" w:ascii="宋体" w:hAnsi="宋体"/>
          <w:b/>
          <w:bCs/>
          <w:color w:val="000000"/>
          <w:sz w:val="24"/>
        </w:rPr>
        <w:t>4.2.9</w:t>
      </w:r>
      <w:r>
        <w:rPr>
          <w:rFonts w:hint="eastAsia" w:ascii="Arial" w:hAnsi="Arial" w:cs="Arial"/>
          <w:sz w:val="24"/>
          <w:szCs w:val="24"/>
        </w:rPr>
        <w:t xml:space="preserve"> 当机组停止运行时，可减少第4.2.8条确定的通风量，但不应低于3次/h。</w:t>
      </w:r>
    </w:p>
    <w:p>
      <w:pPr>
        <w:adjustRightInd w:val="0"/>
        <w:snapToGrid w:val="0"/>
        <w:spacing w:line="360" w:lineRule="auto"/>
        <w:rPr>
          <w:rFonts w:ascii="Arial" w:hAnsi="Arial" w:cs="Arial"/>
          <w:sz w:val="24"/>
          <w:szCs w:val="24"/>
        </w:rPr>
      </w:pPr>
      <w:r>
        <w:rPr>
          <w:rFonts w:hint="eastAsia" w:ascii="宋体" w:hAnsi="宋体"/>
          <w:b/>
          <w:bCs/>
          <w:color w:val="000000"/>
          <w:sz w:val="24"/>
        </w:rPr>
        <w:t>5.0.2</w:t>
      </w:r>
      <w:r>
        <w:rPr>
          <w:rFonts w:hint="eastAsia" w:ascii="Arial" w:hAnsi="Arial" w:cs="Arial"/>
          <w:sz w:val="24"/>
          <w:szCs w:val="24"/>
        </w:rPr>
        <w:t xml:space="preserve"> 燃气计量表房应有良好的通风和照明，通风换气次数不应小于3次/h。</w:t>
      </w:r>
    </w:p>
    <w:p>
      <w:pPr>
        <w:adjustRightInd w:val="0"/>
        <w:snapToGrid w:val="0"/>
        <w:spacing w:line="360" w:lineRule="auto"/>
        <w:rPr>
          <w:rFonts w:ascii="Arial" w:hAnsi="Arial" w:cs="Arial"/>
          <w:sz w:val="24"/>
          <w:szCs w:val="24"/>
        </w:rPr>
      </w:pPr>
    </w:p>
    <w:p>
      <w:pPr>
        <w:adjustRightInd w:val="0"/>
        <w:snapToGrid w:val="0"/>
        <w:spacing w:line="360" w:lineRule="auto"/>
        <w:rPr>
          <w:rFonts w:ascii="Arial" w:hAnsi="Arial" w:cs="Arial"/>
          <w:sz w:val="24"/>
          <w:szCs w:val="24"/>
        </w:rPr>
      </w:pPr>
    </w:p>
    <w:p>
      <w:pPr>
        <w:adjustRightInd w:val="0"/>
        <w:snapToGrid w:val="0"/>
        <w:spacing w:line="360" w:lineRule="auto"/>
        <w:rPr>
          <w:rFonts w:ascii="Arial" w:hAnsi="Arial" w:cs="Arial"/>
          <w:sz w:val="24"/>
          <w:szCs w:val="24"/>
        </w:rPr>
      </w:pPr>
    </w:p>
    <w:p>
      <w:pPr>
        <w:adjustRightInd w:val="0"/>
        <w:snapToGrid w:val="0"/>
        <w:spacing w:line="360" w:lineRule="auto"/>
        <w:rPr>
          <w:rFonts w:ascii="Arial" w:hAnsi="Arial" w:cs="Arial"/>
          <w:sz w:val="24"/>
          <w:szCs w:val="24"/>
        </w:rPr>
      </w:pPr>
    </w:p>
    <w:p>
      <w:pPr>
        <w:adjustRightInd w:val="0"/>
        <w:snapToGrid w:val="0"/>
        <w:spacing w:line="360" w:lineRule="auto"/>
        <w:rPr>
          <w:rFonts w:ascii="Arial" w:hAnsi="Arial" w:cs="Arial"/>
          <w:sz w:val="24"/>
          <w:szCs w:val="24"/>
        </w:rPr>
      </w:pPr>
    </w:p>
    <w:p>
      <w:pPr>
        <w:adjustRightInd w:val="0"/>
        <w:snapToGrid w:val="0"/>
        <w:spacing w:line="360" w:lineRule="auto"/>
        <w:rPr>
          <w:rFonts w:ascii="Arial" w:hAnsi="Arial" w:cs="Arial"/>
          <w:sz w:val="24"/>
          <w:szCs w:val="24"/>
        </w:rPr>
      </w:pPr>
    </w:p>
    <w:p>
      <w:pPr>
        <w:adjustRightInd w:val="0"/>
        <w:snapToGrid w:val="0"/>
        <w:spacing w:line="360" w:lineRule="auto"/>
        <w:rPr>
          <w:rFonts w:ascii="Arial" w:hAnsi="Arial" w:cs="Arial"/>
          <w:sz w:val="24"/>
          <w:szCs w:val="24"/>
        </w:rPr>
      </w:pPr>
    </w:p>
    <w:p>
      <w:pPr>
        <w:adjustRightInd w:val="0"/>
        <w:snapToGrid w:val="0"/>
        <w:spacing w:line="360" w:lineRule="auto"/>
        <w:rPr>
          <w:rFonts w:ascii="Arial" w:hAnsi="Arial" w:cs="Arial"/>
          <w:sz w:val="24"/>
          <w:szCs w:val="24"/>
        </w:rPr>
      </w:pPr>
    </w:p>
    <w:p>
      <w:pPr>
        <w:adjustRightInd w:val="0"/>
        <w:snapToGrid w:val="0"/>
        <w:spacing w:line="360" w:lineRule="auto"/>
        <w:rPr>
          <w:rFonts w:ascii="Arial" w:hAnsi="Arial" w:cs="Arial"/>
          <w:sz w:val="24"/>
          <w:szCs w:val="24"/>
        </w:rPr>
      </w:pPr>
    </w:p>
    <w:p>
      <w:pPr>
        <w:adjustRightInd w:val="0"/>
        <w:snapToGrid w:val="0"/>
        <w:spacing w:line="360" w:lineRule="auto"/>
        <w:rPr>
          <w:rFonts w:ascii="Arial" w:hAnsi="Arial" w:cs="Arial"/>
          <w:sz w:val="24"/>
          <w:szCs w:val="24"/>
        </w:rPr>
      </w:pPr>
    </w:p>
    <w:p>
      <w:pPr>
        <w:adjustRightInd w:val="0"/>
        <w:snapToGrid w:val="0"/>
        <w:spacing w:line="360" w:lineRule="auto"/>
        <w:rPr>
          <w:rFonts w:ascii="Arial" w:hAnsi="Arial" w:cs="Arial"/>
          <w:sz w:val="24"/>
          <w:szCs w:val="24"/>
        </w:rPr>
      </w:pPr>
    </w:p>
    <w:p>
      <w:pPr>
        <w:adjustRightInd w:val="0"/>
        <w:snapToGrid w:val="0"/>
        <w:spacing w:line="360" w:lineRule="auto"/>
        <w:rPr>
          <w:rFonts w:ascii="Arial" w:hAnsi="Arial" w:cs="Arial"/>
          <w:sz w:val="24"/>
          <w:szCs w:val="24"/>
        </w:rPr>
      </w:pPr>
    </w:p>
    <w:p>
      <w:pPr>
        <w:adjustRightInd w:val="0"/>
        <w:snapToGrid w:val="0"/>
        <w:spacing w:line="360" w:lineRule="auto"/>
        <w:rPr>
          <w:rFonts w:ascii="Arial" w:hAnsi="Arial" w:cs="Arial"/>
          <w:sz w:val="24"/>
          <w:szCs w:val="24"/>
        </w:rPr>
      </w:pPr>
    </w:p>
    <w:p>
      <w:pPr>
        <w:adjustRightInd w:val="0"/>
        <w:snapToGrid w:val="0"/>
        <w:spacing w:line="360" w:lineRule="auto"/>
        <w:rPr>
          <w:rFonts w:ascii="Arial" w:hAnsi="Arial" w:cs="Arial"/>
          <w:sz w:val="24"/>
          <w:szCs w:val="24"/>
        </w:rPr>
      </w:pPr>
    </w:p>
    <w:p>
      <w:pPr>
        <w:adjustRightInd w:val="0"/>
        <w:snapToGrid w:val="0"/>
        <w:spacing w:line="360" w:lineRule="auto"/>
        <w:rPr>
          <w:rFonts w:ascii="Arial" w:hAnsi="Arial" w:cs="Arial"/>
          <w:sz w:val="24"/>
          <w:szCs w:val="24"/>
        </w:rPr>
      </w:pPr>
    </w:p>
    <w:p>
      <w:pPr>
        <w:adjustRightInd w:val="0"/>
        <w:snapToGrid w:val="0"/>
        <w:spacing w:line="360" w:lineRule="auto"/>
        <w:rPr>
          <w:rFonts w:ascii="Arial" w:hAnsi="Arial" w:cs="Arial"/>
          <w:sz w:val="24"/>
          <w:szCs w:val="24"/>
        </w:rPr>
      </w:pPr>
    </w:p>
    <w:p>
      <w:pPr>
        <w:adjustRightInd w:val="0"/>
        <w:snapToGrid w:val="0"/>
        <w:spacing w:line="360" w:lineRule="auto"/>
        <w:rPr>
          <w:rFonts w:ascii="Arial" w:hAnsi="Arial" w:cs="Arial"/>
          <w:sz w:val="24"/>
          <w:szCs w:val="24"/>
        </w:rPr>
      </w:pPr>
    </w:p>
    <w:p>
      <w:pPr>
        <w:adjustRightInd w:val="0"/>
        <w:snapToGrid w:val="0"/>
        <w:spacing w:line="360" w:lineRule="auto"/>
        <w:rPr>
          <w:rFonts w:ascii="Arial" w:hAnsi="Arial" w:cs="Arial"/>
          <w:sz w:val="24"/>
          <w:szCs w:val="24"/>
        </w:rPr>
      </w:pPr>
    </w:p>
    <w:p>
      <w:pPr>
        <w:adjustRightInd w:val="0"/>
        <w:snapToGrid w:val="0"/>
        <w:spacing w:line="360" w:lineRule="auto"/>
        <w:rPr>
          <w:rFonts w:ascii="Arial" w:hAnsi="Arial" w:cs="Arial"/>
          <w:sz w:val="24"/>
          <w:szCs w:val="24"/>
        </w:rPr>
      </w:pPr>
    </w:p>
    <w:p>
      <w:pPr>
        <w:adjustRightInd w:val="0"/>
        <w:snapToGrid w:val="0"/>
        <w:spacing w:line="360" w:lineRule="auto"/>
        <w:rPr>
          <w:rFonts w:ascii="Arial" w:hAnsi="Arial" w:cs="Arial"/>
          <w:sz w:val="24"/>
          <w:szCs w:val="24"/>
        </w:rPr>
      </w:pPr>
    </w:p>
    <w:p>
      <w:pPr>
        <w:adjustRightInd w:val="0"/>
        <w:snapToGrid w:val="0"/>
        <w:spacing w:line="360" w:lineRule="auto"/>
        <w:rPr>
          <w:rFonts w:ascii="Arial" w:hAnsi="Arial" w:cs="Arial"/>
          <w:sz w:val="24"/>
          <w:szCs w:val="24"/>
        </w:rPr>
      </w:pPr>
    </w:p>
    <w:p>
      <w:pPr>
        <w:adjustRightInd w:val="0"/>
        <w:snapToGrid w:val="0"/>
        <w:spacing w:line="360" w:lineRule="auto"/>
        <w:rPr>
          <w:rFonts w:ascii="Arial" w:hAnsi="Arial" w:cs="Arial"/>
          <w:sz w:val="24"/>
          <w:szCs w:val="24"/>
        </w:rPr>
      </w:pPr>
    </w:p>
    <w:p>
      <w:pPr>
        <w:adjustRightInd w:val="0"/>
        <w:snapToGrid w:val="0"/>
        <w:spacing w:line="360" w:lineRule="auto"/>
        <w:rPr>
          <w:rFonts w:ascii="Arial" w:hAnsi="Arial" w:cs="Arial"/>
          <w:sz w:val="24"/>
          <w:szCs w:val="24"/>
        </w:rPr>
      </w:pPr>
    </w:p>
    <w:p>
      <w:pPr>
        <w:adjustRightInd w:val="0"/>
        <w:snapToGrid w:val="0"/>
        <w:spacing w:line="360" w:lineRule="auto"/>
        <w:rPr>
          <w:rFonts w:ascii="Arial" w:hAnsi="Arial" w:cs="Arial"/>
          <w:sz w:val="24"/>
          <w:szCs w:val="24"/>
        </w:rPr>
      </w:pPr>
    </w:p>
    <w:p>
      <w:pPr>
        <w:adjustRightInd w:val="0"/>
        <w:snapToGrid w:val="0"/>
        <w:spacing w:line="360" w:lineRule="auto"/>
        <w:rPr>
          <w:rFonts w:ascii="Arial" w:hAnsi="Arial" w:cs="Arial"/>
          <w:sz w:val="24"/>
          <w:szCs w:val="24"/>
        </w:rPr>
      </w:pPr>
    </w:p>
    <w:p>
      <w:pPr>
        <w:adjustRightInd w:val="0"/>
        <w:snapToGrid w:val="0"/>
        <w:spacing w:line="360" w:lineRule="auto"/>
        <w:rPr>
          <w:rFonts w:ascii="Arial" w:hAnsi="Arial" w:cs="Arial"/>
          <w:sz w:val="24"/>
          <w:szCs w:val="24"/>
        </w:rPr>
      </w:pPr>
    </w:p>
    <w:p>
      <w:pPr>
        <w:adjustRightInd w:val="0"/>
        <w:snapToGrid w:val="0"/>
        <w:spacing w:line="360" w:lineRule="auto"/>
        <w:rPr>
          <w:rFonts w:ascii="Arial" w:hAnsi="Arial" w:cs="Arial"/>
          <w:sz w:val="24"/>
          <w:szCs w:val="24"/>
        </w:rPr>
      </w:pPr>
    </w:p>
    <w:p>
      <w:pPr>
        <w:adjustRightInd w:val="0"/>
        <w:snapToGrid w:val="0"/>
        <w:spacing w:line="360" w:lineRule="auto"/>
        <w:rPr>
          <w:rFonts w:ascii="Arial" w:hAnsi="Arial" w:cs="Arial"/>
          <w:sz w:val="24"/>
          <w:szCs w:val="24"/>
        </w:rPr>
      </w:pPr>
    </w:p>
    <w:p>
      <w:pPr>
        <w:pStyle w:val="2"/>
        <w:adjustRightInd w:val="0"/>
        <w:snapToGrid w:val="0"/>
        <w:spacing w:before="240" w:after="240" w:line="480" w:lineRule="auto"/>
        <w:rPr>
          <w:rFonts w:cs="Arial"/>
          <w:sz w:val="32"/>
          <w:szCs w:val="32"/>
        </w:rPr>
      </w:pPr>
      <w:bookmarkStart w:id="37" w:name="_Toc154331133"/>
      <w:r>
        <w:rPr>
          <w:rFonts w:cs="Arial"/>
          <w:sz w:val="32"/>
          <w:szCs w:val="32"/>
        </w:rPr>
        <w:t>2.2建筑防火</w:t>
      </w:r>
      <w:bookmarkEnd w:id="37"/>
    </w:p>
    <w:p>
      <w:pPr>
        <w:adjustRightInd w:val="0"/>
        <w:snapToGrid w:val="0"/>
        <w:spacing w:line="360" w:lineRule="auto"/>
        <w:rPr>
          <w:rFonts w:ascii="Arial" w:hAnsi="Arial" w:eastAsia="黑体" w:cs="Arial"/>
          <w:sz w:val="24"/>
          <w:szCs w:val="24"/>
        </w:rPr>
      </w:pPr>
      <w:r>
        <w:rPr>
          <w:rFonts w:ascii="Arial" w:hAnsi="Arial" w:eastAsia="黑体" w:cs="Arial"/>
          <w:sz w:val="24"/>
          <w:szCs w:val="24"/>
        </w:rPr>
        <w:t>《</w:t>
      </w:r>
      <w:r>
        <w:rPr>
          <w:rFonts w:hint="eastAsia" w:ascii="Arial" w:hAnsi="Arial" w:eastAsia="黑体" w:cs="Arial"/>
          <w:sz w:val="24"/>
          <w:szCs w:val="24"/>
        </w:rPr>
        <w:t>建筑防排烟系统设计标准</w:t>
      </w:r>
      <w:r>
        <w:rPr>
          <w:rFonts w:ascii="Arial" w:hAnsi="Arial" w:eastAsia="黑体" w:cs="Arial"/>
          <w:sz w:val="24"/>
          <w:szCs w:val="24"/>
        </w:rPr>
        <w:t>》DG</w:t>
      </w:r>
      <w:r>
        <w:rPr>
          <w:rFonts w:hint="eastAsia" w:ascii="Arial" w:hAnsi="Arial" w:eastAsia="黑体" w:cs="Arial"/>
          <w:sz w:val="24"/>
          <w:szCs w:val="24"/>
        </w:rPr>
        <w:t>/T</w:t>
      </w:r>
      <w:r>
        <w:rPr>
          <w:rFonts w:ascii="Arial" w:hAnsi="Arial" w:eastAsia="黑体" w:cs="Arial"/>
          <w:sz w:val="24"/>
          <w:szCs w:val="24"/>
        </w:rPr>
        <w:t>J08-</w:t>
      </w:r>
      <w:r>
        <w:rPr>
          <w:rFonts w:hint="eastAsia" w:ascii="Arial" w:hAnsi="Arial" w:eastAsia="黑体" w:cs="Arial"/>
          <w:sz w:val="24"/>
          <w:szCs w:val="24"/>
        </w:rPr>
        <w:t>88-2021</w:t>
      </w:r>
    </w:p>
    <w:p>
      <w:pPr>
        <w:adjustRightInd w:val="0"/>
        <w:snapToGrid w:val="0"/>
        <w:spacing w:line="360" w:lineRule="auto"/>
        <w:rPr>
          <w:rFonts w:ascii="Arial" w:hAnsi="Arial" w:cs="Arial"/>
          <w:sz w:val="24"/>
          <w:szCs w:val="24"/>
        </w:rPr>
      </w:pPr>
      <w:r>
        <w:rPr>
          <w:rFonts w:hint="eastAsia" w:ascii="宋体" w:hAnsi="宋体"/>
          <w:b/>
          <w:bCs/>
          <w:color w:val="000000"/>
          <w:sz w:val="24"/>
        </w:rPr>
        <w:t>3.1.8</w:t>
      </w:r>
      <w:r>
        <w:rPr>
          <w:rFonts w:hint="eastAsia" w:ascii="Arial" w:hAnsi="Arial" w:eastAsia="黑体" w:cs="Arial"/>
          <w:sz w:val="24"/>
          <w:szCs w:val="24"/>
        </w:rPr>
        <w:t xml:space="preserve"> </w:t>
      </w:r>
      <w:r>
        <w:rPr>
          <w:rFonts w:hint="eastAsia" w:ascii="Arial" w:hAnsi="Arial" w:cs="Arial"/>
          <w:sz w:val="24"/>
          <w:szCs w:val="24"/>
        </w:rPr>
        <w:t>地下、半地下室疏散楼梯间的防烟系统应符合下列要求：</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Fonts w:ascii="Arial" w:hAnsi="Arial" w:cs="Arial"/>
          <w:sz w:val="24"/>
          <w:szCs w:val="24"/>
        </w:rPr>
      </w:pPr>
      <w:r>
        <w:rPr>
          <w:rFonts w:hint="eastAsia" w:ascii="宋体" w:hAnsi="宋体"/>
          <w:b/>
          <w:bCs/>
          <w:color w:val="000000"/>
          <w:sz w:val="24"/>
        </w:rPr>
        <w:t>2</w:t>
      </w:r>
      <w:r>
        <w:rPr>
          <w:rFonts w:hint="eastAsia" w:ascii="Arial" w:hAnsi="Arial" w:cs="Arial"/>
          <w:sz w:val="24"/>
          <w:szCs w:val="24"/>
          <w:lang w:val="en-US" w:eastAsia="zh-CN"/>
        </w:rPr>
        <w:t xml:space="preserve"> </w:t>
      </w:r>
      <w:r>
        <w:rPr>
          <w:rFonts w:hint="eastAsia" w:ascii="Arial" w:hAnsi="Arial" w:cs="Arial"/>
          <w:sz w:val="24"/>
          <w:szCs w:val="24"/>
        </w:rPr>
        <w:t>住宅建筑地下为一、二层，其使用功能仅为汽车库、非机动车库和设备用房，地下最底层的地坪与室外出入口地面高差不大于10m，且地下楼梯间不与地上楼梯间共用时，楼梯间防烟系统可按以下要求设置:</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Arial" w:hAnsi="Arial" w:cs="Arial"/>
          <w:sz w:val="24"/>
          <w:szCs w:val="24"/>
        </w:rPr>
      </w:pPr>
      <w:r>
        <w:rPr>
          <w:rFonts w:hint="eastAsia" w:ascii="Arial" w:hAnsi="Arial" w:cs="Arial"/>
          <w:sz w:val="24"/>
          <w:szCs w:val="24"/>
        </w:rPr>
        <w:t>2）地下为二层且首层设有直接开向室外的门或设有不小于2.0m²的可开启外窗或开口时，其防烟楼梯间或封闭楼梯间可不设机械加压送风系统；</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Fonts w:ascii="Arial" w:hAnsi="Arial" w:cs="Arial"/>
          <w:sz w:val="24"/>
          <w:szCs w:val="24"/>
        </w:rPr>
      </w:pPr>
      <w:r>
        <w:rPr>
          <w:rFonts w:hint="eastAsia" w:ascii="宋体" w:hAnsi="宋体"/>
          <w:b/>
          <w:bCs/>
          <w:color w:val="000000"/>
          <w:sz w:val="24"/>
        </w:rPr>
        <w:t>3</w:t>
      </w:r>
      <w:r>
        <w:rPr>
          <w:rFonts w:hint="eastAsia" w:ascii="宋体" w:hAnsi="宋体"/>
          <w:b/>
          <w:bCs/>
          <w:color w:val="000000"/>
          <w:sz w:val="24"/>
          <w:lang w:val="en-US" w:eastAsia="zh-CN"/>
        </w:rPr>
        <w:t xml:space="preserve"> </w:t>
      </w:r>
      <w:r>
        <w:rPr>
          <w:rFonts w:hint="eastAsia" w:ascii="Arial" w:hAnsi="Arial" w:cs="Arial"/>
          <w:sz w:val="24"/>
          <w:szCs w:val="24"/>
        </w:rPr>
        <w:t>除地下疏散楼梯间满足本条第1、2款，或贴邻下沉式广场等能满足自然通风防烟方式要求的情况外，疏散楼梯间应采用机械加压送风防烟方式。</w:t>
      </w:r>
    </w:p>
    <w:p>
      <w:pPr>
        <w:adjustRightInd w:val="0"/>
        <w:snapToGrid w:val="0"/>
        <w:spacing w:line="360" w:lineRule="auto"/>
        <w:rPr>
          <w:rFonts w:ascii="Arial" w:hAnsi="Arial" w:cs="Arial"/>
          <w:sz w:val="24"/>
          <w:szCs w:val="24"/>
        </w:rPr>
      </w:pPr>
      <w:r>
        <w:rPr>
          <w:rFonts w:hint="eastAsia" w:ascii="宋体" w:hAnsi="宋体"/>
          <w:b/>
          <w:bCs/>
          <w:color w:val="000000"/>
          <w:sz w:val="24"/>
        </w:rPr>
        <w:t>3.2.1</w:t>
      </w:r>
      <w:r>
        <w:rPr>
          <w:rFonts w:hint="eastAsia" w:ascii="Arial" w:hAnsi="Arial" w:cs="Arial"/>
          <w:sz w:val="24"/>
          <w:szCs w:val="24"/>
        </w:rPr>
        <w:t xml:space="preserve"> 采用自然通风防烟方式的封闭楼梯间、防烟楼梯间，应在最高部位设置面积不小于1.0m</w:t>
      </w:r>
      <w:r>
        <w:rPr>
          <w:rFonts w:hint="eastAsia" w:ascii="Arial" w:hAnsi="Arial" w:cs="Arial"/>
          <w:sz w:val="24"/>
          <w:szCs w:val="24"/>
          <w:vertAlign w:val="superscript"/>
        </w:rPr>
        <w:t>2</w:t>
      </w:r>
      <w:r>
        <w:rPr>
          <w:rFonts w:hint="eastAsia" w:ascii="Arial" w:hAnsi="Arial" w:cs="Arial"/>
          <w:sz w:val="24"/>
          <w:szCs w:val="24"/>
        </w:rPr>
        <w:t>的可开启外窗或开口；当楼梯间高度大于10m时，尚应在楼梯间的外墙上每5层内设置总面积不小于2.0m</w:t>
      </w:r>
      <w:r>
        <w:rPr>
          <w:rFonts w:hint="eastAsia" w:ascii="Arial" w:hAnsi="Arial" w:cs="Arial"/>
          <w:sz w:val="24"/>
          <w:szCs w:val="24"/>
          <w:vertAlign w:val="superscript"/>
        </w:rPr>
        <w:t>2</w:t>
      </w:r>
      <w:r>
        <w:rPr>
          <w:rFonts w:hint="eastAsia" w:ascii="Arial" w:hAnsi="Arial" w:cs="Arial"/>
          <w:sz w:val="24"/>
          <w:szCs w:val="24"/>
        </w:rPr>
        <w:t>可开启外窗或开口，且布置间隔应小于3 层。</w:t>
      </w:r>
    </w:p>
    <w:p>
      <w:pPr>
        <w:adjustRightInd w:val="0"/>
        <w:snapToGrid w:val="0"/>
        <w:spacing w:line="360" w:lineRule="auto"/>
        <w:rPr>
          <w:rFonts w:ascii="Arial" w:hAnsi="Arial" w:cs="Arial"/>
          <w:sz w:val="24"/>
          <w:szCs w:val="24"/>
        </w:rPr>
      </w:pPr>
      <w:r>
        <w:rPr>
          <w:rFonts w:hint="eastAsia" w:ascii="宋体" w:hAnsi="宋体"/>
          <w:b/>
          <w:bCs/>
          <w:color w:val="000000"/>
          <w:sz w:val="24"/>
        </w:rPr>
        <w:t>3.2.2</w:t>
      </w:r>
      <w:r>
        <w:rPr>
          <w:rFonts w:hint="eastAsia" w:ascii="Arial" w:hAnsi="Arial" w:cs="Arial"/>
          <w:sz w:val="24"/>
          <w:szCs w:val="24"/>
        </w:rPr>
        <w:t xml:space="preserve"> 前室采用自然通风防烟方式时，独立前室、消防电梯前室可开启外窗或开口的面积不应小于2.0 m²，合用前室、共用前室不应小于3.0 m²，且有效开启面积不应小于可开启外窗面积的40%。</w:t>
      </w:r>
    </w:p>
    <w:p>
      <w:pPr>
        <w:adjustRightInd w:val="0"/>
        <w:snapToGrid w:val="0"/>
        <w:spacing w:line="360" w:lineRule="auto"/>
        <w:rPr>
          <w:rFonts w:ascii="Arial" w:hAnsi="Arial" w:cs="Arial"/>
          <w:sz w:val="24"/>
          <w:szCs w:val="24"/>
        </w:rPr>
      </w:pPr>
      <w:r>
        <w:rPr>
          <w:rFonts w:hint="eastAsia" w:ascii="宋体" w:hAnsi="宋体"/>
          <w:b/>
          <w:bCs/>
          <w:color w:val="000000"/>
          <w:sz w:val="24"/>
        </w:rPr>
        <w:t>3.2.3</w:t>
      </w:r>
      <w:r>
        <w:rPr>
          <w:rFonts w:hint="eastAsia" w:ascii="Arial" w:hAnsi="Arial" w:cs="Arial"/>
          <w:sz w:val="24"/>
          <w:szCs w:val="24"/>
        </w:rPr>
        <w:t xml:space="preserve"> 首层疏散楼梯间的扩大前室采用自然通风防烟方式时，该防烟方式不受建筑高度的限制，其可开启外窗的有效面积不应小于扩大前室地面面积的3%，且不应小于3m</w:t>
      </w:r>
      <w:r>
        <w:rPr>
          <w:rFonts w:hint="eastAsia" w:ascii="Arial" w:hAnsi="Arial" w:cs="Arial"/>
          <w:sz w:val="24"/>
          <w:szCs w:val="24"/>
          <w:vertAlign w:val="superscript"/>
        </w:rPr>
        <w:t>2</w:t>
      </w:r>
      <w:r>
        <w:rPr>
          <w:rFonts w:hint="eastAsia" w:ascii="Arial" w:hAnsi="Arial" w:cs="Arial"/>
          <w:sz w:val="24"/>
          <w:szCs w:val="24"/>
        </w:rPr>
        <w:t>。</w:t>
      </w:r>
    </w:p>
    <w:p>
      <w:pPr>
        <w:adjustRightInd w:val="0"/>
        <w:snapToGrid w:val="0"/>
        <w:spacing w:line="360" w:lineRule="auto"/>
        <w:rPr>
          <w:rFonts w:ascii="Arial" w:hAnsi="Arial" w:cs="Arial"/>
          <w:sz w:val="24"/>
          <w:szCs w:val="24"/>
        </w:rPr>
      </w:pPr>
      <w:r>
        <w:rPr>
          <w:rFonts w:hint="eastAsia" w:ascii="宋体" w:hAnsi="宋体"/>
          <w:b/>
          <w:bCs/>
          <w:color w:val="000000"/>
          <w:sz w:val="24"/>
        </w:rPr>
        <w:t xml:space="preserve">3.2.6 </w:t>
      </w:r>
      <w:r>
        <w:rPr>
          <w:rFonts w:hint="eastAsia" w:ascii="Arial" w:hAnsi="Arial" w:cs="Arial"/>
          <w:sz w:val="24"/>
          <w:szCs w:val="24"/>
        </w:rPr>
        <w:t>除本标准另有规定外，采用自然通风防烟方式的地下室疏散楼梯间或前室应贴邻下沉式广场或对边净距不小于</w:t>
      </w:r>
      <w:r>
        <w:rPr>
          <w:rFonts w:ascii="Arial" w:hAnsi="Arial" w:cs="Arial"/>
          <w:sz w:val="24"/>
          <w:szCs w:val="24"/>
        </w:rPr>
        <w:t>6m</w:t>
      </w:r>
      <w:r>
        <w:rPr>
          <w:rFonts w:hint="eastAsia" w:ascii="Arial" w:hAnsi="Arial" w:cs="Arial"/>
          <w:sz w:val="24"/>
          <w:szCs w:val="24"/>
        </w:rPr>
        <w:t>×</w:t>
      </w:r>
      <w:r>
        <w:rPr>
          <w:rFonts w:ascii="Arial" w:hAnsi="Arial" w:cs="Arial"/>
          <w:sz w:val="24"/>
          <w:szCs w:val="24"/>
        </w:rPr>
        <w:t xml:space="preserve">6m </w:t>
      </w:r>
      <w:r>
        <w:rPr>
          <w:rFonts w:hint="eastAsia" w:ascii="Arial" w:hAnsi="Arial" w:cs="Arial"/>
          <w:sz w:val="24"/>
          <w:szCs w:val="24"/>
        </w:rPr>
        <w:t>的无盖采光井设置。</w:t>
      </w:r>
    </w:p>
    <w:p>
      <w:pPr>
        <w:adjustRightInd w:val="0"/>
        <w:snapToGrid w:val="0"/>
        <w:spacing w:line="360" w:lineRule="auto"/>
        <w:rPr>
          <w:rFonts w:ascii="Arial" w:hAnsi="Arial" w:cs="Arial"/>
          <w:sz w:val="24"/>
          <w:szCs w:val="24"/>
        </w:rPr>
      </w:pPr>
      <w:r>
        <w:rPr>
          <w:rFonts w:hint="eastAsia" w:ascii="宋体" w:hAnsi="宋体"/>
          <w:b/>
          <w:bCs/>
          <w:color w:val="000000"/>
          <w:sz w:val="24"/>
        </w:rPr>
        <w:t>3.3.5</w:t>
      </w:r>
      <w:r>
        <w:rPr>
          <w:rFonts w:hint="eastAsia" w:ascii="Arial" w:hAnsi="Arial" w:cs="Arial"/>
          <w:sz w:val="24"/>
          <w:szCs w:val="24"/>
        </w:rPr>
        <w:t xml:space="preserve"> 机械加压送风风机可采用轴流风机、混流风机或中、低压离心风机等，其设置应符合下列要求：</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Fonts w:ascii="Arial" w:hAnsi="Arial" w:cs="Arial"/>
          <w:sz w:val="24"/>
          <w:szCs w:val="24"/>
        </w:rPr>
      </w:pPr>
      <w:r>
        <w:rPr>
          <w:rFonts w:hint="eastAsia" w:ascii="宋体" w:hAnsi="宋体"/>
          <w:b/>
          <w:bCs/>
          <w:color w:val="000000"/>
          <w:sz w:val="24"/>
        </w:rPr>
        <w:t>3</w:t>
      </w:r>
      <w:r>
        <w:rPr>
          <w:rFonts w:hint="eastAsia" w:ascii="宋体" w:hAnsi="宋体"/>
          <w:b/>
          <w:bCs/>
          <w:color w:val="000000"/>
          <w:sz w:val="24"/>
          <w:lang w:val="en-US" w:eastAsia="zh-CN"/>
        </w:rPr>
        <w:t xml:space="preserve"> </w:t>
      </w:r>
      <w:r>
        <w:rPr>
          <w:rFonts w:hint="eastAsia" w:ascii="Arial" w:hAnsi="Arial" w:cs="Arial"/>
          <w:sz w:val="24"/>
          <w:szCs w:val="24"/>
        </w:rPr>
        <w:t>送风风机的进风口不宜与排烟风机的出风口设在同一建筑立面或平面上。如确有困难，送风风机的进风口应在排烟风机的出风口下部，两风口最小垂直边缘距离不应小于</w:t>
      </w:r>
      <w:r>
        <w:rPr>
          <w:rFonts w:ascii="Arial" w:hAnsi="Arial" w:cs="Arial"/>
          <w:sz w:val="24"/>
          <w:szCs w:val="24"/>
        </w:rPr>
        <w:t>6m</w:t>
      </w:r>
      <w:r>
        <w:rPr>
          <w:rFonts w:hint="eastAsia" w:ascii="Arial" w:hAnsi="Arial" w:cs="Arial"/>
          <w:sz w:val="24"/>
          <w:szCs w:val="24"/>
        </w:rPr>
        <w:t>，或两者边缘最小水平距离不应小于</w:t>
      </w:r>
      <w:r>
        <w:rPr>
          <w:rFonts w:ascii="Arial" w:hAnsi="Arial" w:cs="Arial"/>
          <w:sz w:val="24"/>
          <w:szCs w:val="24"/>
        </w:rPr>
        <w:t>20m</w:t>
      </w:r>
      <w:r>
        <w:rPr>
          <w:rFonts w:hint="eastAsia" w:ascii="Arial" w:hAnsi="Arial" w:cs="Arial"/>
          <w:sz w:val="24"/>
          <w:szCs w:val="24"/>
        </w:rPr>
        <w:t>；当设置在内夹角不大于</w:t>
      </w:r>
      <w:r>
        <w:rPr>
          <w:rFonts w:ascii="Arial" w:hAnsi="Arial" w:cs="Arial"/>
          <w:sz w:val="24"/>
          <w:szCs w:val="24"/>
        </w:rPr>
        <w:t>135</w:t>
      </w:r>
      <w:r>
        <w:rPr>
          <w:rFonts w:hint="eastAsia" w:ascii="Arial" w:hAnsi="Arial" w:cs="Arial"/>
          <w:sz w:val="24"/>
          <w:szCs w:val="24"/>
        </w:rPr>
        <w:t>°两相邻立面上时，两风口边缘沿墙面的最小水平距离不应小于</w:t>
      </w:r>
      <w:r>
        <w:rPr>
          <w:rFonts w:ascii="Arial" w:hAnsi="Arial" w:cs="Arial"/>
          <w:sz w:val="24"/>
          <w:szCs w:val="24"/>
        </w:rPr>
        <w:t>12m</w:t>
      </w:r>
      <w:r>
        <w:rPr>
          <w:rFonts w:hint="eastAsia" w:ascii="Arial" w:hAnsi="Arial" w:cs="Arial"/>
          <w:sz w:val="24"/>
          <w:szCs w:val="24"/>
        </w:rPr>
        <w:t>，或垂直距离不应小于</w:t>
      </w:r>
      <w:r>
        <w:rPr>
          <w:rFonts w:ascii="Arial" w:hAnsi="Arial" w:cs="Arial"/>
          <w:sz w:val="24"/>
          <w:szCs w:val="24"/>
        </w:rPr>
        <w:t>4.5m</w:t>
      </w:r>
      <w:r>
        <w:rPr>
          <w:rFonts w:hint="eastAsia" w:ascii="Arial" w:hAnsi="Arial" w:cs="Arial"/>
          <w:sz w:val="24"/>
          <w:szCs w:val="24"/>
        </w:rPr>
        <w:t>。</w:t>
      </w:r>
    </w:p>
    <w:p>
      <w:pPr>
        <w:adjustRightInd w:val="0"/>
        <w:snapToGrid w:val="0"/>
        <w:spacing w:line="360" w:lineRule="auto"/>
        <w:rPr>
          <w:rFonts w:ascii="Arial" w:hAnsi="Arial" w:cs="Arial"/>
          <w:sz w:val="24"/>
          <w:szCs w:val="24"/>
        </w:rPr>
      </w:pPr>
      <w:r>
        <w:rPr>
          <w:rFonts w:hint="eastAsia" w:ascii="宋体" w:hAnsi="宋体"/>
          <w:b/>
          <w:bCs/>
          <w:color w:val="000000"/>
          <w:sz w:val="24"/>
        </w:rPr>
        <w:t>3.3.7</w:t>
      </w:r>
      <w:r>
        <w:rPr>
          <w:rFonts w:hint="eastAsia" w:ascii="宋体" w:hAnsi="宋体"/>
          <w:b/>
          <w:bCs/>
          <w:color w:val="000000"/>
          <w:sz w:val="24"/>
          <w:lang w:val="en-US" w:eastAsia="zh-CN"/>
        </w:rPr>
        <w:t xml:space="preserve"> </w:t>
      </w:r>
      <w:r>
        <w:rPr>
          <w:rFonts w:hint="eastAsia" w:ascii="Arial" w:hAnsi="Arial" w:cs="Arial"/>
          <w:sz w:val="24"/>
          <w:szCs w:val="24"/>
        </w:rPr>
        <w:t>除用于建筑物地下部分的室外进风竖井外，机械加压送风系统应采用管道送风，不应采用土建风道。送风管道应采用不燃材料制作且内壁应光滑。当送风管道内壁为金属时，设计风速不应大于20m/s；当送风管道内壁为非金属时，设计风速不应大于15m/s；送风管道的厚度及制作要求应符合现行国家标准《通风与空调工程施工质量验收规范》GB50243 中压系统风管的规定。</w:t>
      </w:r>
    </w:p>
    <w:p>
      <w:pPr>
        <w:adjustRightInd w:val="0"/>
        <w:snapToGrid w:val="0"/>
        <w:spacing w:line="360" w:lineRule="auto"/>
        <w:rPr>
          <w:rFonts w:ascii="Arial" w:hAnsi="Arial" w:cs="Arial"/>
          <w:sz w:val="24"/>
          <w:szCs w:val="24"/>
        </w:rPr>
      </w:pPr>
      <w:r>
        <w:rPr>
          <w:rFonts w:hint="eastAsia" w:ascii="宋体" w:hAnsi="宋体"/>
          <w:b/>
          <w:bCs/>
          <w:color w:val="000000"/>
          <w:sz w:val="24"/>
        </w:rPr>
        <w:t>3.3.8</w:t>
      </w:r>
      <w:r>
        <w:rPr>
          <w:rFonts w:hint="eastAsia" w:ascii="Arial" w:hAnsi="Arial" w:eastAsia="黑体" w:cs="Arial"/>
          <w:sz w:val="24"/>
          <w:szCs w:val="24"/>
        </w:rPr>
        <w:t xml:space="preserve"> </w:t>
      </w:r>
      <w:r>
        <w:rPr>
          <w:rFonts w:hint="eastAsia" w:ascii="宋体" w:hAnsi="宋体" w:cs="宋体"/>
          <w:color w:val="000000"/>
          <w:kern w:val="0"/>
          <w:szCs w:val="21"/>
        </w:rPr>
        <w:t>机</w:t>
      </w:r>
      <w:r>
        <w:rPr>
          <w:rFonts w:hint="eastAsia" w:ascii="Arial" w:hAnsi="Arial" w:cs="Arial"/>
          <w:sz w:val="24"/>
          <w:szCs w:val="24"/>
        </w:rPr>
        <w:t>械加压送风管道的设置和耐火极限应符合下列要求：</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Fonts w:ascii="Arial" w:hAnsi="Arial" w:cs="Arial"/>
          <w:sz w:val="24"/>
          <w:szCs w:val="24"/>
        </w:rPr>
      </w:pPr>
      <w:r>
        <w:rPr>
          <w:rFonts w:hint="eastAsia" w:ascii="宋体" w:hAnsi="宋体"/>
          <w:b/>
          <w:bCs/>
          <w:color w:val="000000"/>
          <w:sz w:val="24"/>
        </w:rPr>
        <w:t>2</w:t>
      </w:r>
      <w:r>
        <w:rPr>
          <w:rFonts w:hint="eastAsia" w:ascii="Arial" w:hAnsi="Arial" w:cs="Arial"/>
          <w:sz w:val="24"/>
          <w:szCs w:val="24"/>
        </w:rPr>
        <w:t xml:space="preserve"> 水平设置的送风管道，其耐火极限不应低于</w:t>
      </w:r>
      <w:r>
        <w:rPr>
          <w:rFonts w:ascii="Arial" w:hAnsi="Arial" w:cs="Arial"/>
          <w:sz w:val="24"/>
          <w:szCs w:val="24"/>
        </w:rPr>
        <w:t>1.0h</w:t>
      </w:r>
      <w:r>
        <w:rPr>
          <w:rFonts w:hint="eastAsia" w:ascii="Arial" w:hAnsi="Arial" w:cs="Arial"/>
          <w:sz w:val="24"/>
          <w:szCs w:val="24"/>
        </w:rPr>
        <w:t>；但需要穿越避难间、疏散楼梯间及前室等场所时，其耐火极限不应低于</w:t>
      </w:r>
      <w:r>
        <w:rPr>
          <w:rFonts w:ascii="Arial" w:hAnsi="Arial" w:cs="Arial"/>
          <w:sz w:val="24"/>
          <w:szCs w:val="24"/>
        </w:rPr>
        <w:t>2.0h</w:t>
      </w:r>
      <w:r>
        <w:rPr>
          <w:rFonts w:hint="eastAsia" w:ascii="Arial" w:hAnsi="Arial" w:cs="Arial"/>
          <w:sz w:val="24"/>
          <w:szCs w:val="24"/>
        </w:rPr>
        <w:t>。</w:t>
      </w:r>
    </w:p>
    <w:p>
      <w:pPr>
        <w:adjustRightInd w:val="0"/>
        <w:snapToGrid w:val="0"/>
        <w:spacing w:line="360" w:lineRule="auto"/>
        <w:rPr>
          <w:rFonts w:ascii="Arial" w:hAnsi="Arial" w:cs="Arial"/>
          <w:sz w:val="24"/>
          <w:szCs w:val="24"/>
        </w:rPr>
      </w:pPr>
      <w:r>
        <w:rPr>
          <w:rFonts w:hint="eastAsia" w:ascii="宋体" w:hAnsi="宋体"/>
          <w:b/>
          <w:bCs/>
          <w:color w:val="000000"/>
          <w:sz w:val="24"/>
        </w:rPr>
        <w:t>4.1.4</w:t>
      </w:r>
      <w:r>
        <w:rPr>
          <w:rFonts w:hint="eastAsia" w:ascii="宋体" w:hAnsi="宋体"/>
          <w:b/>
          <w:bCs/>
          <w:color w:val="000000"/>
          <w:sz w:val="24"/>
          <w:lang w:val="en-US" w:eastAsia="zh-CN"/>
        </w:rPr>
        <w:t xml:space="preserve"> </w:t>
      </w:r>
      <w:r>
        <w:rPr>
          <w:rFonts w:hint="eastAsia" w:ascii="Arial" w:hAnsi="Arial" w:cs="Arial"/>
          <w:sz w:val="24"/>
          <w:szCs w:val="24"/>
        </w:rPr>
        <w:t>建筑防烟分区的最大允许面积及其长边最大允许长度应符合表</w:t>
      </w:r>
      <w:r>
        <w:rPr>
          <w:rFonts w:ascii="Arial" w:hAnsi="Arial" w:cs="Arial"/>
          <w:sz w:val="24"/>
          <w:szCs w:val="24"/>
        </w:rPr>
        <w:t>4.1.4</w:t>
      </w:r>
      <w:r>
        <w:rPr>
          <w:rFonts w:hint="eastAsia" w:ascii="Arial" w:hAnsi="Arial" w:cs="Arial"/>
          <w:sz w:val="24"/>
          <w:szCs w:val="24"/>
        </w:rPr>
        <w:t>的规定；当工业建筑采用自然排烟系统时，其防烟分区的长边长度不应大于建筑内空间净高的8倍。</w:t>
      </w:r>
    </w:p>
    <w:p>
      <w:pPr>
        <w:adjustRightInd w:val="0"/>
        <w:snapToGrid w:val="0"/>
        <w:spacing w:line="360" w:lineRule="auto"/>
        <w:jc w:val="center"/>
        <w:rPr>
          <w:rFonts w:ascii="宋体" w:hAnsi="宋体" w:cs="宋体"/>
          <w:color w:val="000000"/>
          <w:kern w:val="0"/>
          <w:szCs w:val="21"/>
        </w:rPr>
      </w:pPr>
      <w:r>
        <w:rPr>
          <w:rFonts w:hint="eastAsia" w:ascii="Arial" w:hAnsi="Arial" w:cs="Arial"/>
          <w:szCs w:val="21"/>
        </w:rPr>
        <w:t>表 4.1.4 公共建筑、工业建筑防烟分区的最大允许面积及其长边最大允许长度</w:t>
      </w:r>
    </w:p>
    <w:tbl>
      <w:tblPr>
        <w:tblStyle w:val="24"/>
        <w:tblW w:w="0" w:type="auto"/>
        <w:tblInd w:w="2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843"/>
        <w:gridCol w:w="2126"/>
        <w:gridCol w:w="43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43" w:type="dxa"/>
          </w:tcPr>
          <w:p>
            <w:pPr>
              <w:widowControl/>
              <w:jc w:val="center"/>
              <w:rPr>
                <w:rFonts w:ascii="Arial" w:hAnsi="Arial" w:cs="Arial"/>
                <w:color w:val="000000"/>
                <w:kern w:val="0"/>
                <w:szCs w:val="21"/>
              </w:rPr>
            </w:pPr>
            <w:r>
              <w:rPr>
                <w:rFonts w:ascii="Arial" w:hAnsi="宋体" w:cs="Arial"/>
                <w:color w:val="000000"/>
                <w:kern w:val="0"/>
                <w:szCs w:val="21"/>
              </w:rPr>
              <w:t>空间净高</w:t>
            </w:r>
            <w:r>
              <w:rPr>
                <w:rFonts w:ascii="Arial" w:hAnsi="Arial" w:cs="Arial"/>
                <w:color w:val="000000"/>
                <w:kern w:val="0"/>
                <w:szCs w:val="21"/>
              </w:rPr>
              <w:t xml:space="preserve"> H</w:t>
            </w:r>
            <w:r>
              <w:rPr>
                <w:rFonts w:ascii="Arial" w:hAnsi="宋体" w:cs="Arial"/>
                <w:color w:val="000000"/>
                <w:kern w:val="0"/>
                <w:szCs w:val="21"/>
              </w:rPr>
              <w:t>（</w:t>
            </w:r>
            <w:r>
              <w:rPr>
                <w:rFonts w:ascii="Arial" w:hAnsi="Arial" w:cs="Arial"/>
                <w:color w:val="000000"/>
                <w:kern w:val="0"/>
                <w:szCs w:val="21"/>
              </w:rPr>
              <w:t>m</w:t>
            </w:r>
            <w:r>
              <w:rPr>
                <w:rFonts w:ascii="Arial" w:hAnsi="宋体" w:cs="Arial"/>
                <w:color w:val="000000"/>
                <w:kern w:val="0"/>
                <w:szCs w:val="21"/>
              </w:rPr>
              <w:t>）</w:t>
            </w:r>
          </w:p>
        </w:tc>
        <w:tc>
          <w:tcPr>
            <w:tcW w:w="2126" w:type="dxa"/>
          </w:tcPr>
          <w:p>
            <w:pPr>
              <w:widowControl/>
              <w:jc w:val="center"/>
              <w:rPr>
                <w:rFonts w:ascii="Arial" w:hAnsi="Arial" w:cs="Arial"/>
                <w:color w:val="000000"/>
                <w:kern w:val="0"/>
                <w:szCs w:val="21"/>
              </w:rPr>
            </w:pPr>
            <w:r>
              <w:rPr>
                <w:rFonts w:ascii="Arial" w:hAnsi="宋体" w:cs="Arial"/>
                <w:color w:val="000000"/>
                <w:kern w:val="0"/>
                <w:szCs w:val="21"/>
              </w:rPr>
              <w:t>最大允许面积（</w:t>
            </w:r>
            <w:r>
              <w:rPr>
                <w:rFonts w:ascii="Arial" w:hAnsi="Arial" w:cs="Arial"/>
                <w:color w:val="000000"/>
                <w:kern w:val="0"/>
                <w:szCs w:val="21"/>
              </w:rPr>
              <w:t>m</w:t>
            </w:r>
            <w:r>
              <w:rPr>
                <w:rFonts w:ascii="Arial" w:hAnsi="Arial" w:cs="Arial"/>
                <w:color w:val="000000"/>
                <w:kern w:val="0"/>
                <w:szCs w:val="21"/>
                <w:vertAlign w:val="superscript"/>
              </w:rPr>
              <w:t xml:space="preserve"> 2</w:t>
            </w:r>
            <w:r>
              <w:rPr>
                <w:rFonts w:ascii="Arial" w:hAnsi="宋体" w:cs="Arial"/>
                <w:color w:val="000000"/>
                <w:kern w:val="0"/>
                <w:szCs w:val="21"/>
              </w:rPr>
              <w:t>）</w:t>
            </w:r>
          </w:p>
        </w:tc>
        <w:tc>
          <w:tcPr>
            <w:tcW w:w="4303" w:type="dxa"/>
          </w:tcPr>
          <w:p>
            <w:pPr>
              <w:widowControl/>
              <w:jc w:val="center"/>
              <w:rPr>
                <w:rFonts w:ascii="Arial" w:hAnsi="Arial" w:cs="Arial"/>
                <w:color w:val="000000"/>
                <w:kern w:val="0"/>
                <w:szCs w:val="21"/>
              </w:rPr>
            </w:pPr>
            <w:r>
              <w:rPr>
                <w:rFonts w:ascii="Arial" w:hAnsi="宋体" w:cs="Arial"/>
                <w:color w:val="000000"/>
                <w:kern w:val="0"/>
                <w:szCs w:val="21"/>
              </w:rPr>
              <w:t>长边最大允许长度（</w:t>
            </w:r>
            <w:r>
              <w:rPr>
                <w:rFonts w:ascii="Arial" w:hAnsi="Arial" w:cs="Arial"/>
                <w:color w:val="000000"/>
                <w:kern w:val="0"/>
                <w:szCs w:val="21"/>
              </w:rPr>
              <w:t>m</w:t>
            </w:r>
            <w:r>
              <w:rPr>
                <w:rFonts w:ascii="Arial" w:hAnsi="宋体" w:cs="Arial"/>
                <w:color w:val="000000"/>
                <w:kern w:val="0"/>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43" w:type="dxa"/>
          </w:tcPr>
          <w:p>
            <w:pPr>
              <w:widowControl/>
              <w:jc w:val="center"/>
              <w:rPr>
                <w:rFonts w:ascii="Arial" w:hAnsi="Arial" w:cs="Arial"/>
                <w:color w:val="000000"/>
                <w:kern w:val="0"/>
                <w:szCs w:val="21"/>
              </w:rPr>
            </w:pPr>
            <w:r>
              <w:rPr>
                <w:rFonts w:ascii="Arial" w:hAnsi="Arial" w:cs="Arial"/>
                <w:color w:val="000000"/>
                <w:kern w:val="0"/>
                <w:szCs w:val="21"/>
              </w:rPr>
              <w:t>H≤3.0</w:t>
            </w:r>
          </w:p>
        </w:tc>
        <w:tc>
          <w:tcPr>
            <w:tcW w:w="2126" w:type="dxa"/>
          </w:tcPr>
          <w:p>
            <w:pPr>
              <w:widowControl/>
              <w:jc w:val="center"/>
              <w:rPr>
                <w:rFonts w:ascii="Arial" w:hAnsi="Arial" w:cs="Arial"/>
                <w:color w:val="000000"/>
                <w:kern w:val="0"/>
                <w:szCs w:val="21"/>
              </w:rPr>
            </w:pPr>
            <w:r>
              <w:rPr>
                <w:rFonts w:ascii="Arial" w:hAnsi="Arial" w:cs="Arial"/>
                <w:color w:val="000000"/>
                <w:kern w:val="0"/>
                <w:szCs w:val="21"/>
              </w:rPr>
              <w:t>500</w:t>
            </w:r>
          </w:p>
        </w:tc>
        <w:tc>
          <w:tcPr>
            <w:tcW w:w="4303" w:type="dxa"/>
          </w:tcPr>
          <w:p>
            <w:pPr>
              <w:widowControl/>
              <w:jc w:val="center"/>
              <w:rPr>
                <w:rFonts w:ascii="Arial" w:hAnsi="Arial" w:cs="Arial"/>
                <w:color w:val="000000"/>
                <w:kern w:val="0"/>
                <w:szCs w:val="21"/>
              </w:rPr>
            </w:pPr>
            <w:r>
              <w:rPr>
                <w:rFonts w:ascii="Arial" w:hAnsi="Arial" w:cs="Arial"/>
                <w:color w:val="000000"/>
                <w:kern w:val="0"/>
                <w:szCs w:val="21"/>
              </w:rPr>
              <w:t>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43" w:type="dxa"/>
          </w:tcPr>
          <w:p>
            <w:pPr>
              <w:widowControl/>
              <w:jc w:val="center"/>
              <w:rPr>
                <w:rFonts w:ascii="Arial" w:hAnsi="Arial" w:cs="Arial"/>
                <w:color w:val="000000"/>
                <w:kern w:val="0"/>
                <w:szCs w:val="21"/>
              </w:rPr>
            </w:pPr>
            <w:r>
              <w:rPr>
                <w:rFonts w:ascii="Arial" w:hAnsi="Arial" w:cs="Arial"/>
                <w:color w:val="000000"/>
                <w:kern w:val="0"/>
                <w:szCs w:val="21"/>
              </w:rPr>
              <w:t>3.0</w:t>
            </w:r>
            <w:r>
              <w:rPr>
                <w:rFonts w:ascii="Arial" w:hAnsi="宋体" w:cs="Arial"/>
                <w:color w:val="000000"/>
                <w:kern w:val="0"/>
                <w:szCs w:val="21"/>
              </w:rPr>
              <w:t>＜</w:t>
            </w:r>
            <w:r>
              <w:rPr>
                <w:rFonts w:ascii="Arial" w:hAnsi="Arial" w:cs="Arial"/>
                <w:color w:val="000000"/>
                <w:kern w:val="0"/>
                <w:szCs w:val="21"/>
              </w:rPr>
              <w:t>H≤6.0</w:t>
            </w:r>
          </w:p>
        </w:tc>
        <w:tc>
          <w:tcPr>
            <w:tcW w:w="2126" w:type="dxa"/>
          </w:tcPr>
          <w:p>
            <w:pPr>
              <w:widowControl/>
              <w:jc w:val="center"/>
              <w:rPr>
                <w:rFonts w:ascii="Arial" w:hAnsi="Arial" w:cs="Arial"/>
                <w:color w:val="000000"/>
                <w:kern w:val="0"/>
                <w:szCs w:val="21"/>
              </w:rPr>
            </w:pPr>
            <w:r>
              <w:rPr>
                <w:rFonts w:ascii="Arial" w:hAnsi="Arial" w:cs="Arial"/>
                <w:color w:val="000000"/>
                <w:kern w:val="0"/>
                <w:szCs w:val="21"/>
              </w:rPr>
              <w:t>1000</w:t>
            </w:r>
          </w:p>
        </w:tc>
        <w:tc>
          <w:tcPr>
            <w:tcW w:w="4303" w:type="dxa"/>
          </w:tcPr>
          <w:p>
            <w:pPr>
              <w:widowControl/>
              <w:jc w:val="center"/>
              <w:rPr>
                <w:rFonts w:ascii="Arial" w:hAnsi="Arial" w:cs="Arial"/>
                <w:color w:val="000000"/>
                <w:kern w:val="0"/>
                <w:szCs w:val="21"/>
              </w:rPr>
            </w:pPr>
            <w:r>
              <w:rPr>
                <w:rFonts w:ascii="Arial" w:hAnsi="Arial" w:cs="Arial"/>
                <w:color w:val="000000"/>
                <w:kern w:val="0"/>
                <w:szCs w:val="21"/>
              </w:rPr>
              <w:t>36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843" w:type="dxa"/>
          </w:tcPr>
          <w:p>
            <w:pPr>
              <w:widowControl/>
              <w:jc w:val="center"/>
              <w:rPr>
                <w:rFonts w:ascii="Arial" w:hAnsi="Arial" w:cs="Arial"/>
                <w:color w:val="000000"/>
                <w:kern w:val="0"/>
                <w:szCs w:val="21"/>
              </w:rPr>
            </w:pPr>
            <w:r>
              <w:rPr>
                <w:rFonts w:ascii="Arial" w:hAnsi="Arial" w:cs="Arial"/>
                <w:color w:val="000000"/>
                <w:kern w:val="0"/>
                <w:szCs w:val="21"/>
              </w:rPr>
              <w:t>H</w:t>
            </w:r>
            <w:r>
              <w:rPr>
                <w:rFonts w:ascii="Arial" w:hAnsi="宋体" w:cs="Arial"/>
                <w:color w:val="000000"/>
                <w:kern w:val="0"/>
                <w:szCs w:val="21"/>
              </w:rPr>
              <w:t>＞</w:t>
            </w:r>
            <w:r>
              <w:rPr>
                <w:rFonts w:ascii="Arial" w:hAnsi="Arial" w:cs="Arial"/>
                <w:color w:val="000000"/>
                <w:kern w:val="0"/>
                <w:szCs w:val="21"/>
              </w:rPr>
              <w:t>6.0</w:t>
            </w:r>
          </w:p>
        </w:tc>
        <w:tc>
          <w:tcPr>
            <w:tcW w:w="2126" w:type="dxa"/>
          </w:tcPr>
          <w:p>
            <w:pPr>
              <w:widowControl/>
              <w:jc w:val="center"/>
              <w:rPr>
                <w:rFonts w:ascii="Arial" w:hAnsi="Arial" w:cs="Arial"/>
                <w:color w:val="000000"/>
                <w:kern w:val="0"/>
                <w:szCs w:val="21"/>
              </w:rPr>
            </w:pPr>
            <w:r>
              <w:rPr>
                <w:rFonts w:ascii="Arial" w:hAnsi="Arial" w:cs="Arial"/>
                <w:color w:val="000000"/>
                <w:kern w:val="0"/>
                <w:szCs w:val="21"/>
              </w:rPr>
              <w:t>2000</w:t>
            </w:r>
          </w:p>
        </w:tc>
        <w:tc>
          <w:tcPr>
            <w:tcW w:w="4303" w:type="dxa"/>
          </w:tcPr>
          <w:p>
            <w:pPr>
              <w:widowControl/>
              <w:jc w:val="center"/>
              <w:rPr>
                <w:rFonts w:ascii="Arial" w:hAnsi="Arial" w:cs="Arial"/>
                <w:color w:val="000000"/>
                <w:kern w:val="0"/>
                <w:szCs w:val="21"/>
              </w:rPr>
            </w:pPr>
            <w:r>
              <w:rPr>
                <w:rFonts w:ascii="Arial" w:hAnsi="Arial" w:cs="Arial"/>
                <w:color w:val="000000"/>
                <w:kern w:val="0"/>
                <w:szCs w:val="21"/>
              </w:rPr>
              <w:t>60m</w:t>
            </w:r>
            <w:r>
              <w:rPr>
                <w:rFonts w:ascii="Arial" w:hAnsi="宋体" w:cs="Arial"/>
                <w:color w:val="000000"/>
                <w:kern w:val="0"/>
                <w:szCs w:val="21"/>
              </w:rPr>
              <w:t>；具有自然对流条件时，不应大于</w:t>
            </w:r>
            <w:r>
              <w:rPr>
                <w:rFonts w:ascii="Arial" w:hAnsi="Arial" w:cs="Arial"/>
                <w:color w:val="000000"/>
                <w:kern w:val="0"/>
                <w:szCs w:val="21"/>
              </w:rPr>
              <w:t xml:space="preserve"> 75m</w:t>
            </w:r>
          </w:p>
        </w:tc>
      </w:tr>
    </w:tbl>
    <w:p>
      <w:pPr>
        <w:widowControl/>
        <w:adjustRightInd w:val="0"/>
        <w:snapToGrid w:val="0"/>
        <w:spacing w:line="360" w:lineRule="auto"/>
        <w:jc w:val="left"/>
        <w:rPr>
          <w:rFonts w:cs="宋体" w:asciiTheme="minorEastAsia" w:hAnsiTheme="minorEastAsia" w:eastAsiaTheme="minorEastAsia"/>
          <w:kern w:val="0"/>
          <w:sz w:val="18"/>
          <w:szCs w:val="18"/>
        </w:rPr>
      </w:pPr>
      <w:r>
        <w:rPr>
          <w:rFonts w:hint="eastAsia" w:cs="宋体" w:asciiTheme="minorEastAsia" w:hAnsiTheme="minorEastAsia" w:eastAsiaTheme="minorEastAsia"/>
          <w:color w:val="000000"/>
          <w:kern w:val="0"/>
          <w:sz w:val="18"/>
          <w:szCs w:val="18"/>
        </w:rPr>
        <w:t xml:space="preserve">注：1 建筑中的走道宽度不大于 </w:t>
      </w:r>
      <w:r>
        <w:rPr>
          <w:rFonts w:asciiTheme="minorEastAsia" w:hAnsiTheme="minorEastAsia" w:eastAsiaTheme="minorEastAsia"/>
          <w:color w:val="000000"/>
          <w:kern w:val="0"/>
          <w:sz w:val="18"/>
          <w:szCs w:val="18"/>
        </w:rPr>
        <w:t xml:space="preserve">2.5m </w:t>
      </w:r>
      <w:r>
        <w:rPr>
          <w:rFonts w:hint="eastAsia" w:cs="宋体" w:asciiTheme="minorEastAsia" w:hAnsiTheme="minorEastAsia" w:eastAsiaTheme="minorEastAsia"/>
          <w:color w:val="000000"/>
          <w:kern w:val="0"/>
          <w:sz w:val="18"/>
          <w:szCs w:val="18"/>
        </w:rPr>
        <w:t>时，其防烟分区的长边长度不应大于</w:t>
      </w:r>
      <w:r>
        <w:rPr>
          <w:rFonts w:asciiTheme="minorEastAsia" w:hAnsiTheme="minorEastAsia" w:eastAsiaTheme="minorEastAsia"/>
          <w:color w:val="000000"/>
          <w:kern w:val="0"/>
          <w:sz w:val="18"/>
          <w:szCs w:val="18"/>
        </w:rPr>
        <w:t>60m</w:t>
      </w:r>
      <w:r>
        <w:rPr>
          <w:rFonts w:hint="eastAsia" w:cs="宋体" w:asciiTheme="minorEastAsia" w:hAnsiTheme="minorEastAsia" w:eastAsiaTheme="minorEastAsia"/>
          <w:color w:val="000000"/>
          <w:kern w:val="0"/>
          <w:sz w:val="18"/>
          <w:szCs w:val="18"/>
        </w:rPr>
        <w:t>。走                道宽度大于</w:t>
      </w:r>
      <w:r>
        <w:rPr>
          <w:rFonts w:asciiTheme="minorEastAsia" w:hAnsiTheme="minorEastAsia" w:eastAsiaTheme="minorEastAsia"/>
          <w:color w:val="000000"/>
          <w:kern w:val="0"/>
          <w:sz w:val="18"/>
          <w:szCs w:val="18"/>
        </w:rPr>
        <w:t xml:space="preserve">2.5m </w:t>
      </w:r>
      <w:r>
        <w:rPr>
          <w:rFonts w:hint="eastAsia" w:cs="宋体" w:asciiTheme="minorEastAsia" w:hAnsiTheme="minorEastAsia" w:eastAsiaTheme="minorEastAsia"/>
          <w:color w:val="000000"/>
          <w:kern w:val="0"/>
          <w:sz w:val="18"/>
          <w:szCs w:val="18"/>
        </w:rPr>
        <w:t>不大于</w:t>
      </w:r>
      <w:r>
        <w:rPr>
          <w:rFonts w:asciiTheme="minorEastAsia" w:hAnsiTheme="minorEastAsia" w:eastAsiaTheme="minorEastAsia"/>
          <w:color w:val="000000"/>
          <w:kern w:val="0"/>
          <w:sz w:val="18"/>
          <w:szCs w:val="18"/>
        </w:rPr>
        <w:t xml:space="preserve">4m </w:t>
      </w:r>
      <w:r>
        <w:rPr>
          <w:rFonts w:hint="eastAsia" w:cs="宋体" w:asciiTheme="minorEastAsia" w:hAnsiTheme="minorEastAsia" w:eastAsiaTheme="minorEastAsia"/>
          <w:color w:val="000000"/>
          <w:kern w:val="0"/>
          <w:sz w:val="18"/>
          <w:szCs w:val="18"/>
        </w:rPr>
        <w:t>时，其防烟分区的长边长度按走道面积不大于</w:t>
      </w:r>
      <w:r>
        <w:rPr>
          <w:rFonts w:asciiTheme="minorEastAsia" w:hAnsiTheme="minorEastAsia" w:eastAsiaTheme="minorEastAsia"/>
          <w:color w:val="000000"/>
          <w:kern w:val="0"/>
          <w:sz w:val="18"/>
          <w:szCs w:val="18"/>
        </w:rPr>
        <w:t>150m</w:t>
      </w:r>
      <w:r>
        <w:rPr>
          <w:rFonts w:asciiTheme="minorEastAsia" w:hAnsiTheme="minorEastAsia" w:eastAsiaTheme="minorEastAsia"/>
          <w:color w:val="000000"/>
          <w:kern w:val="0"/>
          <w:sz w:val="18"/>
          <w:szCs w:val="18"/>
          <w:vertAlign w:val="superscript"/>
        </w:rPr>
        <w:t>2</w:t>
      </w:r>
      <w:r>
        <w:rPr>
          <w:rFonts w:hint="eastAsia" w:cs="宋体" w:asciiTheme="minorEastAsia" w:hAnsiTheme="minorEastAsia" w:eastAsiaTheme="minorEastAsia"/>
          <w:color w:val="000000"/>
          <w:kern w:val="0"/>
          <w:sz w:val="18"/>
          <w:szCs w:val="18"/>
        </w:rPr>
        <w:t>确定。                         当走道包括局部加宽的电梯厅等区域，其加宽后的走道总面积不应大于</w:t>
      </w:r>
      <w:r>
        <w:rPr>
          <w:rFonts w:asciiTheme="minorEastAsia" w:hAnsiTheme="minorEastAsia" w:eastAsiaTheme="minorEastAsia"/>
          <w:color w:val="000000"/>
          <w:kern w:val="0"/>
          <w:sz w:val="18"/>
          <w:szCs w:val="18"/>
        </w:rPr>
        <w:t>180m</w:t>
      </w:r>
      <w:r>
        <w:rPr>
          <w:rFonts w:asciiTheme="minorEastAsia" w:hAnsiTheme="minorEastAsia" w:eastAsiaTheme="minorEastAsia"/>
          <w:color w:val="000000"/>
          <w:kern w:val="0"/>
          <w:sz w:val="18"/>
          <w:szCs w:val="18"/>
          <w:vertAlign w:val="superscript"/>
        </w:rPr>
        <w:t>2</w:t>
      </w:r>
      <w:r>
        <w:rPr>
          <w:rFonts w:hint="eastAsia" w:cs="宋体" w:asciiTheme="minorEastAsia" w:hAnsiTheme="minorEastAsia" w:eastAsiaTheme="minorEastAsia"/>
          <w:color w:val="000000"/>
          <w:kern w:val="0"/>
          <w:sz w:val="18"/>
          <w:szCs w:val="18"/>
        </w:rPr>
        <w:t xml:space="preserve">，且防烟分区长边长度应按上述方法确定。 </w:t>
      </w:r>
    </w:p>
    <w:p>
      <w:pPr>
        <w:widowControl/>
        <w:adjustRightInd w:val="0"/>
        <w:snapToGrid w:val="0"/>
        <w:spacing w:line="360" w:lineRule="auto"/>
        <w:jc w:val="left"/>
        <w:rPr>
          <w:rFonts w:cs="宋体" w:asciiTheme="minorEastAsia" w:hAnsiTheme="minorEastAsia" w:eastAsiaTheme="minorEastAsia"/>
          <w:kern w:val="0"/>
          <w:sz w:val="18"/>
          <w:szCs w:val="18"/>
        </w:rPr>
      </w:pPr>
      <w:r>
        <w:rPr>
          <w:rFonts w:asciiTheme="minorEastAsia" w:hAnsiTheme="minorEastAsia" w:eastAsiaTheme="minorEastAsia"/>
          <w:color w:val="000000"/>
          <w:kern w:val="0"/>
          <w:sz w:val="18"/>
          <w:szCs w:val="18"/>
        </w:rPr>
        <w:t xml:space="preserve">2 </w:t>
      </w:r>
      <w:r>
        <w:rPr>
          <w:rFonts w:hint="eastAsia" w:cs="宋体" w:asciiTheme="minorEastAsia" w:hAnsiTheme="minorEastAsia" w:eastAsiaTheme="minorEastAsia"/>
          <w:color w:val="000000"/>
          <w:kern w:val="0"/>
          <w:sz w:val="18"/>
          <w:szCs w:val="18"/>
        </w:rPr>
        <w:t>当空间净高大于</w:t>
      </w:r>
      <w:r>
        <w:rPr>
          <w:rFonts w:asciiTheme="minorEastAsia" w:hAnsiTheme="minorEastAsia" w:eastAsiaTheme="minorEastAsia"/>
          <w:color w:val="000000"/>
          <w:kern w:val="0"/>
          <w:sz w:val="18"/>
          <w:szCs w:val="18"/>
        </w:rPr>
        <w:t xml:space="preserve">9m </w:t>
      </w:r>
      <w:r>
        <w:rPr>
          <w:rFonts w:hint="eastAsia" w:cs="宋体" w:asciiTheme="minorEastAsia" w:hAnsiTheme="minorEastAsia" w:eastAsiaTheme="minorEastAsia"/>
          <w:color w:val="000000"/>
          <w:kern w:val="0"/>
          <w:sz w:val="18"/>
          <w:szCs w:val="18"/>
        </w:rPr>
        <w:t xml:space="preserve">时，防烟分区之间可不设置挡烟设施。 </w:t>
      </w:r>
    </w:p>
    <w:p>
      <w:pPr>
        <w:widowControl/>
        <w:adjustRightInd w:val="0"/>
        <w:snapToGrid w:val="0"/>
        <w:spacing w:line="360" w:lineRule="auto"/>
        <w:jc w:val="left"/>
        <w:rPr>
          <w:rFonts w:cs="宋体" w:asciiTheme="minorEastAsia" w:hAnsiTheme="minorEastAsia" w:eastAsiaTheme="minorEastAsia"/>
          <w:color w:val="000000"/>
          <w:kern w:val="0"/>
          <w:sz w:val="18"/>
          <w:szCs w:val="18"/>
        </w:rPr>
      </w:pPr>
      <w:r>
        <w:rPr>
          <w:rFonts w:asciiTheme="minorEastAsia" w:hAnsiTheme="minorEastAsia" w:eastAsiaTheme="minorEastAsia"/>
          <w:color w:val="000000"/>
          <w:kern w:val="0"/>
          <w:sz w:val="18"/>
          <w:szCs w:val="18"/>
        </w:rPr>
        <w:t xml:space="preserve">3 </w:t>
      </w:r>
      <w:r>
        <w:rPr>
          <w:rFonts w:hint="eastAsia" w:cs="宋体" w:asciiTheme="minorEastAsia" w:hAnsiTheme="minorEastAsia" w:eastAsiaTheme="minorEastAsia"/>
          <w:color w:val="000000"/>
          <w:kern w:val="0"/>
          <w:sz w:val="18"/>
          <w:szCs w:val="18"/>
        </w:rPr>
        <w:t>汽车库防烟分区的划分及其排烟量应符合现行国家规范《汽车库、修车库停车场   防火规范》</w:t>
      </w:r>
      <w:r>
        <w:rPr>
          <w:rFonts w:asciiTheme="minorEastAsia" w:hAnsiTheme="minorEastAsia" w:eastAsiaTheme="minorEastAsia"/>
          <w:color w:val="000000"/>
          <w:kern w:val="0"/>
          <w:sz w:val="18"/>
          <w:szCs w:val="18"/>
        </w:rPr>
        <w:t>GB50067</w:t>
      </w:r>
      <w:r>
        <w:rPr>
          <w:rFonts w:hint="eastAsia" w:cs="宋体" w:asciiTheme="minorEastAsia" w:hAnsiTheme="minorEastAsia" w:eastAsiaTheme="minorEastAsia"/>
          <w:color w:val="000000"/>
          <w:kern w:val="0"/>
          <w:sz w:val="18"/>
          <w:szCs w:val="18"/>
        </w:rPr>
        <w:t>的规定。</w:t>
      </w:r>
    </w:p>
    <w:p>
      <w:pPr>
        <w:widowControl/>
        <w:jc w:val="left"/>
        <w:rPr>
          <w:rFonts w:ascii="Arial" w:hAnsi="Arial" w:eastAsia="黑体" w:cs="Arial"/>
          <w:szCs w:val="21"/>
        </w:rPr>
      </w:pPr>
    </w:p>
    <w:p>
      <w:pPr>
        <w:adjustRightInd w:val="0"/>
        <w:snapToGrid w:val="0"/>
        <w:spacing w:line="360" w:lineRule="auto"/>
        <w:rPr>
          <w:rFonts w:ascii="Arial" w:hAnsi="Arial" w:cs="Arial"/>
          <w:sz w:val="24"/>
          <w:szCs w:val="24"/>
        </w:rPr>
      </w:pPr>
      <w:r>
        <w:rPr>
          <w:rFonts w:hint="eastAsia" w:ascii="宋体" w:hAnsi="宋体"/>
          <w:b/>
          <w:bCs/>
          <w:color w:val="000000"/>
          <w:sz w:val="24"/>
        </w:rPr>
        <w:t>4.3.2</w:t>
      </w:r>
      <w:r>
        <w:rPr>
          <w:rFonts w:hint="eastAsia" w:ascii="宋体" w:hAnsi="宋体"/>
          <w:b/>
          <w:bCs/>
          <w:color w:val="000000"/>
          <w:sz w:val="24"/>
          <w:lang w:val="en-US" w:eastAsia="zh-CN"/>
        </w:rPr>
        <w:t xml:space="preserve"> </w:t>
      </w:r>
      <w:r>
        <w:rPr>
          <w:rFonts w:hint="eastAsia" w:ascii="宋体" w:hAnsi="宋体" w:cs="宋体"/>
          <w:color w:val="000000"/>
          <w:kern w:val="0"/>
          <w:szCs w:val="21"/>
        </w:rPr>
        <w:t>当</w:t>
      </w:r>
      <w:r>
        <w:rPr>
          <w:rFonts w:hint="eastAsia" w:ascii="Arial" w:hAnsi="Arial" w:cs="Arial"/>
          <w:sz w:val="24"/>
          <w:szCs w:val="24"/>
        </w:rPr>
        <w:t>建筑的机械排烟系统沿水平方向布置时，每个防火分区的机械排烟系统应独立设置。同一防火分区中的不同防烟分区共用一个排烟系统时，各防烟分区的排烟风管应分别设置。同一防火分区中的不同防火单元共用一个排烟系统时，该系统负担的防烟防火单元不应超过2个。</w:t>
      </w:r>
    </w:p>
    <w:p>
      <w:pPr>
        <w:adjustRightInd w:val="0"/>
        <w:snapToGrid w:val="0"/>
        <w:spacing w:line="360" w:lineRule="auto"/>
        <w:rPr>
          <w:rFonts w:ascii="Arial" w:hAnsi="Arial" w:cs="Arial"/>
          <w:sz w:val="24"/>
          <w:szCs w:val="24"/>
        </w:rPr>
      </w:pPr>
      <w:r>
        <w:rPr>
          <w:rFonts w:hint="eastAsia" w:ascii="宋体" w:hAnsi="宋体"/>
          <w:b/>
          <w:bCs/>
          <w:color w:val="000000"/>
          <w:sz w:val="24"/>
        </w:rPr>
        <w:t>4.3.3</w:t>
      </w:r>
      <w:r>
        <w:rPr>
          <w:rFonts w:hint="eastAsia" w:ascii="宋体" w:hAnsi="宋体"/>
          <w:b/>
          <w:bCs/>
          <w:color w:val="000000"/>
          <w:sz w:val="24"/>
          <w:lang w:val="en-US" w:eastAsia="zh-CN"/>
        </w:rPr>
        <w:t xml:space="preserve"> </w:t>
      </w:r>
      <w:r>
        <w:rPr>
          <w:rFonts w:hint="eastAsia" w:ascii="Arial" w:hAnsi="Arial" w:cs="Arial"/>
          <w:sz w:val="24"/>
          <w:szCs w:val="24"/>
        </w:rPr>
        <w:t>建筑走道排烟设计应满足下列要求：</w:t>
      </w:r>
    </w:p>
    <w:p>
      <w:pPr>
        <w:adjustRightInd w:val="0"/>
        <w:snapToGrid w:val="0"/>
        <w:spacing w:line="360" w:lineRule="auto"/>
        <w:rPr>
          <w:rFonts w:ascii="Arial" w:hAnsi="Arial" w:cs="Arial"/>
          <w:sz w:val="24"/>
          <w:szCs w:val="24"/>
        </w:rPr>
      </w:pPr>
      <w:r>
        <w:rPr>
          <w:rFonts w:hint="eastAsia" w:ascii="Arial" w:hAnsi="Arial" w:cs="Arial"/>
          <w:sz w:val="24"/>
          <w:szCs w:val="24"/>
        </w:rPr>
        <w:t xml:space="preserve">    </w:t>
      </w:r>
      <w:r>
        <w:rPr>
          <w:rFonts w:hint="eastAsia" w:ascii="宋体" w:hAnsi="宋体"/>
          <w:b/>
          <w:bCs/>
          <w:color w:val="000000"/>
          <w:sz w:val="24"/>
        </w:rPr>
        <w:t>3</w:t>
      </w:r>
      <w:r>
        <w:rPr>
          <w:rFonts w:hint="eastAsia" w:ascii="Arial" w:hAnsi="Arial" w:cs="Arial"/>
          <w:sz w:val="24"/>
          <w:szCs w:val="24"/>
        </w:rPr>
        <w:t xml:space="preserve"> 建筑高度大于</w:t>
      </w:r>
      <w:r>
        <w:rPr>
          <w:rFonts w:ascii="Arial" w:hAnsi="Arial" w:cs="Arial"/>
          <w:sz w:val="24"/>
          <w:szCs w:val="24"/>
        </w:rPr>
        <w:t>100m</w:t>
      </w:r>
      <w:r>
        <w:rPr>
          <w:rFonts w:hint="eastAsia" w:ascii="Arial" w:hAnsi="Arial" w:cs="Arial"/>
          <w:sz w:val="24"/>
          <w:szCs w:val="24"/>
        </w:rPr>
        <w:t>的公共建筑，其走道机械排烟系统应独立设置。</w:t>
      </w:r>
    </w:p>
    <w:p>
      <w:pPr>
        <w:adjustRightInd w:val="0"/>
        <w:snapToGrid w:val="0"/>
        <w:spacing w:line="360" w:lineRule="auto"/>
        <w:rPr>
          <w:rFonts w:ascii="Arial" w:hAnsi="Arial" w:cs="Arial"/>
          <w:sz w:val="24"/>
          <w:szCs w:val="24"/>
        </w:rPr>
      </w:pPr>
      <w:r>
        <w:rPr>
          <w:rFonts w:hint="eastAsia" w:ascii="宋体" w:hAnsi="宋体"/>
          <w:b/>
          <w:bCs/>
          <w:color w:val="000000"/>
          <w:sz w:val="24"/>
        </w:rPr>
        <w:t>4.3.5</w:t>
      </w:r>
      <w:r>
        <w:rPr>
          <w:rFonts w:hint="eastAsia" w:ascii="Arial" w:hAnsi="Arial" w:cs="Arial"/>
          <w:sz w:val="24"/>
          <w:szCs w:val="24"/>
        </w:rPr>
        <w:t xml:space="preserve"> 排烟风机宜设置在排烟系统的最高处，烟气出口应高于加压送风机和补风机的进风口以及自然通风防烟方式楼梯间、前室的外窗或开口，两者垂直距离或水平距离应符合本规范第</w:t>
      </w:r>
      <w:r>
        <w:rPr>
          <w:rFonts w:ascii="Arial" w:hAnsi="Arial" w:cs="Arial"/>
          <w:sz w:val="24"/>
          <w:szCs w:val="24"/>
        </w:rPr>
        <w:t>3.3.5</w:t>
      </w:r>
      <w:r>
        <w:rPr>
          <w:rFonts w:hint="eastAsia" w:ascii="Arial" w:hAnsi="Arial" w:cs="Arial"/>
          <w:sz w:val="24"/>
          <w:szCs w:val="24"/>
        </w:rPr>
        <w:t>条第</w:t>
      </w:r>
      <w:r>
        <w:rPr>
          <w:rFonts w:ascii="Arial" w:hAnsi="Arial" w:cs="Arial"/>
          <w:sz w:val="24"/>
          <w:szCs w:val="24"/>
        </w:rPr>
        <w:t>3</w:t>
      </w:r>
      <w:r>
        <w:rPr>
          <w:rFonts w:hint="eastAsia" w:ascii="Arial" w:hAnsi="Arial" w:cs="Arial"/>
          <w:sz w:val="24"/>
          <w:szCs w:val="24"/>
        </w:rPr>
        <w:t>款的规定。</w:t>
      </w:r>
    </w:p>
    <w:p>
      <w:pPr>
        <w:adjustRightInd w:val="0"/>
        <w:snapToGrid w:val="0"/>
        <w:spacing w:line="360" w:lineRule="auto"/>
        <w:rPr>
          <w:rFonts w:ascii="Arial" w:hAnsi="Arial" w:cs="Arial"/>
          <w:sz w:val="24"/>
          <w:szCs w:val="24"/>
        </w:rPr>
      </w:pPr>
      <w:r>
        <w:rPr>
          <w:rFonts w:hint="eastAsia" w:ascii="宋体" w:hAnsi="宋体"/>
          <w:b/>
          <w:bCs/>
          <w:color w:val="000000"/>
          <w:sz w:val="24"/>
        </w:rPr>
        <w:t>4.3.8</w:t>
      </w:r>
      <w:r>
        <w:rPr>
          <w:rFonts w:hint="eastAsia" w:ascii="Arial" w:hAnsi="Arial" w:cs="Arial"/>
          <w:sz w:val="24"/>
          <w:szCs w:val="24"/>
        </w:rPr>
        <w:t xml:space="preserve"> 除用于建筑物地下部分的室外排风竖井外，机械排烟系统应采用管道排烟，且不应采用土建风道。排烟管道应采用不燃材料制作且内壁应光滑。当排烟管道内壁为金属时，管道设计风速不应大于20m/s；当排烟管道内壁为非金属时，管道设计风速不应大于15m/s；排烟管道的厚度及制作应符合现行国家标准《通风与空调工程施工质量验收规范》GB50243高压风管系列的规定。</w:t>
      </w:r>
    </w:p>
    <w:p>
      <w:pPr>
        <w:adjustRightInd w:val="0"/>
        <w:snapToGrid w:val="0"/>
        <w:spacing w:line="360" w:lineRule="auto"/>
        <w:rPr>
          <w:rFonts w:ascii="Arial" w:hAnsi="Arial" w:cs="Arial"/>
          <w:sz w:val="24"/>
          <w:szCs w:val="24"/>
        </w:rPr>
      </w:pPr>
      <w:r>
        <w:rPr>
          <w:rFonts w:hint="eastAsia" w:ascii="宋体" w:hAnsi="宋体"/>
          <w:b/>
          <w:bCs/>
          <w:color w:val="000000"/>
          <w:sz w:val="24"/>
        </w:rPr>
        <w:t xml:space="preserve">4.3.9 </w:t>
      </w:r>
      <w:r>
        <w:rPr>
          <w:rFonts w:hint="eastAsia" w:ascii="Arial" w:hAnsi="Arial" w:cs="Arial"/>
          <w:sz w:val="24"/>
          <w:szCs w:val="24"/>
        </w:rPr>
        <w:t>排烟管道的设置和耐火极限应符合下列要求：</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Fonts w:ascii="Arial" w:hAnsi="Arial" w:cs="Arial"/>
          <w:sz w:val="24"/>
          <w:szCs w:val="24"/>
        </w:rPr>
      </w:pPr>
      <w:r>
        <w:rPr>
          <w:rFonts w:hint="eastAsia" w:ascii="宋体" w:hAnsi="宋体"/>
          <w:b/>
          <w:bCs/>
          <w:color w:val="000000"/>
          <w:sz w:val="24"/>
        </w:rPr>
        <w:t>3</w:t>
      </w:r>
      <w:r>
        <w:rPr>
          <w:rFonts w:hint="eastAsia" w:ascii="Arial" w:hAnsi="Arial" w:cs="Arial"/>
          <w:sz w:val="24"/>
          <w:szCs w:val="24"/>
        </w:rPr>
        <w:t xml:space="preserve"> 排烟管道不应与加压送风管道或补风管道设置在同一管道井内；当确有困难时，排烟管道可与通风等其他管道共井，但其耐火极限应不小于</w:t>
      </w:r>
      <w:r>
        <w:rPr>
          <w:rFonts w:ascii="Arial" w:hAnsi="Arial" w:cs="Arial"/>
          <w:sz w:val="24"/>
          <w:szCs w:val="24"/>
        </w:rPr>
        <w:t>1.0h</w:t>
      </w:r>
      <w:r>
        <w:rPr>
          <w:rFonts w:hint="eastAsia" w:ascii="Arial" w:hAnsi="Arial" w:cs="Arial"/>
          <w:sz w:val="24"/>
          <w:szCs w:val="24"/>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Fonts w:ascii="Arial" w:hAnsi="Arial" w:cs="Arial"/>
          <w:sz w:val="24"/>
          <w:szCs w:val="24"/>
        </w:rPr>
      </w:pPr>
      <w:r>
        <w:rPr>
          <w:rFonts w:hint="eastAsia" w:ascii="宋体" w:hAnsi="宋体"/>
          <w:b/>
          <w:bCs/>
          <w:color w:val="000000"/>
          <w:sz w:val="24"/>
        </w:rPr>
        <w:t>4</w:t>
      </w:r>
      <w:r>
        <w:rPr>
          <w:rFonts w:hint="eastAsia" w:ascii="Arial" w:hAnsi="Arial" w:cs="Arial"/>
          <w:sz w:val="24"/>
          <w:szCs w:val="24"/>
        </w:rPr>
        <w:t xml:space="preserve"> 水平设置的排烟管道不得穿越避难间、疏散楼梯间及前室；当穿越其他防烟分区和其他防火分区时，其耐火极限不应低于</w:t>
      </w:r>
      <w:r>
        <w:rPr>
          <w:rFonts w:ascii="Arial" w:hAnsi="Arial" w:cs="Arial"/>
          <w:sz w:val="24"/>
          <w:szCs w:val="24"/>
        </w:rPr>
        <w:t>1.0h</w:t>
      </w:r>
      <w:r>
        <w:rPr>
          <w:rFonts w:hint="eastAsia" w:ascii="Arial" w:hAnsi="Arial" w:cs="Arial"/>
          <w:sz w:val="24"/>
          <w:szCs w:val="24"/>
        </w:rPr>
        <w:t>；服务于本防烟分区或设置在设备用房、汽车库的排烟管道，其耐火极限不应低于</w:t>
      </w:r>
      <w:r>
        <w:rPr>
          <w:rFonts w:ascii="Arial" w:hAnsi="Arial" w:cs="Arial"/>
          <w:sz w:val="24"/>
          <w:szCs w:val="24"/>
        </w:rPr>
        <w:t>0.5h</w:t>
      </w:r>
      <w:r>
        <w:rPr>
          <w:rFonts w:hint="eastAsia" w:ascii="Arial" w:hAnsi="Arial" w:cs="Arial"/>
          <w:sz w:val="24"/>
          <w:szCs w:val="24"/>
        </w:rPr>
        <w:t>。</w:t>
      </w:r>
    </w:p>
    <w:p>
      <w:pPr>
        <w:adjustRightInd w:val="0"/>
        <w:snapToGrid w:val="0"/>
        <w:spacing w:line="360" w:lineRule="auto"/>
        <w:rPr>
          <w:rFonts w:ascii="Arial" w:hAnsi="Arial" w:cs="Arial"/>
          <w:sz w:val="24"/>
          <w:szCs w:val="24"/>
        </w:rPr>
      </w:pPr>
      <w:r>
        <w:rPr>
          <w:rFonts w:hint="eastAsia" w:ascii="宋体" w:hAnsi="宋体"/>
          <w:b/>
          <w:bCs/>
          <w:color w:val="000000"/>
          <w:sz w:val="24"/>
        </w:rPr>
        <w:t>4.3.13</w:t>
      </w:r>
      <w:r>
        <w:rPr>
          <w:rFonts w:hint="eastAsia" w:ascii="Arial" w:hAnsi="Arial" w:cs="Arial"/>
          <w:sz w:val="24"/>
          <w:szCs w:val="24"/>
        </w:rPr>
        <w:t xml:space="preserve"> 防烟分区内任一点与最近的排烟口之间的水平距离不应大于</w:t>
      </w:r>
      <w:r>
        <w:rPr>
          <w:rFonts w:ascii="Arial" w:hAnsi="Arial" w:cs="Arial"/>
          <w:sz w:val="24"/>
          <w:szCs w:val="24"/>
        </w:rPr>
        <w:t>30m</w:t>
      </w:r>
      <w:r>
        <w:rPr>
          <w:rFonts w:hint="eastAsia" w:ascii="Arial" w:hAnsi="Arial" w:cs="Arial"/>
          <w:sz w:val="24"/>
          <w:szCs w:val="24"/>
        </w:rPr>
        <w:t>。除本标准第</w:t>
      </w:r>
      <w:r>
        <w:rPr>
          <w:rFonts w:ascii="Arial" w:hAnsi="Arial" w:cs="Arial"/>
          <w:sz w:val="24"/>
          <w:szCs w:val="24"/>
        </w:rPr>
        <w:t xml:space="preserve">4.3.14 </w:t>
      </w:r>
      <w:r>
        <w:rPr>
          <w:rFonts w:hint="eastAsia" w:ascii="Arial" w:hAnsi="Arial" w:cs="Arial"/>
          <w:sz w:val="24"/>
          <w:szCs w:val="24"/>
        </w:rPr>
        <w:t>条规定情况外，排烟口的设置尚应符合下列要求：</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Fonts w:ascii="Arial" w:hAnsi="Arial" w:cs="Arial"/>
          <w:sz w:val="24"/>
          <w:szCs w:val="24"/>
        </w:rPr>
      </w:pPr>
      <w:r>
        <w:rPr>
          <w:rFonts w:hint="eastAsia" w:ascii="宋体" w:hAnsi="宋体"/>
          <w:b/>
          <w:bCs/>
          <w:color w:val="000000"/>
          <w:sz w:val="24"/>
        </w:rPr>
        <w:t>2</w:t>
      </w:r>
      <w:r>
        <w:rPr>
          <w:rFonts w:hint="eastAsia" w:ascii="Arial" w:hAnsi="Arial" w:cs="Arial"/>
          <w:sz w:val="24"/>
          <w:szCs w:val="24"/>
        </w:rPr>
        <w:t xml:space="preserve"> 净高不大于3m的区域（走道、室内空间），其排烟口可设置在其净空高度的1/2以上；当设置在侧墙时，顶棚与排烟口上边缘的距离不应大于0.2m。</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Fonts w:ascii="Arial" w:hAnsi="Arial" w:cs="Arial"/>
          <w:sz w:val="24"/>
          <w:szCs w:val="24"/>
        </w:rPr>
      </w:pPr>
      <w:r>
        <w:rPr>
          <w:rFonts w:hint="eastAsia" w:ascii="宋体" w:hAnsi="宋体"/>
          <w:b/>
          <w:bCs/>
          <w:color w:val="000000"/>
          <w:sz w:val="24"/>
        </w:rPr>
        <w:t>5</w:t>
      </w:r>
      <w:r>
        <w:rPr>
          <w:rFonts w:hint="eastAsia" w:ascii="Arial" w:hAnsi="Arial" w:cs="Arial"/>
          <w:sz w:val="24"/>
          <w:szCs w:val="24"/>
        </w:rPr>
        <w:t xml:space="preserve"> 排烟口的设置宜使烟流方向与人员疏散方向相反，排烟口与本区域疏散出口相邻边缘之间的水平距离不应小于</w:t>
      </w:r>
      <w:r>
        <w:rPr>
          <w:rFonts w:ascii="Arial" w:hAnsi="Arial" w:cs="Arial"/>
          <w:sz w:val="24"/>
          <w:szCs w:val="24"/>
        </w:rPr>
        <w:t>1.5m</w:t>
      </w:r>
      <w:r>
        <w:rPr>
          <w:rFonts w:hint="eastAsia" w:ascii="Arial" w:hAnsi="Arial" w:cs="Arial"/>
          <w:sz w:val="24"/>
          <w:szCs w:val="24"/>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Fonts w:ascii="Arial" w:hAnsi="Arial" w:cs="Arial"/>
          <w:sz w:val="24"/>
          <w:szCs w:val="24"/>
        </w:rPr>
      </w:pPr>
      <w:r>
        <w:rPr>
          <w:rFonts w:hint="eastAsia" w:ascii="宋体" w:hAnsi="宋体"/>
          <w:b/>
          <w:bCs/>
          <w:color w:val="000000"/>
          <w:sz w:val="24"/>
        </w:rPr>
        <w:t>6</w:t>
      </w:r>
      <w:r>
        <w:rPr>
          <w:rFonts w:hint="eastAsia" w:ascii="Arial" w:hAnsi="Arial" w:cs="Arial"/>
          <w:sz w:val="24"/>
          <w:szCs w:val="24"/>
        </w:rPr>
        <w:t xml:space="preserve"> 汽车库空间净高大于</w:t>
      </w:r>
      <w:r>
        <w:rPr>
          <w:rFonts w:ascii="Arial" w:hAnsi="Arial" w:cs="Arial"/>
          <w:sz w:val="24"/>
          <w:szCs w:val="24"/>
        </w:rPr>
        <w:t>3.8m</w:t>
      </w:r>
      <w:r>
        <w:rPr>
          <w:rFonts w:hint="eastAsia" w:ascii="Arial" w:hAnsi="Arial" w:cs="Arial"/>
          <w:sz w:val="24"/>
          <w:szCs w:val="24"/>
        </w:rPr>
        <w:t>、办公空间净高大于</w:t>
      </w:r>
      <w:r>
        <w:rPr>
          <w:rFonts w:ascii="Arial" w:hAnsi="Arial" w:cs="Arial"/>
          <w:sz w:val="24"/>
          <w:szCs w:val="24"/>
        </w:rPr>
        <w:t xml:space="preserve">3.2m </w:t>
      </w:r>
      <w:r>
        <w:rPr>
          <w:rFonts w:hint="eastAsia" w:ascii="Arial" w:hAnsi="Arial" w:cs="Arial"/>
          <w:sz w:val="24"/>
          <w:szCs w:val="24"/>
        </w:rPr>
        <w:t>和其他需排烟的空间净高大于</w:t>
      </w:r>
      <w:r>
        <w:rPr>
          <w:rFonts w:ascii="Arial" w:hAnsi="Arial" w:cs="Arial"/>
          <w:sz w:val="24"/>
          <w:szCs w:val="24"/>
        </w:rPr>
        <w:t>3m</w:t>
      </w:r>
      <w:r>
        <w:rPr>
          <w:rFonts w:hint="eastAsia" w:ascii="Arial" w:hAnsi="Arial" w:cs="Arial"/>
          <w:sz w:val="24"/>
          <w:szCs w:val="24"/>
        </w:rPr>
        <w:t>时，每个排烟口的排烟量不应大于最大允许排烟量。最大允许排烟量应按本标准第</w:t>
      </w:r>
      <w:r>
        <w:rPr>
          <w:rFonts w:ascii="Arial" w:hAnsi="Arial" w:cs="Arial"/>
          <w:sz w:val="24"/>
          <w:szCs w:val="24"/>
        </w:rPr>
        <w:t>5.2.14</w:t>
      </w:r>
      <w:r>
        <w:rPr>
          <w:rFonts w:hint="eastAsia" w:ascii="Arial" w:hAnsi="Arial" w:cs="Arial"/>
          <w:sz w:val="24"/>
          <w:szCs w:val="24"/>
        </w:rPr>
        <w:t>条计算确定。</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Fonts w:ascii="Arial" w:hAnsi="Arial" w:cs="Arial"/>
          <w:sz w:val="24"/>
          <w:szCs w:val="24"/>
        </w:rPr>
      </w:pPr>
      <w:r>
        <w:rPr>
          <w:rFonts w:hint="eastAsia" w:ascii="宋体" w:hAnsi="宋体"/>
          <w:b/>
          <w:bCs/>
          <w:color w:val="000000"/>
          <w:sz w:val="24"/>
        </w:rPr>
        <w:t>8</w:t>
      </w:r>
      <w:r>
        <w:rPr>
          <w:rFonts w:hint="eastAsia" w:ascii="Arial" w:hAnsi="Arial" w:cs="Arial"/>
          <w:sz w:val="24"/>
          <w:szCs w:val="24"/>
        </w:rPr>
        <w:t xml:space="preserve"> 同一防烟分区中两个排烟口边缘间的最小距离S</w:t>
      </w:r>
      <w:r>
        <w:rPr>
          <w:rFonts w:hint="eastAsia" w:ascii="Arial" w:hAnsi="Arial" w:cs="Arial"/>
          <w:sz w:val="24"/>
          <w:szCs w:val="24"/>
          <w:vertAlign w:val="subscript"/>
        </w:rPr>
        <w:t>min</w:t>
      </w:r>
      <w:r>
        <w:rPr>
          <w:rFonts w:hint="eastAsia" w:ascii="Arial" w:hAnsi="Arial" w:cs="Arial"/>
          <w:sz w:val="24"/>
          <w:szCs w:val="24"/>
        </w:rPr>
        <w:t>应满足本标准 5.2.15 条的要求。</w:t>
      </w:r>
    </w:p>
    <w:p>
      <w:pPr>
        <w:adjustRightInd w:val="0"/>
        <w:snapToGrid w:val="0"/>
        <w:spacing w:line="360" w:lineRule="auto"/>
        <w:rPr>
          <w:rFonts w:ascii="Arial" w:hAnsi="Arial" w:cs="Arial"/>
          <w:sz w:val="24"/>
          <w:szCs w:val="24"/>
        </w:rPr>
      </w:pPr>
      <w:r>
        <w:rPr>
          <w:rFonts w:hint="eastAsia" w:ascii="宋体" w:hAnsi="宋体"/>
          <w:b/>
          <w:bCs/>
          <w:color w:val="000000"/>
          <w:sz w:val="24"/>
        </w:rPr>
        <w:t>4.3.14</w:t>
      </w:r>
      <w:r>
        <w:rPr>
          <w:rFonts w:hint="eastAsia" w:ascii="Arial" w:hAnsi="Arial" w:cs="Arial"/>
          <w:sz w:val="24"/>
          <w:szCs w:val="24"/>
        </w:rPr>
        <w:t xml:space="preserve"> 当排烟口设在吊顶内且通过吊顶上部空间进行排烟时，应符合下列规定：</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Fonts w:ascii="Arial" w:hAnsi="Arial" w:cs="Arial"/>
          <w:sz w:val="24"/>
          <w:szCs w:val="24"/>
        </w:rPr>
      </w:pPr>
      <w:r>
        <w:rPr>
          <w:rFonts w:hint="eastAsia" w:ascii="宋体" w:hAnsi="宋体"/>
          <w:b/>
          <w:bCs/>
          <w:color w:val="000000"/>
          <w:sz w:val="24"/>
        </w:rPr>
        <w:t xml:space="preserve">1 </w:t>
      </w:r>
      <w:r>
        <w:rPr>
          <w:rFonts w:hint="eastAsia" w:ascii="Arial" w:hAnsi="Arial" w:cs="Arial"/>
          <w:sz w:val="24"/>
          <w:szCs w:val="24"/>
        </w:rPr>
        <w:t>吊顶应采用不燃材料，且吊顶内不应有可燃物；</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Fonts w:ascii="Arial" w:hAnsi="Arial" w:cs="Arial"/>
          <w:sz w:val="24"/>
          <w:szCs w:val="24"/>
        </w:rPr>
      </w:pPr>
      <w:r>
        <w:rPr>
          <w:rFonts w:hint="eastAsia" w:ascii="宋体" w:hAnsi="宋体"/>
          <w:b/>
          <w:bCs/>
          <w:color w:val="000000"/>
          <w:sz w:val="24"/>
        </w:rPr>
        <w:t xml:space="preserve">2 </w:t>
      </w:r>
      <w:r>
        <w:rPr>
          <w:rFonts w:hint="eastAsia" w:ascii="Arial" w:hAnsi="Arial" w:cs="Arial"/>
          <w:sz w:val="24"/>
          <w:szCs w:val="24"/>
        </w:rPr>
        <w:t>封闭式吊顶上设置的烟气流入口的颈部烟气速度不宜大于</w:t>
      </w:r>
      <w:r>
        <w:rPr>
          <w:rFonts w:ascii="Arial" w:hAnsi="Arial" w:cs="Arial"/>
          <w:sz w:val="24"/>
          <w:szCs w:val="24"/>
        </w:rPr>
        <w:t>1.5m/s</w:t>
      </w:r>
      <w:r>
        <w:rPr>
          <w:rFonts w:hint="eastAsia" w:ascii="Arial" w:hAnsi="Arial" w:cs="Arial"/>
          <w:sz w:val="24"/>
          <w:szCs w:val="24"/>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Fonts w:ascii="Arial" w:hAnsi="Arial" w:cs="Arial"/>
          <w:sz w:val="24"/>
          <w:szCs w:val="24"/>
        </w:rPr>
      </w:pPr>
      <w:r>
        <w:rPr>
          <w:rFonts w:hint="eastAsia" w:ascii="宋体" w:hAnsi="宋体"/>
          <w:b/>
          <w:bCs/>
          <w:color w:val="000000"/>
          <w:sz w:val="24"/>
        </w:rPr>
        <w:t xml:space="preserve">3 </w:t>
      </w:r>
      <w:r>
        <w:rPr>
          <w:rFonts w:hint="eastAsia" w:ascii="Arial" w:hAnsi="Arial" w:cs="Arial"/>
          <w:sz w:val="24"/>
          <w:szCs w:val="24"/>
        </w:rPr>
        <w:t>非封闭式吊顶的开孔率不应小于吊顶净面积的</w:t>
      </w:r>
      <w:r>
        <w:rPr>
          <w:rFonts w:ascii="Arial" w:hAnsi="Arial" w:cs="Arial"/>
          <w:sz w:val="24"/>
          <w:szCs w:val="24"/>
        </w:rPr>
        <w:t>25%</w:t>
      </w:r>
      <w:r>
        <w:rPr>
          <w:rFonts w:hint="eastAsia" w:ascii="Arial" w:hAnsi="Arial" w:cs="Arial"/>
          <w:sz w:val="24"/>
          <w:szCs w:val="24"/>
        </w:rPr>
        <w:t>，且吊顶开孔应均匀布置。</w:t>
      </w:r>
    </w:p>
    <w:p>
      <w:pPr>
        <w:adjustRightInd w:val="0"/>
        <w:snapToGrid w:val="0"/>
        <w:spacing w:line="360" w:lineRule="auto"/>
        <w:rPr>
          <w:rFonts w:ascii="Arial" w:hAnsi="Arial" w:cs="Arial"/>
          <w:sz w:val="24"/>
          <w:szCs w:val="24"/>
        </w:rPr>
      </w:pPr>
      <w:r>
        <w:rPr>
          <w:rFonts w:hint="eastAsia" w:ascii="宋体" w:hAnsi="宋体"/>
          <w:b/>
          <w:bCs/>
          <w:color w:val="000000"/>
          <w:sz w:val="24"/>
        </w:rPr>
        <w:t>4.4.3</w:t>
      </w:r>
      <w:r>
        <w:rPr>
          <w:rFonts w:hint="eastAsia" w:ascii="Arial" w:hAnsi="Arial" w:cs="Arial"/>
          <w:sz w:val="24"/>
          <w:szCs w:val="24"/>
        </w:rPr>
        <w:t xml:space="preserve"> 补风系统的室外取风口的设置应满足本标准 3.3.5 条第 1、3 款的规定。</w:t>
      </w:r>
    </w:p>
    <w:p>
      <w:pPr>
        <w:adjustRightInd w:val="0"/>
        <w:snapToGrid w:val="0"/>
        <w:spacing w:line="360" w:lineRule="auto"/>
        <w:rPr>
          <w:rFonts w:ascii="Arial" w:hAnsi="Arial" w:cs="Arial"/>
          <w:sz w:val="24"/>
          <w:szCs w:val="24"/>
        </w:rPr>
      </w:pPr>
      <w:r>
        <w:rPr>
          <w:rFonts w:hint="eastAsia" w:ascii="宋体" w:hAnsi="宋体"/>
          <w:b/>
          <w:bCs/>
          <w:color w:val="000000"/>
          <w:sz w:val="24"/>
        </w:rPr>
        <w:t>4.4.5</w:t>
      </w:r>
      <w:r>
        <w:rPr>
          <w:rFonts w:hint="eastAsia" w:ascii="Arial" w:hAnsi="Arial" w:cs="Arial"/>
          <w:sz w:val="24"/>
          <w:szCs w:val="24"/>
        </w:rPr>
        <w:t xml:space="preserve"> 自然排烟系统应采用自然通风方式补风。</w:t>
      </w:r>
    </w:p>
    <w:p>
      <w:pPr>
        <w:adjustRightInd w:val="0"/>
        <w:snapToGrid w:val="0"/>
        <w:spacing w:line="360" w:lineRule="auto"/>
        <w:rPr>
          <w:rFonts w:ascii="Arial" w:hAnsi="Arial" w:cs="Arial"/>
          <w:sz w:val="24"/>
          <w:szCs w:val="24"/>
        </w:rPr>
      </w:pPr>
      <w:r>
        <w:rPr>
          <w:rFonts w:hint="eastAsia" w:ascii="宋体" w:hAnsi="宋体"/>
          <w:b/>
          <w:bCs/>
          <w:color w:val="000000"/>
          <w:sz w:val="24"/>
        </w:rPr>
        <w:t>4.4.6</w:t>
      </w:r>
      <w:r>
        <w:rPr>
          <w:rFonts w:hint="eastAsia" w:ascii="Arial" w:hAnsi="Arial" w:cs="Arial"/>
          <w:sz w:val="24"/>
          <w:szCs w:val="24"/>
        </w:rPr>
        <w:t xml:space="preserve"> 补风口与排烟口设置在同一空间内相邻的防烟分区时，补风口位置不限；当补风口与排烟口设置在同一防烟分区时，补风口应设在储烟仓下沿以下，且补风口与排烟口水平距离不应少于</w:t>
      </w:r>
      <w:r>
        <w:rPr>
          <w:rFonts w:ascii="Arial" w:hAnsi="Arial" w:cs="Arial"/>
          <w:sz w:val="24"/>
          <w:szCs w:val="24"/>
        </w:rPr>
        <w:t>5m</w:t>
      </w:r>
      <w:r>
        <w:rPr>
          <w:rFonts w:hint="eastAsia" w:ascii="Arial" w:hAnsi="Arial" w:cs="Arial"/>
          <w:sz w:val="24"/>
          <w:szCs w:val="24"/>
        </w:rPr>
        <w:t>；当补风口低于排烟口垂直距离大于5m时，水平距离不作限制。</w:t>
      </w:r>
    </w:p>
    <w:p>
      <w:pPr>
        <w:adjustRightInd w:val="0"/>
        <w:snapToGrid w:val="0"/>
        <w:spacing w:line="360" w:lineRule="auto"/>
        <w:rPr>
          <w:rFonts w:ascii="Arial" w:hAnsi="Arial" w:cs="Arial"/>
          <w:sz w:val="24"/>
          <w:szCs w:val="24"/>
        </w:rPr>
      </w:pPr>
      <w:r>
        <w:rPr>
          <w:rFonts w:hint="eastAsia" w:ascii="宋体" w:hAnsi="宋体"/>
          <w:b/>
          <w:bCs/>
          <w:color w:val="000000"/>
          <w:sz w:val="24"/>
        </w:rPr>
        <w:t>4.4.9</w:t>
      </w:r>
      <w:r>
        <w:rPr>
          <w:rFonts w:hint="eastAsia" w:ascii="Arial" w:hAnsi="Arial" w:cs="Arial"/>
          <w:sz w:val="24"/>
          <w:szCs w:val="24"/>
        </w:rPr>
        <w:t xml:space="preserve"> 补风管道耐火极限要求与本标准</w:t>
      </w:r>
      <w:r>
        <w:rPr>
          <w:rFonts w:ascii="Arial" w:hAnsi="Arial" w:cs="Arial"/>
          <w:sz w:val="24"/>
          <w:szCs w:val="24"/>
        </w:rPr>
        <w:t xml:space="preserve">3.3.8 </w:t>
      </w:r>
      <w:r>
        <w:rPr>
          <w:rFonts w:hint="eastAsia" w:ascii="Arial" w:hAnsi="Arial" w:cs="Arial"/>
          <w:sz w:val="24"/>
          <w:szCs w:val="24"/>
        </w:rPr>
        <w:t>条中加压送风管道要求一致。</w:t>
      </w:r>
    </w:p>
    <w:p>
      <w:pPr>
        <w:adjustRightInd w:val="0"/>
        <w:snapToGrid w:val="0"/>
        <w:spacing w:line="360" w:lineRule="auto"/>
        <w:rPr>
          <w:rFonts w:ascii="Arial" w:hAnsi="Arial" w:cs="Arial"/>
          <w:sz w:val="24"/>
          <w:szCs w:val="24"/>
        </w:rPr>
      </w:pPr>
      <w:r>
        <w:rPr>
          <w:rFonts w:hint="eastAsia" w:ascii="宋体" w:hAnsi="宋体"/>
          <w:b/>
          <w:bCs/>
          <w:color w:val="000000"/>
          <w:sz w:val="24"/>
        </w:rPr>
        <w:t>5.1.2</w:t>
      </w:r>
      <w:r>
        <w:rPr>
          <w:rFonts w:hint="eastAsia" w:ascii="Arial" w:hAnsi="Arial" w:cs="Arial"/>
          <w:sz w:val="24"/>
          <w:szCs w:val="24"/>
        </w:rPr>
        <w:t xml:space="preserve"> 采用机械加压送风的扩大前室、封闭避难层（间）和避难走道的加压送风量应满足下列要求：</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Fonts w:ascii="Arial" w:hAnsi="Arial" w:cs="Arial"/>
          <w:sz w:val="24"/>
          <w:szCs w:val="24"/>
        </w:rPr>
      </w:pPr>
      <w:r>
        <w:rPr>
          <w:rFonts w:hint="eastAsia" w:ascii="宋体" w:hAnsi="宋体"/>
          <w:b/>
          <w:bCs/>
          <w:color w:val="000000"/>
          <w:sz w:val="24"/>
        </w:rPr>
        <w:t>2</w:t>
      </w:r>
      <w:r>
        <w:rPr>
          <w:rFonts w:hint="eastAsia" w:ascii="Arial" w:hAnsi="Arial" w:cs="Arial"/>
          <w:sz w:val="24"/>
          <w:szCs w:val="24"/>
        </w:rPr>
        <w:t xml:space="preserve"> 首层扩大前室加压送风量应按前室疏散门的总断面积乘以0.6m/s门洞断面风速计算，但直接开向扩大前室的疏散门的总开启面积不应超过13m</w:t>
      </w:r>
      <w:r>
        <w:rPr>
          <w:rFonts w:hint="eastAsia" w:ascii="Arial" w:hAnsi="Arial" w:cs="Arial"/>
          <w:sz w:val="24"/>
          <w:szCs w:val="24"/>
          <w:vertAlign w:val="superscript"/>
        </w:rPr>
        <w:t>2</w:t>
      </w:r>
      <w:r>
        <w:rPr>
          <w:rFonts w:hint="eastAsia" w:ascii="Arial" w:hAnsi="Arial" w:cs="Arial"/>
          <w:sz w:val="24"/>
          <w:szCs w:val="24"/>
        </w:rPr>
        <w:t>。</w:t>
      </w:r>
    </w:p>
    <w:p>
      <w:pPr>
        <w:adjustRightInd w:val="0"/>
        <w:snapToGrid w:val="0"/>
        <w:spacing w:line="360" w:lineRule="auto"/>
        <w:rPr>
          <w:rFonts w:ascii="Arial" w:hAnsi="Arial" w:cs="Arial"/>
          <w:sz w:val="24"/>
          <w:szCs w:val="24"/>
        </w:rPr>
      </w:pPr>
      <w:r>
        <w:rPr>
          <w:rFonts w:hint="eastAsia" w:ascii="宋体" w:hAnsi="宋体"/>
          <w:b/>
          <w:bCs/>
          <w:color w:val="000000"/>
          <w:sz w:val="24"/>
        </w:rPr>
        <w:t xml:space="preserve">5.2.1 </w:t>
      </w:r>
      <w:r>
        <w:rPr>
          <w:rFonts w:hint="eastAsia" w:ascii="Arial" w:hAnsi="Arial" w:cs="Arial"/>
          <w:sz w:val="24"/>
          <w:szCs w:val="24"/>
        </w:rPr>
        <w:t>净高大于3m的走道或室内空间，储烟仓底部距地面的高度应不低于安全疏散所需的最小清晰高度。设计烟层底部高度不应低于储烟仓底部高度。</w:t>
      </w:r>
    </w:p>
    <w:p>
      <w:pPr>
        <w:adjustRightInd w:val="0"/>
        <w:snapToGrid w:val="0"/>
        <w:spacing w:line="360" w:lineRule="auto"/>
        <w:rPr>
          <w:rFonts w:ascii="Arial" w:hAnsi="Arial" w:cs="Arial"/>
          <w:sz w:val="24"/>
          <w:szCs w:val="24"/>
        </w:rPr>
      </w:pPr>
      <w:r>
        <w:rPr>
          <w:rFonts w:hint="eastAsia" w:ascii="宋体" w:hAnsi="宋体"/>
          <w:b/>
          <w:bCs/>
          <w:color w:val="000000"/>
          <w:sz w:val="24"/>
        </w:rPr>
        <w:t xml:space="preserve">5.2.2 </w:t>
      </w:r>
      <w:r>
        <w:rPr>
          <w:rFonts w:hint="eastAsia" w:ascii="Arial" w:hAnsi="Arial" w:cs="Arial"/>
          <w:sz w:val="24"/>
          <w:szCs w:val="24"/>
        </w:rPr>
        <w:t>一个防烟分区的计算排烟量应根据场所内的热释放速率、设计烟层底部高度，按以下规定确定：</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Fonts w:ascii="Arial" w:hAnsi="Arial" w:cs="Arial"/>
          <w:sz w:val="24"/>
          <w:szCs w:val="24"/>
        </w:rPr>
      </w:pPr>
      <w:r>
        <w:rPr>
          <w:rFonts w:hint="eastAsia" w:ascii="宋体" w:hAnsi="宋体"/>
          <w:b/>
          <w:bCs/>
          <w:color w:val="000000"/>
          <w:sz w:val="24"/>
        </w:rPr>
        <w:t xml:space="preserve">1 </w:t>
      </w:r>
      <w:r>
        <w:rPr>
          <w:rFonts w:hint="eastAsia" w:ascii="Arial" w:hAnsi="Arial" w:cs="Arial"/>
          <w:sz w:val="24"/>
          <w:szCs w:val="24"/>
        </w:rPr>
        <w:t>公共建筑、工业建筑中面积小于等于</w:t>
      </w:r>
      <w:r>
        <w:rPr>
          <w:rFonts w:ascii="Arial" w:hAnsi="Arial" w:cs="Arial"/>
          <w:sz w:val="24"/>
          <w:szCs w:val="24"/>
        </w:rPr>
        <w:t>300m</w:t>
      </w:r>
      <w:r>
        <w:rPr>
          <w:rFonts w:ascii="Arial" w:hAnsi="Arial" w:cs="Arial"/>
          <w:sz w:val="24"/>
          <w:szCs w:val="24"/>
          <w:vertAlign w:val="superscript"/>
        </w:rPr>
        <w:t>2</w:t>
      </w:r>
      <w:r>
        <w:rPr>
          <w:rFonts w:hint="eastAsia" w:ascii="Arial" w:hAnsi="Arial" w:cs="Arial"/>
          <w:sz w:val="24"/>
          <w:szCs w:val="24"/>
        </w:rPr>
        <w:t>的场所，其排烟量不应小于</w:t>
      </w:r>
      <w:r>
        <w:rPr>
          <w:rFonts w:ascii="Arial" w:hAnsi="Arial" w:cs="Arial"/>
          <w:sz w:val="24"/>
          <w:szCs w:val="24"/>
        </w:rPr>
        <w:t>60m</w:t>
      </w:r>
      <w:r>
        <w:rPr>
          <w:rFonts w:ascii="Arial" w:hAnsi="Arial" w:cs="Arial"/>
          <w:sz w:val="24"/>
          <w:szCs w:val="24"/>
          <w:vertAlign w:val="superscript"/>
        </w:rPr>
        <w:t>3</w:t>
      </w:r>
      <w:r>
        <w:rPr>
          <w:rFonts w:ascii="Arial" w:hAnsi="Arial" w:cs="Arial"/>
          <w:sz w:val="24"/>
          <w:szCs w:val="24"/>
        </w:rPr>
        <w:t xml:space="preserve"> /</w:t>
      </w:r>
      <w:r>
        <w:rPr>
          <w:rFonts w:hint="eastAsia" w:ascii="Arial" w:hAnsi="Arial" w:cs="Arial"/>
          <w:sz w:val="24"/>
          <w:szCs w:val="24"/>
        </w:rPr>
        <w:t>（</w:t>
      </w:r>
      <w:r>
        <w:rPr>
          <w:rFonts w:ascii="Arial" w:hAnsi="Arial" w:cs="Arial"/>
          <w:sz w:val="24"/>
          <w:szCs w:val="24"/>
        </w:rPr>
        <w:t>h·m</w:t>
      </w:r>
      <w:r>
        <w:rPr>
          <w:rFonts w:ascii="Arial" w:hAnsi="Arial" w:cs="Arial"/>
          <w:sz w:val="24"/>
          <w:szCs w:val="24"/>
          <w:vertAlign w:val="superscript"/>
        </w:rPr>
        <w:t>2</w:t>
      </w:r>
      <w:r>
        <w:rPr>
          <w:rFonts w:hint="eastAsia" w:ascii="Arial" w:hAnsi="Arial" w:cs="Arial"/>
          <w:sz w:val="24"/>
          <w:szCs w:val="24"/>
        </w:rPr>
        <w:t>），最小排烟量不应小于150</w:t>
      </w:r>
      <w:r>
        <w:rPr>
          <w:rFonts w:ascii="Arial" w:hAnsi="Arial" w:cs="Arial"/>
          <w:sz w:val="24"/>
          <w:szCs w:val="24"/>
        </w:rPr>
        <w:t>00m</w:t>
      </w:r>
      <w:r>
        <w:rPr>
          <w:rFonts w:ascii="Arial" w:hAnsi="Arial" w:cs="Arial"/>
          <w:sz w:val="24"/>
          <w:szCs w:val="24"/>
          <w:vertAlign w:val="superscript"/>
        </w:rPr>
        <w:t>3</w:t>
      </w:r>
      <w:r>
        <w:rPr>
          <w:rFonts w:ascii="Arial" w:hAnsi="Arial" w:cs="Arial"/>
          <w:sz w:val="24"/>
          <w:szCs w:val="24"/>
        </w:rPr>
        <w:t xml:space="preserve"> /h</w:t>
      </w:r>
      <w:r>
        <w:rPr>
          <w:rFonts w:hint="eastAsia" w:ascii="Arial" w:hAnsi="Arial" w:cs="Arial"/>
          <w:sz w:val="24"/>
          <w:szCs w:val="24"/>
        </w:rPr>
        <w:t>；或设置有效面积不小于该房间地面面积2%的排烟窗；地下自然排烟房间须设置不小于排烟窗面积50%的自然补风口。</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Fonts w:ascii="Arial" w:hAnsi="Arial" w:cs="Arial"/>
          <w:sz w:val="24"/>
          <w:szCs w:val="24"/>
        </w:rPr>
      </w:pPr>
      <w:r>
        <w:rPr>
          <w:rFonts w:hint="eastAsia" w:ascii="宋体" w:hAnsi="宋体"/>
          <w:b/>
          <w:bCs/>
          <w:color w:val="000000"/>
          <w:sz w:val="24"/>
        </w:rPr>
        <w:t xml:space="preserve">2 </w:t>
      </w:r>
      <w:r>
        <w:rPr>
          <w:rFonts w:hint="eastAsia" w:ascii="Arial" w:hAnsi="Arial" w:cs="Arial"/>
          <w:sz w:val="24"/>
          <w:szCs w:val="24"/>
        </w:rPr>
        <w:t>公共建筑、工业建筑中面积大于</w:t>
      </w:r>
      <w:r>
        <w:rPr>
          <w:rFonts w:ascii="Arial" w:hAnsi="Arial" w:cs="Arial"/>
          <w:sz w:val="24"/>
          <w:szCs w:val="24"/>
        </w:rPr>
        <w:t>300m</w:t>
      </w:r>
      <w:r>
        <w:rPr>
          <w:rFonts w:ascii="Arial" w:hAnsi="Arial" w:cs="Arial"/>
          <w:sz w:val="24"/>
          <w:szCs w:val="24"/>
          <w:vertAlign w:val="superscript"/>
        </w:rPr>
        <w:t>2</w:t>
      </w:r>
      <w:r>
        <w:rPr>
          <w:rFonts w:hint="eastAsia" w:ascii="Arial" w:hAnsi="Arial" w:cs="Arial"/>
          <w:sz w:val="24"/>
          <w:szCs w:val="24"/>
        </w:rPr>
        <w:t>的场所，其计算机械排烟量可按本标准第</w:t>
      </w:r>
      <w:r>
        <w:rPr>
          <w:rFonts w:ascii="Arial" w:hAnsi="Arial" w:cs="Arial"/>
          <w:sz w:val="24"/>
          <w:szCs w:val="24"/>
        </w:rPr>
        <w:t>5.2.6</w:t>
      </w:r>
      <w:r>
        <w:rPr>
          <w:rFonts w:hint="eastAsia" w:ascii="Arial" w:hAnsi="Arial" w:cs="Arial"/>
          <w:sz w:val="24"/>
          <w:szCs w:val="24"/>
        </w:rPr>
        <w:t>～</w:t>
      </w:r>
      <w:r>
        <w:rPr>
          <w:rFonts w:ascii="Arial" w:hAnsi="Arial" w:cs="Arial"/>
          <w:sz w:val="24"/>
          <w:szCs w:val="24"/>
        </w:rPr>
        <w:t>5.2.12</w:t>
      </w:r>
      <w:r>
        <w:rPr>
          <w:rFonts w:hint="eastAsia" w:ascii="Arial" w:hAnsi="Arial" w:cs="Arial"/>
          <w:sz w:val="24"/>
          <w:szCs w:val="24"/>
        </w:rPr>
        <w:t>条的规定计算确定，最小排烟量不应小于30</w:t>
      </w:r>
      <w:r>
        <w:rPr>
          <w:rFonts w:ascii="Arial" w:hAnsi="Arial" w:cs="Arial"/>
          <w:sz w:val="24"/>
          <w:szCs w:val="24"/>
        </w:rPr>
        <w:t>000m</w:t>
      </w:r>
      <w:r>
        <w:rPr>
          <w:rFonts w:ascii="Arial" w:hAnsi="Arial" w:cs="Arial"/>
          <w:sz w:val="24"/>
          <w:szCs w:val="24"/>
          <w:vertAlign w:val="superscript"/>
        </w:rPr>
        <w:t>3</w:t>
      </w:r>
      <w:r>
        <w:rPr>
          <w:rFonts w:ascii="Arial" w:hAnsi="Arial" w:cs="Arial"/>
          <w:sz w:val="24"/>
          <w:szCs w:val="24"/>
        </w:rPr>
        <w:t xml:space="preserve"> /h</w:t>
      </w:r>
      <w:r>
        <w:rPr>
          <w:rFonts w:hint="eastAsia" w:ascii="Arial" w:hAnsi="Arial" w:cs="Arial"/>
          <w:sz w:val="24"/>
          <w:szCs w:val="24"/>
        </w:rPr>
        <w:t>，或按表</w:t>
      </w:r>
      <w:r>
        <w:rPr>
          <w:rFonts w:ascii="Arial" w:hAnsi="Arial" w:cs="Arial"/>
          <w:sz w:val="24"/>
          <w:szCs w:val="24"/>
        </w:rPr>
        <w:t>5.2.2</w:t>
      </w:r>
      <w:r>
        <w:rPr>
          <w:rFonts w:hint="eastAsia" w:ascii="Arial" w:hAnsi="Arial" w:cs="Arial"/>
          <w:sz w:val="24"/>
          <w:szCs w:val="24"/>
        </w:rPr>
        <w:t>中的数值选取；当采用自然排烟窗时，其所需排烟量及有效补风面积、排烟面积等应根据本标准第</w:t>
      </w:r>
      <w:r>
        <w:rPr>
          <w:rFonts w:ascii="Arial" w:hAnsi="Arial" w:cs="Arial"/>
          <w:sz w:val="24"/>
          <w:szCs w:val="24"/>
        </w:rPr>
        <w:t>5.2.6</w:t>
      </w:r>
      <w:r>
        <w:rPr>
          <w:rFonts w:hint="eastAsia" w:ascii="Arial" w:hAnsi="Arial" w:cs="Arial"/>
          <w:sz w:val="24"/>
          <w:szCs w:val="24"/>
        </w:rPr>
        <w:t>～</w:t>
      </w:r>
      <w:r>
        <w:rPr>
          <w:rFonts w:ascii="Arial" w:hAnsi="Arial" w:cs="Arial"/>
          <w:sz w:val="24"/>
          <w:szCs w:val="24"/>
        </w:rPr>
        <w:t xml:space="preserve">5.2.13 </w:t>
      </w:r>
      <w:r>
        <w:rPr>
          <w:rFonts w:hint="eastAsia" w:ascii="Arial" w:hAnsi="Arial" w:cs="Arial"/>
          <w:sz w:val="24"/>
          <w:szCs w:val="24"/>
        </w:rPr>
        <w:t>条计算。</w:t>
      </w:r>
    </w:p>
    <w:p>
      <w:pPr>
        <w:widowControl/>
        <w:adjustRightInd w:val="0"/>
        <w:snapToGrid w:val="0"/>
        <w:spacing w:line="360" w:lineRule="auto"/>
        <w:jc w:val="center"/>
        <w:rPr>
          <w:rFonts w:ascii="Arial" w:hAnsi="Arial" w:cs="Arial" w:eastAsiaTheme="minorEastAsia"/>
          <w:kern w:val="0"/>
          <w:szCs w:val="21"/>
        </w:rPr>
      </w:pPr>
      <w:r>
        <w:rPr>
          <w:rFonts w:ascii="Arial" w:hAnsi="Arial" w:cs="Arial" w:eastAsiaTheme="minorEastAsia"/>
          <w:color w:val="000000"/>
          <w:kern w:val="0"/>
          <w:szCs w:val="21"/>
        </w:rPr>
        <w:t>表 5.2.2 公共建筑、工业建筑中不同场所计算机械排烟量</w:t>
      </w:r>
    </w:p>
    <w:tbl>
      <w:tblPr>
        <w:tblStyle w:val="2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41"/>
        <w:gridCol w:w="1185"/>
        <w:gridCol w:w="914"/>
        <w:gridCol w:w="934"/>
        <w:gridCol w:w="927"/>
        <w:gridCol w:w="934"/>
        <w:gridCol w:w="927"/>
        <w:gridCol w:w="934"/>
        <w:gridCol w:w="9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68" w:hRule="atLeast"/>
        </w:trPr>
        <w:tc>
          <w:tcPr>
            <w:tcW w:w="675" w:type="dxa"/>
            <w:vMerge w:val="restart"/>
          </w:tcPr>
          <w:p>
            <w:pPr>
              <w:widowControl/>
              <w:jc w:val="center"/>
              <w:rPr>
                <w:rFonts w:ascii="Arial" w:hAnsi="Arial" w:cs="Arial" w:eastAsiaTheme="minorEastAsia"/>
                <w:kern w:val="0"/>
                <w:szCs w:val="21"/>
              </w:rPr>
            </w:pPr>
            <w:r>
              <w:rPr>
                <w:rFonts w:ascii="Arial" w:cs="Arial" w:hAnsiTheme="minorEastAsia" w:eastAsiaTheme="minorEastAsia"/>
                <w:color w:val="000000"/>
                <w:kern w:val="0"/>
                <w:szCs w:val="21"/>
              </w:rPr>
              <w:t>空间</w:t>
            </w:r>
            <w:r>
              <w:rPr>
                <w:rFonts w:ascii="Arial" w:hAnsi="Arial" w:cs="Arial" w:eastAsiaTheme="minorEastAsia"/>
                <w:color w:val="000000"/>
                <w:kern w:val="0"/>
                <w:szCs w:val="21"/>
              </w:rPr>
              <w:t xml:space="preserve"> </w:t>
            </w:r>
            <w:r>
              <w:rPr>
                <w:rFonts w:ascii="Arial" w:cs="Arial" w:hAnsiTheme="minorEastAsia" w:eastAsiaTheme="minorEastAsia"/>
                <w:color w:val="000000"/>
                <w:kern w:val="0"/>
                <w:szCs w:val="21"/>
              </w:rPr>
              <w:t>净高（</w:t>
            </w:r>
            <w:r>
              <w:rPr>
                <w:rFonts w:ascii="Arial" w:hAnsi="Arial" w:cs="Arial" w:eastAsiaTheme="minorEastAsia"/>
                <w:color w:val="000000"/>
                <w:kern w:val="0"/>
                <w:szCs w:val="21"/>
              </w:rPr>
              <w:t>m</w:t>
            </w:r>
            <w:r>
              <w:rPr>
                <w:rFonts w:ascii="Arial" w:cs="Arial" w:hAnsiTheme="minorEastAsia" w:eastAsiaTheme="minorEastAsia"/>
                <w:color w:val="000000"/>
                <w:kern w:val="0"/>
                <w:szCs w:val="21"/>
              </w:rPr>
              <w:t>）</w:t>
            </w:r>
          </w:p>
          <w:p>
            <w:pPr>
              <w:widowControl/>
              <w:jc w:val="center"/>
              <w:rPr>
                <w:rFonts w:ascii="Arial" w:hAnsi="Arial" w:cs="Arial" w:eastAsiaTheme="minorEastAsia"/>
                <w:color w:val="000000"/>
                <w:kern w:val="0"/>
                <w:szCs w:val="21"/>
              </w:rPr>
            </w:pPr>
          </w:p>
        </w:tc>
        <w:tc>
          <w:tcPr>
            <w:tcW w:w="2165" w:type="dxa"/>
            <w:gridSpan w:val="2"/>
          </w:tcPr>
          <w:p>
            <w:pPr>
              <w:widowControl/>
              <w:jc w:val="center"/>
              <w:rPr>
                <w:rFonts w:ascii="Arial" w:hAnsi="Arial" w:cs="Arial" w:eastAsiaTheme="minorEastAsia"/>
                <w:color w:val="000000"/>
                <w:kern w:val="0"/>
                <w:szCs w:val="21"/>
              </w:rPr>
            </w:pPr>
            <w:r>
              <w:rPr>
                <w:rFonts w:ascii="Arial" w:cs="Arial" w:hAnsiTheme="minorEastAsia" w:eastAsiaTheme="minorEastAsia"/>
                <w:color w:val="000000"/>
                <w:kern w:val="0"/>
                <w:szCs w:val="21"/>
              </w:rPr>
              <w:t>办公、学校</w:t>
            </w:r>
          </w:p>
          <w:p>
            <w:pPr>
              <w:widowControl/>
              <w:jc w:val="center"/>
              <w:rPr>
                <w:rFonts w:ascii="Arial" w:hAnsi="Arial" w:cs="Arial" w:eastAsiaTheme="minorEastAsia"/>
                <w:color w:val="000000"/>
                <w:kern w:val="0"/>
                <w:szCs w:val="21"/>
              </w:rPr>
            </w:pPr>
            <w:r>
              <w:rPr>
                <w:rFonts w:ascii="Arial" w:cs="Arial" w:hAnsiTheme="minorEastAsia" w:eastAsiaTheme="minorEastAsia"/>
                <w:color w:val="000000"/>
                <w:kern w:val="0"/>
                <w:szCs w:val="21"/>
              </w:rPr>
              <w:t>（</w:t>
            </w:r>
            <w:r>
              <w:rPr>
                <w:rFonts w:ascii="Arial" w:hAnsi="Arial" w:cs="Arial" w:eastAsiaTheme="minorEastAsia"/>
                <w:color w:val="000000"/>
                <w:kern w:val="0"/>
                <w:szCs w:val="21"/>
              </w:rPr>
              <w:t>x10</w:t>
            </w:r>
            <w:r>
              <w:rPr>
                <w:rFonts w:ascii="Arial" w:hAnsi="Arial" w:cs="Arial" w:eastAsiaTheme="minorEastAsia"/>
                <w:color w:val="000000"/>
                <w:kern w:val="0"/>
                <w:szCs w:val="21"/>
                <w:vertAlign w:val="superscript"/>
              </w:rPr>
              <w:t>4</w:t>
            </w:r>
            <w:r>
              <w:rPr>
                <w:rFonts w:ascii="Arial" w:hAnsi="Arial" w:cs="Arial" w:eastAsiaTheme="minorEastAsia"/>
                <w:color w:val="000000"/>
                <w:kern w:val="0"/>
                <w:szCs w:val="21"/>
              </w:rPr>
              <w:t>m</w:t>
            </w:r>
            <w:r>
              <w:rPr>
                <w:rFonts w:ascii="Arial" w:hAnsi="Arial" w:cs="Arial" w:eastAsiaTheme="minorEastAsia"/>
                <w:color w:val="000000"/>
                <w:kern w:val="0"/>
                <w:szCs w:val="21"/>
                <w:vertAlign w:val="superscript"/>
              </w:rPr>
              <w:t>3</w:t>
            </w:r>
            <w:r>
              <w:rPr>
                <w:rFonts w:ascii="Arial" w:hAnsi="Arial" w:cs="Arial" w:eastAsiaTheme="minorEastAsia"/>
                <w:color w:val="000000"/>
                <w:kern w:val="0"/>
                <w:szCs w:val="21"/>
              </w:rPr>
              <w:t>/h</w:t>
            </w:r>
            <w:r>
              <w:rPr>
                <w:rFonts w:ascii="Arial" w:cs="Arial" w:hAnsiTheme="minorEastAsia" w:eastAsiaTheme="minorEastAsia"/>
                <w:color w:val="000000"/>
                <w:kern w:val="0"/>
                <w:szCs w:val="21"/>
              </w:rPr>
              <w:t>）</w:t>
            </w:r>
          </w:p>
        </w:tc>
        <w:tc>
          <w:tcPr>
            <w:tcW w:w="1894" w:type="dxa"/>
            <w:gridSpan w:val="2"/>
          </w:tcPr>
          <w:p>
            <w:pPr>
              <w:widowControl/>
              <w:jc w:val="center"/>
              <w:rPr>
                <w:rFonts w:ascii="Arial" w:hAnsi="Arial" w:cs="Arial" w:eastAsiaTheme="minorEastAsia"/>
                <w:color w:val="000000"/>
                <w:kern w:val="0"/>
                <w:szCs w:val="21"/>
              </w:rPr>
            </w:pPr>
            <w:r>
              <w:rPr>
                <w:rFonts w:ascii="Arial" w:cs="Arial" w:hAnsiTheme="minorEastAsia" w:eastAsiaTheme="minorEastAsia"/>
                <w:color w:val="000000"/>
                <w:kern w:val="0"/>
                <w:szCs w:val="21"/>
              </w:rPr>
              <w:t>商店、展览</w:t>
            </w:r>
          </w:p>
          <w:p>
            <w:pPr>
              <w:widowControl/>
              <w:jc w:val="center"/>
              <w:rPr>
                <w:rFonts w:ascii="Arial" w:hAnsi="Arial" w:cs="Arial" w:eastAsiaTheme="minorEastAsia"/>
                <w:color w:val="000000"/>
                <w:kern w:val="0"/>
                <w:szCs w:val="21"/>
              </w:rPr>
            </w:pPr>
            <w:r>
              <w:rPr>
                <w:rFonts w:ascii="Arial" w:cs="Arial" w:hAnsiTheme="minorEastAsia" w:eastAsiaTheme="minorEastAsia"/>
                <w:color w:val="000000"/>
                <w:kern w:val="0"/>
                <w:szCs w:val="21"/>
              </w:rPr>
              <w:t>（</w:t>
            </w:r>
            <w:r>
              <w:rPr>
                <w:rFonts w:ascii="Arial" w:hAnsi="Arial" w:cs="Arial" w:eastAsiaTheme="minorEastAsia"/>
                <w:color w:val="000000"/>
                <w:kern w:val="0"/>
                <w:szCs w:val="21"/>
              </w:rPr>
              <w:t>x10</w:t>
            </w:r>
            <w:r>
              <w:rPr>
                <w:rFonts w:ascii="Arial" w:hAnsi="Arial" w:cs="Arial" w:eastAsiaTheme="minorEastAsia"/>
                <w:color w:val="000000"/>
                <w:kern w:val="0"/>
                <w:szCs w:val="21"/>
                <w:vertAlign w:val="superscript"/>
              </w:rPr>
              <w:t>4</w:t>
            </w:r>
            <w:r>
              <w:rPr>
                <w:rFonts w:ascii="Arial" w:hAnsi="Arial" w:cs="Arial" w:eastAsiaTheme="minorEastAsia"/>
                <w:color w:val="000000"/>
                <w:kern w:val="0"/>
                <w:szCs w:val="21"/>
              </w:rPr>
              <w:t>m</w:t>
            </w:r>
            <w:r>
              <w:rPr>
                <w:rFonts w:ascii="Arial" w:hAnsi="Arial" w:cs="Arial" w:eastAsiaTheme="minorEastAsia"/>
                <w:color w:val="000000"/>
                <w:kern w:val="0"/>
                <w:szCs w:val="21"/>
                <w:vertAlign w:val="superscript"/>
              </w:rPr>
              <w:t>3</w:t>
            </w:r>
            <w:r>
              <w:rPr>
                <w:rFonts w:ascii="Arial" w:hAnsi="Arial" w:cs="Arial" w:eastAsiaTheme="minorEastAsia"/>
                <w:color w:val="000000"/>
                <w:kern w:val="0"/>
                <w:szCs w:val="21"/>
              </w:rPr>
              <w:t>/h</w:t>
            </w:r>
            <w:r>
              <w:rPr>
                <w:rFonts w:ascii="Arial" w:cs="Arial" w:hAnsiTheme="minorEastAsia" w:eastAsiaTheme="minorEastAsia"/>
                <w:color w:val="000000"/>
                <w:kern w:val="0"/>
                <w:szCs w:val="21"/>
              </w:rPr>
              <w:t>）</w:t>
            </w:r>
          </w:p>
        </w:tc>
        <w:tc>
          <w:tcPr>
            <w:tcW w:w="1894" w:type="dxa"/>
            <w:gridSpan w:val="2"/>
          </w:tcPr>
          <w:p>
            <w:pPr>
              <w:widowControl/>
              <w:jc w:val="center"/>
              <w:rPr>
                <w:rFonts w:ascii="Arial" w:hAnsi="Arial" w:cs="Arial" w:eastAsiaTheme="minorEastAsia"/>
                <w:color w:val="000000"/>
                <w:kern w:val="0"/>
                <w:szCs w:val="21"/>
              </w:rPr>
            </w:pPr>
            <w:r>
              <w:rPr>
                <w:rFonts w:ascii="Arial" w:cs="Arial" w:hAnsiTheme="minorEastAsia" w:eastAsiaTheme="minorEastAsia"/>
                <w:color w:val="000000"/>
                <w:kern w:val="0"/>
                <w:szCs w:val="21"/>
              </w:rPr>
              <w:t>厂房、其他公共建筑</w:t>
            </w:r>
          </w:p>
          <w:p>
            <w:pPr>
              <w:widowControl/>
              <w:jc w:val="center"/>
              <w:rPr>
                <w:rFonts w:ascii="Arial" w:hAnsi="Arial" w:cs="Arial" w:eastAsiaTheme="minorEastAsia"/>
                <w:color w:val="000000"/>
                <w:kern w:val="0"/>
                <w:szCs w:val="21"/>
              </w:rPr>
            </w:pPr>
            <w:r>
              <w:rPr>
                <w:rFonts w:ascii="Arial" w:cs="Arial" w:hAnsiTheme="minorEastAsia" w:eastAsiaTheme="minorEastAsia"/>
                <w:color w:val="000000"/>
                <w:kern w:val="0"/>
                <w:szCs w:val="21"/>
              </w:rPr>
              <w:t>（</w:t>
            </w:r>
            <w:r>
              <w:rPr>
                <w:rFonts w:ascii="Arial" w:hAnsi="Arial" w:cs="Arial" w:eastAsiaTheme="minorEastAsia"/>
                <w:color w:val="000000"/>
                <w:kern w:val="0"/>
                <w:szCs w:val="21"/>
              </w:rPr>
              <w:t>x10</w:t>
            </w:r>
            <w:r>
              <w:rPr>
                <w:rFonts w:ascii="Arial" w:hAnsi="Arial" w:cs="Arial" w:eastAsiaTheme="minorEastAsia"/>
                <w:color w:val="000000"/>
                <w:kern w:val="0"/>
                <w:szCs w:val="21"/>
                <w:vertAlign w:val="superscript"/>
              </w:rPr>
              <w:t>4</w:t>
            </w:r>
            <w:r>
              <w:rPr>
                <w:rFonts w:ascii="Arial" w:hAnsi="Arial" w:cs="Arial" w:eastAsiaTheme="minorEastAsia"/>
                <w:color w:val="000000"/>
                <w:kern w:val="0"/>
                <w:szCs w:val="21"/>
              </w:rPr>
              <w:t>m</w:t>
            </w:r>
            <w:r>
              <w:rPr>
                <w:rFonts w:ascii="Arial" w:hAnsi="Arial" w:cs="Arial" w:eastAsiaTheme="minorEastAsia"/>
                <w:color w:val="000000"/>
                <w:kern w:val="0"/>
                <w:szCs w:val="21"/>
                <w:vertAlign w:val="superscript"/>
              </w:rPr>
              <w:t>3</w:t>
            </w:r>
            <w:r>
              <w:rPr>
                <w:rFonts w:ascii="Arial" w:hAnsi="Arial" w:cs="Arial" w:eastAsiaTheme="minorEastAsia"/>
                <w:color w:val="000000"/>
                <w:kern w:val="0"/>
                <w:szCs w:val="21"/>
              </w:rPr>
              <w:t>/h</w:t>
            </w:r>
            <w:r>
              <w:rPr>
                <w:rFonts w:ascii="Arial" w:cs="Arial" w:hAnsiTheme="minorEastAsia" w:eastAsiaTheme="minorEastAsia"/>
                <w:color w:val="000000"/>
                <w:kern w:val="0"/>
                <w:szCs w:val="21"/>
              </w:rPr>
              <w:t>）</w:t>
            </w:r>
          </w:p>
        </w:tc>
        <w:tc>
          <w:tcPr>
            <w:tcW w:w="1894" w:type="dxa"/>
            <w:gridSpan w:val="2"/>
          </w:tcPr>
          <w:p>
            <w:pPr>
              <w:widowControl/>
              <w:jc w:val="center"/>
              <w:rPr>
                <w:rFonts w:ascii="Arial" w:hAnsi="Arial" w:cs="Arial" w:eastAsiaTheme="minorEastAsia"/>
                <w:color w:val="000000"/>
                <w:kern w:val="0"/>
                <w:szCs w:val="21"/>
              </w:rPr>
            </w:pPr>
            <w:r>
              <w:rPr>
                <w:rFonts w:ascii="Arial" w:cs="Arial" w:hAnsiTheme="minorEastAsia" w:eastAsiaTheme="minorEastAsia"/>
                <w:color w:val="000000"/>
                <w:kern w:val="0"/>
                <w:szCs w:val="21"/>
              </w:rPr>
              <w:t>仓库</w:t>
            </w:r>
          </w:p>
          <w:p>
            <w:pPr>
              <w:widowControl/>
              <w:jc w:val="center"/>
              <w:rPr>
                <w:rFonts w:ascii="Arial" w:hAnsi="Arial" w:cs="Arial" w:eastAsiaTheme="minorEastAsia"/>
                <w:color w:val="000000"/>
                <w:kern w:val="0"/>
                <w:szCs w:val="21"/>
              </w:rPr>
            </w:pPr>
            <w:r>
              <w:rPr>
                <w:rFonts w:ascii="Arial" w:cs="Arial" w:hAnsiTheme="minorEastAsia" w:eastAsiaTheme="minorEastAsia"/>
                <w:color w:val="000000"/>
                <w:kern w:val="0"/>
                <w:szCs w:val="21"/>
              </w:rPr>
              <w:t>（</w:t>
            </w:r>
            <w:r>
              <w:rPr>
                <w:rFonts w:ascii="Arial" w:hAnsi="Arial" w:cs="Arial" w:eastAsiaTheme="minorEastAsia"/>
                <w:color w:val="000000"/>
                <w:kern w:val="0"/>
                <w:szCs w:val="21"/>
              </w:rPr>
              <w:t>x10</w:t>
            </w:r>
            <w:r>
              <w:rPr>
                <w:rFonts w:ascii="Arial" w:hAnsi="Arial" w:cs="Arial" w:eastAsiaTheme="minorEastAsia"/>
                <w:color w:val="000000"/>
                <w:kern w:val="0"/>
                <w:szCs w:val="21"/>
                <w:vertAlign w:val="superscript"/>
              </w:rPr>
              <w:t>4</w:t>
            </w:r>
            <w:r>
              <w:rPr>
                <w:rFonts w:ascii="Arial" w:hAnsi="Arial" w:cs="Arial" w:eastAsiaTheme="minorEastAsia"/>
                <w:color w:val="000000"/>
                <w:kern w:val="0"/>
                <w:szCs w:val="21"/>
              </w:rPr>
              <w:t>m</w:t>
            </w:r>
            <w:r>
              <w:rPr>
                <w:rFonts w:ascii="Arial" w:hAnsi="Arial" w:cs="Arial" w:eastAsiaTheme="minorEastAsia"/>
                <w:color w:val="000000"/>
                <w:kern w:val="0"/>
                <w:szCs w:val="21"/>
                <w:vertAlign w:val="superscript"/>
              </w:rPr>
              <w:t>3</w:t>
            </w:r>
            <w:r>
              <w:rPr>
                <w:rFonts w:ascii="Arial" w:hAnsi="Arial" w:cs="Arial" w:eastAsiaTheme="minorEastAsia"/>
                <w:color w:val="000000"/>
                <w:kern w:val="0"/>
                <w:szCs w:val="21"/>
              </w:rPr>
              <w:t>/h</w:t>
            </w:r>
            <w:r>
              <w:rPr>
                <w:rFonts w:ascii="Arial" w:cs="Arial" w:hAnsiTheme="minorEastAsia" w:eastAsiaTheme="minorEastAsia"/>
                <w:color w:val="000000"/>
                <w:kern w:val="0"/>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Pr>
          <w:p>
            <w:pPr>
              <w:widowControl/>
              <w:jc w:val="center"/>
              <w:rPr>
                <w:rFonts w:ascii="Arial" w:hAnsi="Arial" w:cs="Arial" w:eastAsiaTheme="minorEastAsia"/>
                <w:color w:val="000000"/>
                <w:kern w:val="0"/>
                <w:szCs w:val="21"/>
              </w:rPr>
            </w:pPr>
          </w:p>
        </w:tc>
        <w:tc>
          <w:tcPr>
            <w:tcW w:w="1218" w:type="dxa"/>
          </w:tcPr>
          <w:p>
            <w:pPr>
              <w:widowControl/>
              <w:jc w:val="center"/>
              <w:rPr>
                <w:rFonts w:ascii="Arial" w:hAnsi="Arial" w:cs="Arial" w:eastAsiaTheme="minorEastAsia"/>
                <w:color w:val="000000"/>
                <w:kern w:val="0"/>
                <w:szCs w:val="21"/>
              </w:rPr>
            </w:pPr>
            <w:r>
              <w:rPr>
                <w:rFonts w:ascii="Arial" w:cs="Arial" w:hAnsiTheme="minorEastAsia" w:eastAsiaTheme="minorEastAsia"/>
                <w:color w:val="000000"/>
                <w:kern w:val="0"/>
                <w:szCs w:val="21"/>
              </w:rPr>
              <w:t>无喷淋</w:t>
            </w:r>
          </w:p>
        </w:tc>
        <w:tc>
          <w:tcPr>
            <w:tcW w:w="947" w:type="dxa"/>
          </w:tcPr>
          <w:p>
            <w:pPr>
              <w:widowControl/>
              <w:jc w:val="center"/>
              <w:rPr>
                <w:rFonts w:ascii="Arial" w:hAnsi="Arial" w:cs="Arial" w:eastAsiaTheme="minorEastAsia"/>
                <w:color w:val="000000"/>
                <w:kern w:val="0"/>
                <w:szCs w:val="21"/>
              </w:rPr>
            </w:pPr>
            <w:r>
              <w:rPr>
                <w:rFonts w:ascii="Arial" w:cs="Arial" w:hAnsiTheme="minorEastAsia" w:eastAsiaTheme="minorEastAsia"/>
                <w:color w:val="000000"/>
                <w:kern w:val="0"/>
                <w:szCs w:val="21"/>
              </w:rPr>
              <w:t>有喷淋</w:t>
            </w:r>
          </w:p>
        </w:tc>
        <w:tc>
          <w:tcPr>
            <w:tcW w:w="947" w:type="dxa"/>
          </w:tcPr>
          <w:p>
            <w:pPr>
              <w:widowControl/>
              <w:jc w:val="center"/>
              <w:rPr>
                <w:rFonts w:ascii="Arial" w:hAnsi="Arial" w:cs="Arial" w:eastAsiaTheme="minorEastAsia"/>
                <w:color w:val="000000"/>
                <w:kern w:val="0"/>
                <w:szCs w:val="21"/>
              </w:rPr>
            </w:pPr>
            <w:r>
              <w:rPr>
                <w:rFonts w:ascii="Arial" w:cs="Arial" w:hAnsiTheme="minorEastAsia" w:eastAsiaTheme="minorEastAsia"/>
                <w:color w:val="000000"/>
                <w:kern w:val="0"/>
                <w:szCs w:val="21"/>
              </w:rPr>
              <w:t>无喷淋</w:t>
            </w:r>
          </w:p>
        </w:tc>
        <w:tc>
          <w:tcPr>
            <w:tcW w:w="947" w:type="dxa"/>
          </w:tcPr>
          <w:p>
            <w:pPr>
              <w:widowControl/>
              <w:jc w:val="center"/>
              <w:rPr>
                <w:rFonts w:ascii="Arial" w:hAnsi="Arial" w:cs="Arial" w:eastAsiaTheme="minorEastAsia"/>
                <w:color w:val="000000"/>
                <w:kern w:val="0"/>
                <w:szCs w:val="21"/>
              </w:rPr>
            </w:pPr>
            <w:r>
              <w:rPr>
                <w:rFonts w:ascii="Arial" w:cs="Arial" w:hAnsiTheme="minorEastAsia" w:eastAsiaTheme="minorEastAsia"/>
                <w:color w:val="000000"/>
                <w:kern w:val="0"/>
                <w:szCs w:val="21"/>
              </w:rPr>
              <w:t>有喷淋</w:t>
            </w:r>
          </w:p>
        </w:tc>
        <w:tc>
          <w:tcPr>
            <w:tcW w:w="947" w:type="dxa"/>
          </w:tcPr>
          <w:p>
            <w:pPr>
              <w:widowControl/>
              <w:jc w:val="center"/>
              <w:rPr>
                <w:rFonts w:ascii="Arial" w:hAnsi="Arial" w:cs="Arial" w:eastAsiaTheme="minorEastAsia"/>
                <w:color w:val="000000"/>
                <w:kern w:val="0"/>
                <w:szCs w:val="21"/>
              </w:rPr>
            </w:pPr>
            <w:r>
              <w:rPr>
                <w:rFonts w:ascii="Arial" w:cs="Arial" w:hAnsiTheme="minorEastAsia" w:eastAsiaTheme="minorEastAsia"/>
                <w:color w:val="000000"/>
                <w:kern w:val="0"/>
                <w:szCs w:val="21"/>
              </w:rPr>
              <w:t>无喷淋</w:t>
            </w:r>
          </w:p>
        </w:tc>
        <w:tc>
          <w:tcPr>
            <w:tcW w:w="947" w:type="dxa"/>
          </w:tcPr>
          <w:p>
            <w:pPr>
              <w:widowControl/>
              <w:jc w:val="center"/>
              <w:rPr>
                <w:rFonts w:ascii="Arial" w:hAnsi="Arial" w:cs="Arial" w:eastAsiaTheme="minorEastAsia"/>
                <w:color w:val="000000"/>
                <w:kern w:val="0"/>
                <w:szCs w:val="21"/>
              </w:rPr>
            </w:pPr>
            <w:r>
              <w:rPr>
                <w:rFonts w:ascii="Arial" w:cs="Arial" w:hAnsiTheme="minorEastAsia" w:eastAsiaTheme="minorEastAsia"/>
                <w:color w:val="000000"/>
                <w:kern w:val="0"/>
                <w:szCs w:val="21"/>
              </w:rPr>
              <w:t>有喷淋</w:t>
            </w:r>
          </w:p>
        </w:tc>
        <w:tc>
          <w:tcPr>
            <w:tcW w:w="947" w:type="dxa"/>
          </w:tcPr>
          <w:p>
            <w:pPr>
              <w:widowControl/>
              <w:jc w:val="center"/>
              <w:rPr>
                <w:rFonts w:ascii="Arial" w:hAnsi="Arial" w:cs="Arial" w:eastAsiaTheme="minorEastAsia"/>
                <w:color w:val="000000"/>
                <w:kern w:val="0"/>
                <w:szCs w:val="21"/>
              </w:rPr>
            </w:pPr>
            <w:r>
              <w:rPr>
                <w:rFonts w:ascii="Arial" w:cs="Arial" w:hAnsiTheme="minorEastAsia" w:eastAsiaTheme="minorEastAsia"/>
                <w:color w:val="000000"/>
                <w:kern w:val="0"/>
                <w:szCs w:val="21"/>
              </w:rPr>
              <w:t>无喷淋</w:t>
            </w:r>
          </w:p>
        </w:tc>
        <w:tc>
          <w:tcPr>
            <w:tcW w:w="947" w:type="dxa"/>
          </w:tcPr>
          <w:p>
            <w:pPr>
              <w:widowControl/>
              <w:jc w:val="center"/>
              <w:rPr>
                <w:rFonts w:ascii="Arial" w:hAnsi="Arial" w:cs="Arial" w:eastAsiaTheme="minorEastAsia"/>
                <w:color w:val="000000"/>
                <w:kern w:val="0"/>
                <w:szCs w:val="21"/>
              </w:rPr>
            </w:pPr>
            <w:r>
              <w:rPr>
                <w:rFonts w:ascii="Arial" w:cs="Arial" w:hAnsiTheme="minorEastAsia" w:eastAsiaTheme="minorEastAsia"/>
                <w:color w:val="000000"/>
                <w:kern w:val="0"/>
                <w:szCs w:val="21"/>
              </w:rPr>
              <w:t>有喷淋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Pr>
          <w:p>
            <w:pPr>
              <w:widowControl/>
              <w:jc w:val="center"/>
              <w:rPr>
                <w:rFonts w:ascii="Arial" w:hAnsi="Arial" w:cs="Arial" w:eastAsiaTheme="minorEastAsia"/>
                <w:color w:val="000000"/>
                <w:kern w:val="0"/>
                <w:szCs w:val="21"/>
              </w:rPr>
            </w:pPr>
            <w:r>
              <w:rPr>
                <w:rFonts w:ascii="Arial" w:hAnsi="Arial" w:cs="Arial" w:eastAsiaTheme="minorEastAsia"/>
                <w:color w:val="000000"/>
                <w:kern w:val="0"/>
                <w:szCs w:val="21"/>
              </w:rPr>
              <w:t>3.0</w:t>
            </w:r>
          </w:p>
        </w:tc>
        <w:tc>
          <w:tcPr>
            <w:tcW w:w="1218" w:type="dxa"/>
          </w:tcPr>
          <w:p>
            <w:pPr>
              <w:widowControl/>
              <w:jc w:val="center"/>
              <w:rPr>
                <w:rFonts w:ascii="Arial" w:hAnsi="Arial" w:cs="Arial" w:eastAsiaTheme="minorEastAsia"/>
                <w:color w:val="000000"/>
                <w:kern w:val="0"/>
                <w:szCs w:val="21"/>
              </w:rPr>
            </w:pPr>
            <w:r>
              <w:rPr>
                <w:rFonts w:ascii="Arial" w:hAnsi="Arial" w:cs="Arial" w:eastAsiaTheme="minorEastAsia"/>
                <w:color w:val="000000"/>
                <w:kern w:val="0"/>
                <w:szCs w:val="21"/>
              </w:rPr>
              <w:t>7.8</w:t>
            </w:r>
          </w:p>
        </w:tc>
        <w:tc>
          <w:tcPr>
            <w:tcW w:w="947" w:type="dxa"/>
          </w:tcPr>
          <w:p>
            <w:pPr>
              <w:widowControl/>
              <w:jc w:val="center"/>
              <w:rPr>
                <w:rFonts w:ascii="Arial" w:hAnsi="Arial" w:cs="Arial" w:eastAsiaTheme="minorEastAsia"/>
                <w:color w:val="000000"/>
                <w:kern w:val="0"/>
                <w:szCs w:val="21"/>
              </w:rPr>
            </w:pPr>
            <w:r>
              <w:rPr>
                <w:rFonts w:ascii="Arial" w:hAnsi="Arial" w:cs="Arial" w:eastAsiaTheme="minorEastAsia"/>
                <w:color w:val="000000"/>
                <w:kern w:val="0"/>
                <w:szCs w:val="21"/>
              </w:rPr>
              <w:t>2.7</w:t>
            </w:r>
          </w:p>
        </w:tc>
        <w:tc>
          <w:tcPr>
            <w:tcW w:w="947" w:type="dxa"/>
          </w:tcPr>
          <w:p>
            <w:pPr>
              <w:widowControl/>
              <w:jc w:val="center"/>
              <w:rPr>
                <w:rFonts w:ascii="Arial" w:hAnsi="Arial" w:cs="Arial" w:eastAsiaTheme="minorEastAsia"/>
                <w:color w:val="000000"/>
                <w:kern w:val="0"/>
                <w:szCs w:val="21"/>
              </w:rPr>
            </w:pPr>
            <w:r>
              <w:rPr>
                <w:rFonts w:ascii="Arial" w:hAnsi="Arial" w:cs="Arial" w:eastAsiaTheme="minorEastAsia"/>
                <w:color w:val="000000"/>
                <w:kern w:val="0"/>
                <w:szCs w:val="21"/>
              </w:rPr>
              <w:t>12.0</w:t>
            </w:r>
          </w:p>
        </w:tc>
        <w:tc>
          <w:tcPr>
            <w:tcW w:w="947" w:type="dxa"/>
          </w:tcPr>
          <w:p>
            <w:pPr>
              <w:widowControl/>
              <w:jc w:val="center"/>
              <w:rPr>
                <w:rFonts w:ascii="Arial" w:hAnsi="Arial" w:cs="Arial" w:eastAsiaTheme="minorEastAsia"/>
                <w:color w:val="000000"/>
                <w:kern w:val="0"/>
                <w:szCs w:val="21"/>
              </w:rPr>
            </w:pPr>
            <w:r>
              <w:rPr>
                <w:rFonts w:ascii="Arial" w:hAnsi="Arial" w:cs="Arial" w:eastAsiaTheme="minorEastAsia"/>
                <w:color w:val="000000"/>
                <w:kern w:val="0"/>
                <w:szCs w:val="21"/>
              </w:rPr>
              <w:t>4.5</w:t>
            </w:r>
          </w:p>
        </w:tc>
        <w:tc>
          <w:tcPr>
            <w:tcW w:w="947" w:type="dxa"/>
          </w:tcPr>
          <w:p>
            <w:pPr>
              <w:widowControl/>
              <w:jc w:val="center"/>
              <w:rPr>
                <w:rFonts w:ascii="Arial" w:hAnsi="Arial" w:cs="Arial" w:eastAsiaTheme="minorEastAsia"/>
                <w:color w:val="000000"/>
                <w:kern w:val="0"/>
                <w:szCs w:val="21"/>
              </w:rPr>
            </w:pPr>
            <w:r>
              <w:rPr>
                <w:rFonts w:ascii="Arial" w:hAnsi="Arial" w:cs="Arial" w:eastAsiaTheme="minorEastAsia"/>
                <w:color w:val="000000"/>
                <w:kern w:val="0"/>
                <w:szCs w:val="21"/>
              </w:rPr>
              <w:t>9.9</w:t>
            </w:r>
          </w:p>
        </w:tc>
        <w:tc>
          <w:tcPr>
            <w:tcW w:w="947" w:type="dxa"/>
          </w:tcPr>
          <w:p>
            <w:pPr>
              <w:widowControl/>
              <w:jc w:val="center"/>
              <w:rPr>
                <w:rFonts w:ascii="Arial" w:hAnsi="Arial" w:cs="Arial" w:eastAsiaTheme="minorEastAsia"/>
                <w:color w:val="000000"/>
                <w:kern w:val="0"/>
                <w:szCs w:val="21"/>
              </w:rPr>
            </w:pPr>
            <w:r>
              <w:rPr>
                <w:rFonts w:ascii="Arial" w:hAnsi="Arial" w:cs="Arial" w:eastAsiaTheme="minorEastAsia"/>
                <w:color w:val="000000"/>
                <w:kern w:val="0"/>
                <w:szCs w:val="21"/>
              </w:rPr>
              <w:t>3.9</w:t>
            </w:r>
          </w:p>
        </w:tc>
        <w:tc>
          <w:tcPr>
            <w:tcW w:w="947" w:type="dxa"/>
          </w:tcPr>
          <w:p>
            <w:pPr>
              <w:widowControl/>
              <w:jc w:val="center"/>
              <w:rPr>
                <w:rFonts w:ascii="Arial" w:hAnsi="Arial" w:cs="Arial" w:eastAsiaTheme="minorEastAsia"/>
                <w:color w:val="000000"/>
                <w:kern w:val="0"/>
                <w:szCs w:val="21"/>
              </w:rPr>
            </w:pPr>
            <w:r>
              <w:rPr>
                <w:rFonts w:ascii="Arial" w:hAnsi="Arial" w:cs="Arial" w:eastAsiaTheme="minorEastAsia"/>
                <w:color w:val="000000"/>
                <w:kern w:val="0"/>
                <w:szCs w:val="21"/>
              </w:rPr>
              <w:t>21.6</w:t>
            </w:r>
          </w:p>
        </w:tc>
        <w:tc>
          <w:tcPr>
            <w:tcW w:w="947" w:type="dxa"/>
          </w:tcPr>
          <w:p>
            <w:pPr>
              <w:widowControl/>
              <w:jc w:val="center"/>
              <w:rPr>
                <w:rFonts w:ascii="Arial" w:hAnsi="Arial" w:cs="Arial" w:eastAsiaTheme="minorEastAsia"/>
                <w:color w:val="000000"/>
                <w:kern w:val="0"/>
                <w:szCs w:val="21"/>
              </w:rPr>
            </w:pPr>
            <w:r>
              <w:rPr>
                <w:rFonts w:ascii="Arial" w:hAnsi="Arial" w:cs="Arial" w:eastAsiaTheme="minorEastAsia"/>
                <w:color w:val="000000"/>
                <w:kern w:val="0"/>
                <w:szCs w:val="21"/>
              </w:rPr>
              <w:t>5.6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Pr>
          <w:p>
            <w:pPr>
              <w:widowControl/>
              <w:jc w:val="center"/>
              <w:rPr>
                <w:rFonts w:ascii="Arial" w:hAnsi="Arial" w:cs="Arial" w:eastAsiaTheme="minorEastAsia"/>
                <w:color w:val="000000"/>
                <w:kern w:val="0"/>
                <w:szCs w:val="21"/>
              </w:rPr>
            </w:pPr>
            <w:r>
              <w:rPr>
                <w:rFonts w:ascii="Arial" w:hAnsi="Arial" w:cs="Arial" w:eastAsiaTheme="minorEastAsia"/>
                <w:color w:val="000000"/>
                <w:kern w:val="0"/>
                <w:szCs w:val="21"/>
              </w:rPr>
              <w:t>4.0</w:t>
            </w:r>
          </w:p>
        </w:tc>
        <w:tc>
          <w:tcPr>
            <w:tcW w:w="1218" w:type="dxa"/>
          </w:tcPr>
          <w:p>
            <w:pPr>
              <w:widowControl/>
              <w:jc w:val="center"/>
              <w:rPr>
                <w:rFonts w:ascii="Arial" w:hAnsi="Arial" w:cs="Arial" w:eastAsiaTheme="minorEastAsia"/>
                <w:color w:val="000000"/>
                <w:kern w:val="0"/>
                <w:szCs w:val="21"/>
              </w:rPr>
            </w:pPr>
            <w:r>
              <w:rPr>
                <w:rFonts w:ascii="Arial" w:hAnsi="Arial" w:cs="Arial" w:eastAsiaTheme="minorEastAsia"/>
                <w:color w:val="000000"/>
                <w:kern w:val="0"/>
                <w:szCs w:val="21"/>
              </w:rPr>
              <w:t>9.3</w:t>
            </w:r>
          </w:p>
        </w:tc>
        <w:tc>
          <w:tcPr>
            <w:tcW w:w="947" w:type="dxa"/>
          </w:tcPr>
          <w:p>
            <w:pPr>
              <w:widowControl/>
              <w:jc w:val="center"/>
              <w:rPr>
                <w:rFonts w:ascii="Arial" w:hAnsi="Arial" w:cs="Arial" w:eastAsiaTheme="minorEastAsia"/>
                <w:color w:val="000000"/>
                <w:kern w:val="0"/>
                <w:szCs w:val="21"/>
              </w:rPr>
            </w:pPr>
            <w:r>
              <w:rPr>
                <w:rFonts w:ascii="Arial" w:hAnsi="Arial" w:cs="Arial" w:eastAsiaTheme="minorEastAsia"/>
                <w:color w:val="000000"/>
                <w:kern w:val="0"/>
                <w:szCs w:val="21"/>
              </w:rPr>
              <w:t>3.4</w:t>
            </w:r>
          </w:p>
        </w:tc>
        <w:tc>
          <w:tcPr>
            <w:tcW w:w="947" w:type="dxa"/>
          </w:tcPr>
          <w:p>
            <w:pPr>
              <w:widowControl/>
              <w:jc w:val="center"/>
              <w:rPr>
                <w:rFonts w:ascii="Arial" w:hAnsi="Arial" w:cs="Arial" w:eastAsiaTheme="minorEastAsia"/>
                <w:color w:val="000000"/>
                <w:kern w:val="0"/>
                <w:szCs w:val="21"/>
              </w:rPr>
            </w:pPr>
            <w:r>
              <w:rPr>
                <w:rFonts w:ascii="Arial" w:hAnsi="Arial" w:cs="Arial" w:eastAsiaTheme="minorEastAsia"/>
                <w:color w:val="000000"/>
                <w:kern w:val="0"/>
                <w:szCs w:val="21"/>
              </w:rPr>
              <w:t>13.9</w:t>
            </w:r>
          </w:p>
        </w:tc>
        <w:tc>
          <w:tcPr>
            <w:tcW w:w="947" w:type="dxa"/>
          </w:tcPr>
          <w:p>
            <w:pPr>
              <w:widowControl/>
              <w:jc w:val="center"/>
              <w:rPr>
                <w:rFonts w:ascii="Arial" w:hAnsi="Arial" w:cs="Arial" w:eastAsiaTheme="minorEastAsia"/>
                <w:color w:val="000000"/>
                <w:kern w:val="0"/>
                <w:szCs w:val="21"/>
              </w:rPr>
            </w:pPr>
            <w:r>
              <w:rPr>
                <w:rFonts w:ascii="Arial" w:hAnsi="Arial" w:cs="Arial" w:eastAsiaTheme="minorEastAsia"/>
                <w:color w:val="000000"/>
                <w:kern w:val="0"/>
                <w:szCs w:val="21"/>
              </w:rPr>
              <w:t>5.4</w:t>
            </w:r>
          </w:p>
        </w:tc>
        <w:tc>
          <w:tcPr>
            <w:tcW w:w="947" w:type="dxa"/>
          </w:tcPr>
          <w:p>
            <w:pPr>
              <w:widowControl/>
              <w:jc w:val="center"/>
              <w:rPr>
                <w:rFonts w:ascii="Arial" w:hAnsi="Arial" w:cs="Arial" w:eastAsiaTheme="minorEastAsia"/>
                <w:color w:val="000000"/>
                <w:kern w:val="0"/>
                <w:szCs w:val="21"/>
              </w:rPr>
            </w:pPr>
            <w:r>
              <w:rPr>
                <w:rFonts w:ascii="Arial" w:hAnsi="Arial" w:cs="Arial" w:eastAsiaTheme="minorEastAsia"/>
                <w:color w:val="000000"/>
                <w:kern w:val="0"/>
                <w:szCs w:val="21"/>
              </w:rPr>
              <w:t>11.6</w:t>
            </w:r>
          </w:p>
        </w:tc>
        <w:tc>
          <w:tcPr>
            <w:tcW w:w="947" w:type="dxa"/>
          </w:tcPr>
          <w:p>
            <w:pPr>
              <w:widowControl/>
              <w:jc w:val="center"/>
              <w:rPr>
                <w:rFonts w:ascii="Arial" w:hAnsi="Arial" w:cs="Arial" w:eastAsiaTheme="minorEastAsia"/>
                <w:color w:val="000000"/>
                <w:kern w:val="0"/>
                <w:szCs w:val="21"/>
              </w:rPr>
            </w:pPr>
            <w:r>
              <w:rPr>
                <w:rFonts w:ascii="Arial" w:hAnsi="Arial" w:cs="Arial" w:eastAsiaTheme="minorEastAsia"/>
                <w:color w:val="000000"/>
                <w:kern w:val="0"/>
                <w:szCs w:val="21"/>
              </w:rPr>
              <w:t>4.8</w:t>
            </w:r>
          </w:p>
        </w:tc>
        <w:tc>
          <w:tcPr>
            <w:tcW w:w="947" w:type="dxa"/>
          </w:tcPr>
          <w:p>
            <w:pPr>
              <w:widowControl/>
              <w:jc w:val="center"/>
              <w:rPr>
                <w:rFonts w:ascii="Arial" w:hAnsi="Arial" w:cs="Arial" w:eastAsiaTheme="minorEastAsia"/>
                <w:color w:val="000000"/>
                <w:kern w:val="0"/>
                <w:szCs w:val="21"/>
              </w:rPr>
            </w:pPr>
            <w:r>
              <w:rPr>
                <w:rFonts w:ascii="Arial" w:hAnsi="Arial" w:cs="Arial" w:eastAsiaTheme="minorEastAsia"/>
                <w:color w:val="000000"/>
                <w:kern w:val="0"/>
                <w:szCs w:val="21"/>
              </w:rPr>
              <w:t>24.5</w:t>
            </w:r>
          </w:p>
        </w:tc>
        <w:tc>
          <w:tcPr>
            <w:tcW w:w="947" w:type="dxa"/>
          </w:tcPr>
          <w:p>
            <w:pPr>
              <w:widowControl/>
              <w:jc w:val="center"/>
              <w:rPr>
                <w:rFonts w:ascii="Arial" w:hAnsi="Arial" w:cs="Arial" w:eastAsiaTheme="minorEastAsia"/>
                <w:color w:val="000000"/>
                <w:kern w:val="0"/>
                <w:szCs w:val="21"/>
              </w:rPr>
            </w:pPr>
            <w:r>
              <w:rPr>
                <w:rFonts w:ascii="Arial" w:hAnsi="Arial" w:cs="Arial" w:eastAsiaTheme="minorEastAsia"/>
                <w:color w:val="000000"/>
                <w:kern w:val="0"/>
                <w:szCs w:val="21"/>
              </w:rPr>
              <w:t>6.8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Pr>
          <w:p>
            <w:pPr>
              <w:widowControl/>
              <w:jc w:val="center"/>
              <w:rPr>
                <w:rFonts w:ascii="Arial" w:hAnsi="Arial" w:cs="Arial" w:eastAsiaTheme="minorEastAsia"/>
                <w:color w:val="000000"/>
                <w:kern w:val="0"/>
                <w:szCs w:val="21"/>
              </w:rPr>
            </w:pPr>
            <w:r>
              <w:rPr>
                <w:rFonts w:ascii="Arial" w:hAnsi="Arial" w:cs="Arial" w:eastAsiaTheme="minorEastAsia"/>
                <w:color w:val="000000"/>
                <w:kern w:val="0"/>
                <w:szCs w:val="21"/>
              </w:rPr>
              <w:t>5.0</w:t>
            </w:r>
          </w:p>
        </w:tc>
        <w:tc>
          <w:tcPr>
            <w:tcW w:w="1218" w:type="dxa"/>
          </w:tcPr>
          <w:p>
            <w:pPr>
              <w:widowControl/>
              <w:jc w:val="center"/>
              <w:rPr>
                <w:rFonts w:ascii="Arial" w:hAnsi="Arial" w:cs="Arial" w:eastAsiaTheme="minorEastAsia"/>
                <w:color w:val="000000"/>
                <w:kern w:val="0"/>
                <w:szCs w:val="21"/>
              </w:rPr>
            </w:pPr>
            <w:r>
              <w:rPr>
                <w:rFonts w:ascii="Arial" w:hAnsi="Arial" w:cs="Arial" w:eastAsiaTheme="minorEastAsia"/>
                <w:color w:val="000000"/>
                <w:kern w:val="0"/>
                <w:szCs w:val="21"/>
              </w:rPr>
              <w:t>10.7</w:t>
            </w:r>
          </w:p>
        </w:tc>
        <w:tc>
          <w:tcPr>
            <w:tcW w:w="947" w:type="dxa"/>
          </w:tcPr>
          <w:p>
            <w:pPr>
              <w:widowControl/>
              <w:jc w:val="center"/>
              <w:rPr>
                <w:rFonts w:ascii="Arial" w:hAnsi="Arial" w:cs="Arial" w:eastAsiaTheme="minorEastAsia"/>
                <w:color w:val="000000"/>
                <w:kern w:val="0"/>
                <w:szCs w:val="21"/>
              </w:rPr>
            </w:pPr>
            <w:r>
              <w:rPr>
                <w:rFonts w:ascii="Arial" w:hAnsi="Arial" w:cs="Arial" w:eastAsiaTheme="minorEastAsia"/>
                <w:color w:val="000000"/>
                <w:kern w:val="0"/>
                <w:szCs w:val="21"/>
              </w:rPr>
              <w:t>4.3</w:t>
            </w:r>
          </w:p>
        </w:tc>
        <w:tc>
          <w:tcPr>
            <w:tcW w:w="947" w:type="dxa"/>
          </w:tcPr>
          <w:p>
            <w:pPr>
              <w:widowControl/>
              <w:jc w:val="center"/>
              <w:rPr>
                <w:rFonts w:ascii="Arial" w:hAnsi="Arial" w:cs="Arial" w:eastAsiaTheme="minorEastAsia"/>
                <w:color w:val="000000"/>
                <w:kern w:val="0"/>
                <w:szCs w:val="21"/>
              </w:rPr>
            </w:pPr>
            <w:r>
              <w:rPr>
                <w:rFonts w:ascii="Arial" w:hAnsi="Arial" w:cs="Arial" w:eastAsiaTheme="minorEastAsia"/>
                <w:color w:val="000000"/>
                <w:kern w:val="0"/>
                <w:szCs w:val="21"/>
              </w:rPr>
              <w:t>15.9</w:t>
            </w:r>
          </w:p>
        </w:tc>
        <w:tc>
          <w:tcPr>
            <w:tcW w:w="947" w:type="dxa"/>
          </w:tcPr>
          <w:p>
            <w:pPr>
              <w:widowControl/>
              <w:jc w:val="center"/>
              <w:rPr>
                <w:rFonts w:ascii="Arial" w:hAnsi="Arial" w:cs="Arial" w:eastAsiaTheme="minorEastAsia"/>
                <w:color w:val="000000"/>
                <w:kern w:val="0"/>
                <w:szCs w:val="21"/>
              </w:rPr>
            </w:pPr>
            <w:r>
              <w:rPr>
                <w:rFonts w:ascii="Arial" w:hAnsi="Arial" w:cs="Arial" w:eastAsiaTheme="minorEastAsia"/>
                <w:color w:val="000000"/>
                <w:kern w:val="0"/>
                <w:szCs w:val="21"/>
              </w:rPr>
              <w:t>6.6</w:t>
            </w:r>
          </w:p>
        </w:tc>
        <w:tc>
          <w:tcPr>
            <w:tcW w:w="947" w:type="dxa"/>
          </w:tcPr>
          <w:p>
            <w:pPr>
              <w:widowControl/>
              <w:jc w:val="center"/>
              <w:rPr>
                <w:rFonts w:ascii="Arial" w:hAnsi="Arial" w:cs="Arial" w:eastAsiaTheme="minorEastAsia"/>
                <w:color w:val="000000"/>
                <w:kern w:val="0"/>
                <w:szCs w:val="21"/>
              </w:rPr>
            </w:pPr>
            <w:r>
              <w:rPr>
                <w:rFonts w:ascii="Arial" w:hAnsi="Arial" w:cs="Arial" w:eastAsiaTheme="minorEastAsia"/>
                <w:color w:val="000000"/>
                <w:kern w:val="0"/>
                <w:szCs w:val="21"/>
              </w:rPr>
              <w:t>13.3</w:t>
            </w:r>
          </w:p>
        </w:tc>
        <w:tc>
          <w:tcPr>
            <w:tcW w:w="947" w:type="dxa"/>
          </w:tcPr>
          <w:p>
            <w:pPr>
              <w:widowControl/>
              <w:jc w:val="center"/>
              <w:rPr>
                <w:rFonts w:ascii="Arial" w:hAnsi="Arial" w:cs="Arial" w:eastAsiaTheme="minorEastAsia"/>
                <w:color w:val="000000"/>
                <w:kern w:val="0"/>
                <w:szCs w:val="21"/>
              </w:rPr>
            </w:pPr>
            <w:r>
              <w:rPr>
                <w:rFonts w:ascii="Arial" w:hAnsi="Arial" w:cs="Arial" w:eastAsiaTheme="minorEastAsia"/>
                <w:color w:val="000000"/>
                <w:kern w:val="0"/>
                <w:szCs w:val="21"/>
              </w:rPr>
              <w:t>5.9</w:t>
            </w:r>
          </w:p>
        </w:tc>
        <w:tc>
          <w:tcPr>
            <w:tcW w:w="947" w:type="dxa"/>
          </w:tcPr>
          <w:p>
            <w:pPr>
              <w:widowControl/>
              <w:jc w:val="center"/>
              <w:rPr>
                <w:rFonts w:ascii="Arial" w:hAnsi="Arial" w:cs="Arial" w:eastAsiaTheme="minorEastAsia"/>
                <w:color w:val="000000"/>
                <w:kern w:val="0"/>
                <w:szCs w:val="21"/>
              </w:rPr>
            </w:pPr>
            <w:r>
              <w:rPr>
                <w:rFonts w:ascii="Arial" w:hAnsi="Arial" w:cs="Arial" w:eastAsiaTheme="minorEastAsia"/>
                <w:color w:val="000000"/>
                <w:kern w:val="0"/>
                <w:szCs w:val="21"/>
              </w:rPr>
              <w:t>27.5</w:t>
            </w:r>
          </w:p>
        </w:tc>
        <w:tc>
          <w:tcPr>
            <w:tcW w:w="947" w:type="dxa"/>
          </w:tcPr>
          <w:p>
            <w:pPr>
              <w:widowControl/>
              <w:jc w:val="center"/>
              <w:rPr>
                <w:rFonts w:ascii="Arial" w:hAnsi="Arial" w:cs="Arial" w:eastAsiaTheme="minorEastAsia"/>
                <w:color w:val="000000"/>
                <w:kern w:val="0"/>
                <w:szCs w:val="21"/>
              </w:rPr>
            </w:pPr>
            <w:r>
              <w:rPr>
                <w:rFonts w:ascii="Arial" w:hAnsi="Arial" w:cs="Arial" w:eastAsiaTheme="minorEastAsia"/>
                <w:color w:val="000000"/>
                <w:kern w:val="0"/>
                <w:szCs w:val="21"/>
              </w:rPr>
              <w:t>8.0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Pr>
          <w:p>
            <w:pPr>
              <w:widowControl/>
              <w:jc w:val="center"/>
              <w:rPr>
                <w:rFonts w:ascii="Arial" w:hAnsi="Arial" w:cs="Arial" w:eastAsiaTheme="minorEastAsia"/>
                <w:color w:val="000000"/>
                <w:kern w:val="0"/>
                <w:szCs w:val="21"/>
              </w:rPr>
            </w:pPr>
            <w:r>
              <w:rPr>
                <w:rFonts w:ascii="Arial" w:hAnsi="Arial" w:cs="Arial" w:eastAsiaTheme="minorEastAsia"/>
                <w:color w:val="000000"/>
                <w:kern w:val="0"/>
                <w:szCs w:val="21"/>
              </w:rPr>
              <w:t>6.0</w:t>
            </w:r>
          </w:p>
        </w:tc>
        <w:tc>
          <w:tcPr>
            <w:tcW w:w="1218" w:type="dxa"/>
          </w:tcPr>
          <w:p>
            <w:pPr>
              <w:widowControl/>
              <w:jc w:val="center"/>
              <w:rPr>
                <w:rFonts w:ascii="Arial" w:hAnsi="Arial" w:cs="Arial" w:eastAsiaTheme="minorEastAsia"/>
                <w:color w:val="000000"/>
                <w:kern w:val="0"/>
                <w:szCs w:val="21"/>
              </w:rPr>
            </w:pPr>
            <w:r>
              <w:rPr>
                <w:rFonts w:ascii="Arial" w:hAnsi="Arial" w:cs="Arial" w:eastAsiaTheme="minorEastAsia"/>
                <w:color w:val="000000"/>
                <w:kern w:val="0"/>
                <w:szCs w:val="21"/>
              </w:rPr>
              <w:t>12.2</w:t>
            </w:r>
          </w:p>
        </w:tc>
        <w:tc>
          <w:tcPr>
            <w:tcW w:w="947" w:type="dxa"/>
          </w:tcPr>
          <w:p>
            <w:pPr>
              <w:widowControl/>
              <w:jc w:val="center"/>
              <w:rPr>
                <w:rFonts w:ascii="Arial" w:hAnsi="Arial" w:cs="Arial" w:eastAsiaTheme="minorEastAsia"/>
                <w:color w:val="000000"/>
                <w:kern w:val="0"/>
                <w:szCs w:val="21"/>
              </w:rPr>
            </w:pPr>
            <w:r>
              <w:rPr>
                <w:rFonts w:ascii="Arial" w:hAnsi="Arial" w:cs="Arial" w:eastAsiaTheme="minorEastAsia"/>
                <w:color w:val="000000"/>
                <w:kern w:val="0"/>
                <w:szCs w:val="21"/>
              </w:rPr>
              <w:t>5.2</w:t>
            </w:r>
          </w:p>
        </w:tc>
        <w:tc>
          <w:tcPr>
            <w:tcW w:w="947" w:type="dxa"/>
          </w:tcPr>
          <w:p>
            <w:pPr>
              <w:widowControl/>
              <w:jc w:val="center"/>
              <w:rPr>
                <w:rFonts w:ascii="Arial" w:hAnsi="Arial" w:cs="Arial" w:eastAsiaTheme="minorEastAsia"/>
                <w:color w:val="000000"/>
                <w:kern w:val="0"/>
                <w:szCs w:val="21"/>
              </w:rPr>
            </w:pPr>
            <w:r>
              <w:rPr>
                <w:rFonts w:ascii="Arial" w:hAnsi="Arial" w:cs="Arial" w:eastAsiaTheme="minorEastAsia"/>
                <w:color w:val="000000"/>
                <w:kern w:val="0"/>
                <w:szCs w:val="21"/>
              </w:rPr>
              <w:t>17.6</w:t>
            </w:r>
          </w:p>
        </w:tc>
        <w:tc>
          <w:tcPr>
            <w:tcW w:w="947" w:type="dxa"/>
          </w:tcPr>
          <w:p>
            <w:pPr>
              <w:widowControl/>
              <w:jc w:val="center"/>
              <w:rPr>
                <w:rFonts w:ascii="Arial" w:hAnsi="Arial" w:cs="Arial" w:eastAsiaTheme="minorEastAsia"/>
                <w:color w:val="000000"/>
                <w:kern w:val="0"/>
                <w:szCs w:val="21"/>
              </w:rPr>
            </w:pPr>
            <w:r>
              <w:rPr>
                <w:rFonts w:ascii="Arial" w:hAnsi="Arial" w:cs="Arial" w:eastAsiaTheme="minorEastAsia"/>
                <w:color w:val="000000"/>
                <w:kern w:val="0"/>
                <w:szCs w:val="21"/>
              </w:rPr>
              <w:t>7.8</w:t>
            </w:r>
          </w:p>
        </w:tc>
        <w:tc>
          <w:tcPr>
            <w:tcW w:w="947" w:type="dxa"/>
          </w:tcPr>
          <w:p>
            <w:pPr>
              <w:widowControl/>
              <w:jc w:val="center"/>
              <w:rPr>
                <w:rFonts w:ascii="Arial" w:hAnsi="Arial" w:cs="Arial" w:eastAsiaTheme="minorEastAsia"/>
                <w:color w:val="000000"/>
                <w:kern w:val="0"/>
                <w:szCs w:val="21"/>
              </w:rPr>
            </w:pPr>
            <w:r>
              <w:rPr>
                <w:rFonts w:ascii="Arial" w:hAnsi="Arial" w:cs="Arial" w:eastAsiaTheme="minorEastAsia"/>
                <w:color w:val="000000"/>
                <w:kern w:val="0"/>
                <w:szCs w:val="21"/>
              </w:rPr>
              <w:t>15.0</w:t>
            </w:r>
          </w:p>
        </w:tc>
        <w:tc>
          <w:tcPr>
            <w:tcW w:w="947" w:type="dxa"/>
          </w:tcPr>
          <w:p>
            <w:pPr>
              <w:widowControl/>
              <w:jc w:val="center"/>
              <w:rPr>
                <w:rFonts w:ascii="Arial" w:hAnsi="Arial" w:cs="Arial" w:eastAsiaTheme="minorEastAsia"/>
                <w:color w:val="000000"/>
                <w:kern w:val="0"/>
                <w:szCs w:val="21"/>
              </w:rPr>
            </w:pPr>
            <w:r>
              <w:rPr>
                <w:rFonts w:ascii="Arial" w:hAnsi="Arial" w:cs="Arial" w:eastAsiaTheme="minorEastAsia"/>
                <w:color w:val="000000"/>
                <w:kern w:val="0"/>
                <w:szCs w:val="21"/>
              </w:rPr>
              <w:t>7.0</w:t>
            </w:r>
          </w:p>
        </w:tc>
        <w:tc>
          <w:tcPr>
            <w:tcW w:w="947" w:type="dxa"/>
          </w:tcPr>
          <w:p>
            <w:pPr>
              <w:widowControl/>
              <w:jc w:val="center"/>
              <w:rPr>
                <w:rFonts w:ascii="Arial" w:hAnsi="Arial" w:cs="Arial" w:eastAsiaTheme="minorEastAsia"/>
                <w:color w:val="000000"/>
                <w:kern w:val="0"/>
                <w:szCs w:val="21"/>
              </w:rPr>
            </w:pPr>
            <w:r>
              <w:rPr>
                <w:rFonts w:ascii="Arial" w:hAnsi="Arial" w:cs="Arial" w:eastAsiaTheme="minorEastAsia"/>
                <w:color w:val="000000"/>
                <w:kern w:val="0"/>
                <w:szCs w:val="21"/>
              </w:rPr>
              <w:t>30.1</w:t>
            </w:r>
          </w:p>
        </w:tc>
        <w:tc>
          <w:tcPr>
            <w:tcW w:w="947" w:type="dxa"/>
          </w:tcPr>
          <w:p>
            <w:pPr>
              <w:widowControl/>
              <w:jc w:val="center"/>
              <w:rPr>
                <w:rFonts w:ascii="Arial" w:hAnsi="Arial" w:cs="Arial" w:eastAsiaTheme="minorEastAsia"/>
                <w:color w:val="000000"/>
                <w:kern w:val="0"/>
                <w:szCs w:val="21"/>
              </w:rPr>
            </w:pPr>
            <w:r>
              <w:rPr>
                <w:rFonts w:ascii="Arial" w:hAnsi="Arial" w:cs="Arial" w:eastAsiaTheme="minorEastAsia"/>
                <w:color w:val="000000"/>
                <w:kern w:val="0"/>
                <w:szCs w:val="21"/>
              </w:rPr>
              <w:t>9.3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Pr>
          <w:p>
            <w:pPr>
              <w:widowControl/>
              <w:jc w:val="center"/>
              <w:rPr>
                <w:rFonts w:ascii="Arial" w:hAnsi="Arial" w:cs="Arial" w:eastAsiaTheme="minorEastAsia"/>
                <w:color w:val="000000"/>
                <w:kern w:val="0"/>
                <w:szCs w:val="21"/>
              </w:rPr>
            </w:pPr>
            <w:r>
              <w:rPr>
                <w:rFonts w:ascii="Arial" w:hAnsi="Arial" w:cs="Arial" w:eastAsiaTheme="minorEastAsia"/>
                <w:color w:val="000000"/>
                <w:kern w:val="0"/>
                <w:szCs w:val="21"/>
              </w:rPr>
              <w:t>7.0</w:t>
            </w:r>
          </w:p>
        </w:tc>
        <w:tc>
          <w:tcPr>
            <w:tcW w:w="1218" w:type="dxa"/>
          </w:tcPr>
          <w:p>
            <w:pPr>
              <w:widowControl/>
              <w:jc w:val="center"/>
              <w:rPr>
                <w:rFonts w:ascii="Arial" w:hAnsi="Arial" w:cs="Arial" w:eastAsiaTheme="minorEastAsia"/>
                <w:color w:val="000000"/>
                <w:kern w:val="0"/>
                <w:szCs w:val="21"/>
              </w:rPr>
            </w:pPr>
            <w:r>
              <w:rPr>
                <w:rFonts w:ascii="Arial" w:hAnsi="Arial" w:cs="Arial" w:eastAsiaTheme="minorEastAsia"/>
                <w:color w:val="000000"/>
                <w:kern w:val="0"/>
                <w:szCs w:val="21"/>
              </w:rPr>
              <w:t>13.9</w:t>
            </w:r>
          </w:p>
        </w:tc>
        <w:tc>
          <w:tcPr>
            <w:tcW w:w="947" w:type="dxa"/>
          </w:tcPr>
          <w:p>
            <w:pPr>
              <w:widowControl/>
              <w:jc w:val="center"/>
              <w:rPr>
                <w:rFonts w:ascii="Arial" w:hAnsi="Arial" w:cs="Arial" w:eastAsiaTheme="minorEastAsia"/>
                <w:color w:val="000000"/>
                <w:kern w:val="0"/>
                <w:szCs w:val="21"/>
              </w:rPr>
            </w:pPr>
            <w:r>
              <w:rPr>
                <w:rFonts w:ascii="Arial" w:hAnsi="Arial" w:cs="Arial" w:eastAsiaTheme="minorEastAsia"/>
                <w:color w:val="000000"/>
                <w:kern w:val="0"/>
                <w:szCs w:val="21"/>
              </w:rPr>
              <w:t>6.3</w:t>
            </w:r>
          </w:p>
        </w:tc>
        <w:tc>
          <w:tcPr>
            <w:tcW w:w="947" w:type="dxa"/>
          </w:tcPr>
          <w:p>
            <w:pPr>
              <w:widowControl/>
              <w:jc w:val="center"/>
              <w:rPr>
                <w:rFonts w:ascii="Arial" w:hAnsi="Arial" w:cs="Arial" w:eastAsiaTheme="minorEastAsia"/>
                <w:color w:val="000000"/>
                <w:kern w:val="0"/>
                <w:szCs w:val="21"/>
              </w:rPr>
            </w:pPr>
            <w:r>
              <w:rPr>
                <w:rFonts w:ascii="Arial" w:hAnsi="Arial" w:cs="Arial" w:eastAsiaTheme="minorEastAsia"/>
                <w:color w:val="000000"/>
                <w:kern w:val="0"/>
                <w:szCs w:val="21"/>
              </w:rPr>
              <w:t>19.6</w:t>
            </w:r>
          </w:p>
        </w:tc>
        <w:tc>
          <w:tcPr>
            <w:tcW w:w="947" w:type="dxa"/>
          </w:tcPr>
          <w:p>
            <w:pPr>
              <w:widowControl/>
              <w:jc w:val="center"/>
              <w:rPr>
                <w:rFonts w:ascii="Arial" w:hAnsi="Arial" w:cs="Arial" w:eastAsiaTheme="minorEastAsia"/>
                <w:color w:val="000000"/>
                <w:kern w:val="0"/>
                <w:szCs w:val="21"/>
              </w:rPr>
            </w:pPr>
            <w:r>
              <w:rPr>
                <w:rFonts w:ascii="Arial" w:hAnsi="Arial" w:cs="Arial" w:eastAsiaTheme="minorEastAsia"/>
                <w:color w:val="000000"/>
                <w:kern w:val="0"/>
                <w:szCs w:val="21"/>
              </w:rPr>
              <w:t>9.1</w:t>
            </w:r>
          </w:p>
        </w:tc>
        <w:tc>
          <w:tcPr>
            <w:tcW w:w="947" w:type="dxa"/>
          </w:tcPr>
          <w:p>
            <w:pPr>
              <w:widowControl/>
              <w:jc w:val="center"/>
              <w:rPr>
                <w:rFonts w:ascii="Arial" w:hAnsi="Arial" w:cs="Arial" w:eastAsiaTheme="minorEastAsia"/>
                <w:color w:val="000000"/>
                <w:kern w:val="0"/>
                <w:szCs w:val="21"/>
              </w:rPr>
            </w:pPr>
            <w:r>
              <w:rPr>
                <w:rFonts w:ascii="Arial" w:hAnsi="Arial" w:cs="Arial" w:eastAsiaTheme="minorEastAsia"/>
                <w:color w:val="000000"/>
                <w:kern w:val="0"/>
                <w:szCs w:val="21"/>
              </w:rPr>
              <w:t>16.8</w:t>
            </w:r>
          </w:p>
        </w:tc>
        <w:tc>
          <w:tcPr>
            <w:tcW w:w="947" w:type="dxa"/>
          </w:tcPr>
          <w:p>
            <w:pPr>
              <w:widowControl/>
              <w:jc w:val="center"/>
              <w:rPr>
                <w:rFonts w:ascii="Arial" w:hAnsi="Arial" w:cs="Arial" w:eastAsiaTheme="minorEastAsia"/>
                <w:color w:val="000000"/>
                <w:kern w:val="0"/>
                <w:szCs w:val="21"/>
              </w:rPr>
            </w:pPr>
            <w:r>
              <w:rPr>
                <w:rFonts w:ascii="Arial" w:hAnsi="Arial" w:cs="Arial" w:eastAsiaTheme="minorEastAsia"/>
                <w:color w:val="000000"/>
                <w:kern w:val="0"/>
                <w:szCs w:val="21"/>
              </w:rPr>
              <w:t>8.2</w:t>
            </w:r>
          </w:p>
        </w:tc>
        <w:tc>
          <w:tcPr>
            <w:tcW w:w="947" w:type="dxa"/>
          </w:tcPr>
          <w:p>
            <w:pPr>
              <w:widowControl/>
              <w:jc w:val="center"/>
              <w:rPr>
                <w:rFonts w:ascii="Arial" w:hAnsi="Arial" w:cs="Arial" w:eastAsiaTheme="minorEastAsia"/>
                <w:color w:val="000000"/>
                <w:kern w:val="0"/>
                <w:szCs w:val="21"/>
              </w:rPr>
            </w:pPr>
            <w:r>
              <w:rPr>
                <w:rFonts w:ascii="Arial" w:hAnsi="Arial" w:cs="Arial" w:eastAsiaTheme="minorEastAsia"/>
                <w:color w:val="000000"/>
                <w:kern w:val="0"/>
                <w:szCs w:val="21"/>
              </w:rPr>
              <w:t>32.8</w:t>
            </w:r>
          </w:p>
        </w:tc>
        <w:tc>
          <w:tcPr>
            <w:tcW w:w="947" w:type="dxa"/>
          </w:tcPr>
          <w:p>
            <w:pPr>
              <w:widowControl/>
              <w:jc w:val="center"/>
              <w:rPr>
                <w:rFonts w:ascii="Arial" w:hAnsi="Arial" w:cs="Arial" w:eastAsiaTheme="minorEastAsia"/>
                <w:color w:val="000000"/>
                <w:kern w:val="0"/>
                <w:szCs w:val="21"/>
              </w:rPr>
            </w:pPr>
            <w:r>
              <w:rPr>
                <w:rFonts w:ascii="Arial" w:hAnsi="Arial" w:cs="Arial" w:eastAsiaTheme="minorEastAsia"/>
                <w:color w:val="000000"/>
                <w:kern w:val="0"/>
                <w:szCs w:val="21"/>
              </w:rPr>
              <w:t>10.8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Pr>
          <w:p>
            <w:pPr>
              <w:widowControl/>
              <w:jc w:val="center"/>
              <w:rPr>
                <w:rFonts w:ascii="Arial" w:hAnsi="Arial" w:cs="Arial" w:eastAsiaTheme="minorEastAsia"/>
                <w:color w:val="000000"/>
                <w:kern w:val="0"/>
                <w:szCs w:val="21"/>
              </w:rPr>
            </w:pPr>
            <w:r>
              <w:rPr>
                <w:rFonts w:ascii="Arial" w:hAnsi="Arial" w:cs="Arial" w:eastAsiaTheme="minorEastAsia"/>
                <w:color w:val="000000"/>
                <w:kern w:val="0"/>
                <w:szCs w:val="21"/>
              </w:rPr>
              <w:t>8.0</w:t>
            </w:r>
          </w:p>
        </w:tc>
        <w:tc>
          <w:tcPr>
            <w:tcW w:w="1218" w:type="dxa"/>
          </w:tcPr>
          <w:p>
            <w:pPr>
              <w:widowControl/>
              <w:jc w:val="center"/>
              <w:rPr>
                <w:rFonts w:ascii="Arial" w:hAnsi="Arial" w:cs="Arial" w:eastAsiaTheme="minorEastAsia"/>
                <w:color w:val="000000"/>
                <w:kern w:val="0"/>
                <w:szCs w:val="21"/>
              </w:rPr>
            </w:pPr>
            <w:r>
              <w:rPr>
                <w:rFonts w:ascii="Arial" w:hAnsi="Arial" w:cs="Arial" w:eastAsiaTheme="minorEastAsia"/>
                <w:color w:val="000000"/>
                <w:kern w:val="0"/>
                <w:szCs w:val="21"/>
              </w:rPr>
              <w:t>15.8</w:t>
            </w:r>
          </w:p>
        </w:tc>
        <w:tc>
          <w:tcPr>
            <w:tcW w:w="947" w:type="dxa"/>
          </w:tcPr>
          <w:p>
            <w:pPr>
              <w:widowControl/>
              <w:jc w:val="center"/>
              <w:rPr>
                <w:rFonts w:ascii="Arial" w:hAnsi="Arial" w:cs="Arial" w:eastAsiaTheme="minorEastAsia"/>
                <w:color w:val="000000"/>
                <w:kern w:val="0"/>
                <w:szCs w:val="21"/>
              </w:rPr>
            </w:pPr>
            <w:r>
              <w:rPr>
                <w:rFonts w:ascii="Arial" w:hAnsi="Arial" w:cs="Arial" w:eastAsiaTheme="minorEastAsia"/>
                <w:color w:val="000000"/>
                <w:kern w:val="0"/>
                <w:szCs w:val="21"/>
              </w:rPr>
              <w:t>7.4</w:t>
            </w:r>
          </w:p>
        </w:tc>
        <w:tc>
          <w:tcPr>
            <w:tcW w:w="947" w:type="dxa"/>
          </w:tcPr>
          <w:p>
            <w:pPr>
              <w:widowControl/>
              <w:jc w:val="center"/>
              <w:rPr>
                <w:rFonts w:ascii="Arial" w:hAnsi="Arial" w:cs="Arial" w:eastAsiaTheme="minorEastAsia"/>
                <w:color w:val="000000"/>
                <w:kern w:val="0"/>
                <w:szCs w:val="21"/>
              </w:rPr>
            </w:pPr>
            <w:r>
              <w:rPr>
                <w:rFonts w:ascii="Arial" w:hAnsi="Arial" w:cs="Arial" w:eastAsiaTheme="minorEastAsia"/>
                <w:color w:val="000000"/>
                <w:kern w:val="0"/>
                <w:szCs w:val="21"/>
              </w:rPr>
              <w:t>21.8</w:t>
            </w:r>
          </w:p>
        </w:tc>
        <w:tc>
          <w:tcPr>
            <w:tcW w:w="947" w:type="dxa"/>
          </w:tcPr>
          <w:p>
            <w:pPr>
              <w:widowControl/>
              <w:jc w:val="center"/>
              <w:rPr>
                <w:rFonts w:ascii="Arial" w:hAnsi="Arial" w:cs="Arial" w:eastAsiaTheme="minorEastAsia"/>
                <w:color w:val="000000"/>
                <w:kern w:val="0"/>
                <w:szCs w:val="21"/>
              </w:rPr>
            </w:pPr>
            <w:r>
              <w:rPr>
                <w:rFonts w:ascii="Arial" w:hAnsi="Arial" w:cs="Arial" w:eastAsiaTheme="minorEastAsia"/>
                <w:color w:val="000000"/>
                <w:kern w:val="0"/>
                <w:szCs w:val="21"/>
              </w:rPr>
              <w:t>10.6</w:t>
            </w:r>
          </w:p>
        </w:tc>
        <w:tc>
          <w:tcPr>
            <w:tcW w:w="947" w:type="dxa"/>
          </w:tcPr>
          <w:p>
            <w:pPr>
              <w:widowControl/>
              <w:jc w:val="center"/>
              <w:rPr>
                <w:rFonts w:ascii="Arial" w:hAnsi="Arial" w:cs="Arial" w:eastAsiaTheme="minorEastAsia"/>
                <w:color w:val="000000"/>
                <w:kern w:val="0"/>
                <w:szCs w:val="21"/>
              </w:rPr>
            </w:pPr>
            <w:r>
              <w:rPr>
                <w:rFonts w:ascii="Arial" w:hAnsi="Arial" w:cs="Arial" w:eastAsiaTheme="minorEastAsia"/>
                <w:color w:val="000000"/>
                <w:kern w:val="0"/>
                <w:szCs w:val="21"/>
              </w:rPr>
              <w:t>18.9</w:t>
            </w:r>
          </w:p>
        </w:tc>
        <w:tc>
          <w:tcPr>
            <w:tcW w:w="947" w:type="dxa"/>
          </w:tcPr>
          <w:p>
            <w:pPr>
              <w:widowControl/>
              <w:jc w:val="center"/>
              <w:rPr>
                <w:rFonts w:ascii="Arial" w:hAnsi="Arial" w:cs="Arial" w:eastAsiaTheme="minorEastAsia"/>
                <w:color w:val="000000"/>
                <w:kern w:val="0"/>
                <w:szCs w:val="21"/>
              </w:rPr>
            </w:pPr>
            <w:r>
              <w:rPr>
                <w:rFonts w:ascii="Arial" w:hAnsi="Arial" w:cs="Arial" w:eastAsiaTheme="minorEastAsia"/>
                <w:color w:val="000000"/>
                <w:kern w:val="0"/>
                <w:szCs w:val="21"/>
              </w:rPr>
              <w:t>9.6</w:t>
            </w:r>
          </w:p>
        </w:tc>
        <w:tc>
          <w:tcPr>
            <w:tcW w:w="947" w:type="dxa"/>
          </w:tcPr>
          <w:p>
            <w:pPr>
              <w:widowControl/>
              <w:jc w:val="center"/>
              <w:rPr>
                <w:rFonts w:ascii="Arial" w:hAnsi="Arial" w:cs="Arial" w:eastAsiaTheme="minorEastAsia"/>
                <w:color w:val="000000"/>
                <w:kern w:val="0"/>
                <w:szCs w:val="21"/>
              </w:rPr>
            </w:pPr>
            <w:r>
              <w:rPr>
                <w:rFonts w:ascii="Arial" w:hAnsi="Arial" w:cs="Arial" w:eastAsiaTheme="minorEastAsia"/>
                <w:color w:val="000000"/>
                <w:kern w:val="0"/>
                <w:szCs w:val="21"/>
              </w:rPr>
              <w:t>35.4</w:t>
            </w:r>
          </w:p>
        </w:tc>
        <w:tc>
          <w:tcPr>
            <w:tcW w:w="947" w:type="dxa"/>
          </w:tcPr>
          <w:p>
            <w:pPr>
              <w:widowControl/>
              <w:jc w:val="center"/>
              <w:rPr>
                <w:rFonts w:ascii="Arial" w:hAnsi="Arial" w:cs="Arial" w:eastAsiaTheme="minorEastAsia"/>
                <w:color w:val="000000"/>
                <w:kern w:val="0"/>
                <w:szCs w:val="21"/>
              </w:rPr>
            </w:pPr>
            <w:r>
              <w:rPr>
                <w:rFonts w:ascii="Arial" w:hAnsi="Arial" w:cs="Arial" w:eastAsiaTheme="minorEastAsia"/>
                <w:color w:val="000000"/>
                <w:kern w:val="0"/>
                <w:szCs w:val="21"/>
              </w:rPr>
              <w:t>12.4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Pr>
          <w:p>
            <w:pPr>
              <w:widowControl/>
              <w:jc w:val="center"/>
              <w:rPr>
                <w:rFonts w:ascii="Arial" w:hAnsi="Arial" w:cs="Arial" w:eastAsiaTheme="minorEastAsia"/>
                <w:color w:val="000000"/>
                <w:kern w:val="0"/>
                <w:szCs w:val="21"/>
              </w:rPr>
            </w:pPr>
            <w:r>
              <w:rPr>
                <w:rFonts w:ascii="Arial" w:hAnsi="Arial" w:cs="Arial" w:eastAsiaTheme="minorEastAsia"/>
                <w:color w:val="000000"/>
                <w:kern w:val="0"/>
                <w:szCs w:val="21"/>
              </w:rPr>
              <w:t>9.0</w:t>
            </w:r>
          </w:p>
        </w:tc>
        <w:tc>
          <w:tcPr>
            <w:tcW w:w="1218" w:type="dxa"/>
          </w:tcPr>
          <w:p>
            <w:pPr>
              <w:widowControl/>
              <w:jc w:val="center"/>
              <w:rPr>
                <w:rFonts w:ascii="Arial" w:hAnsi="Arial" w:cs="Arial" w:eastAsiaTheme="minorEastAsia"/>
                <w:color w:val="000000"/>
                <w:kern w:val="0"/>
                <w:szCs w:val="21"/>
              </w:rPr>
            </w:pPr>
            <w:r>
              <w:rPr>
                <w:rFonts w:ascii="Arial" w:hAnsi="Arial" w:cs="Arial" w:eastAsiaTheme="minorEastAsia"/>
                <w:color w:val="000000"/>
                <w:kern w:val="0"/>
                <w:szCs w:val="21"/>
              </w:rPr>
              <w:t>17.8</w:t>
            </w:r>
          </w:p>
        </w:tc>
        <w:tc>
          <w:tcPr>
            <w:tcW w:w="947" w:type="dxa"/>
          </w:tcPr>
          <w:p>
            <w:pPr>
              <w:widowControl/>
              <w:jc w:val="center"/>
              <w:rPr>
                <w:rFonts w:ascii="Arial" w:hAnsi="Arial" w:cs="Arial" w:eastAsiaTheme="minorEastAsia"/>
                <w:color w:val="000000"/>
                <w:kern w:val="0"/>
                <w:szCs w:val="21"/>
              </w:rPr>
            </w:pPr>
            <w:r>
              <w:rPr>
                <w:rFonts w:ascii="Arial" w:hAnsi="Arial" w:cs="Arial" w:eastAsiaTheme="minorEastAsia"/>
                <w:color w:val="000000"/>
                <w:kern w:val="0"/>
                <w:szCs w:val="21"/>
              </w:rPr>
              <w:t>8.7</w:t>
            </w:r>
          </w:p>
        </w:tc>
        <w:tc>
          <w:tcPr>
            <w:tcW w:w="947" w:type="dxa"/>
          </w:tcPr>
          <w:p>
            <w:pPr>
              <w:widowControl/>
              <w:jc w:val="center"/>
              <w:rPr>
                <w:rFonts w:ascii="Arial" w:hAnsi="Arial" w:cs="Arial" w:eastAsiaTheme="minorEastAsia"/>
                <w:color w:val="000000"/>
                <w:kern w:val="0"/>
                <w:szCs w:val="21"/>
              </w:rPr>
            </w:pPr>
            <w:r>
              <w:rPr>
                <w:rFonts w:ascii="Arial" w:hAnsi="Arial" w:cs="Arial" w:eastAsiaTheme="minorEastAsia"/>
                <w:color w:val="000000"/>
                <w:kern w:val="0"/>
                <w:szCs w:val="21"/>
              </w:rPr>
              <w:t>24.2</w:t>
            </w:r>
          </w:p>
        </w:tc>
        <w:tc>
          <w:tcPr>
            <w:tcW w:w="947" w:type="dxa"/>
          </w:tcPr>
          <w:p>
            <w:pPr>
              <w:widowControl/>
              <w:jc w:val="center"/>
              <w:rPr>
                <w:rFonts w:ascii="Arial" w:hAnsi="Arial" w:cs="Arial" w:eastAsiaTheme="minorEastAsia"/>
                <w:color w:val="000000"/>
                <w:kern w:val="0"/>
                <w:szCs w:val="21"/>
              </w:rPr>
            </w:pPr>
            <w:r>
              <w:rPr>
                <w:rFonts w:ascii="Arial" w:hAnsi="Arial" w:cs="Arial" w:eastAsiaTheme="minorEastAsia"/>
                <w:color w:val="000000"/>
                <w:kern w:val="0"/>
                <w:szCs w:val="21"/>
              </w:rPr>
              <w:t>12.2</w:t>
            </w:r>
          </w:p>
        </w:tc>
        <w:tc>
          <w:tcPr>
            <w:tcW w:w="947" w:type="dxa"/>
          </w:tcPr>
          <w:p>
            <w:pPr>
              <w:widowControl/>
              <w:jc w:val="center"/>
              <w:rPr>
                <w:rFonts w:ascii="Arial" w:hAnsi="Arial" w:cs="Arial" w:eastAsiaTheme="minorEastAsia"/>
                <w:color w:val="000000"/>
                <w:kern w:val="0"/>
                <w:szCs w:val="21"/>
              </w:rPr>
            </w:pPr>
            <w:r>
              <w:rPr>
                <w:rFonts w:ascii="Arial" w:hAnsi="Arial" w:cs="Arial" w:eastAsiaTheme="minorEastAsia"/>
                <w:color w:val="000000"/>
                <w:kern w:val="0"/>
                <w:szCs w:val="21"/>
              </w:rPr>
              <w:t>21.1</w:t>
            </w:r>
          </w:p>
        </w:tc>
        <w:tc>
          <w:tcPr>
            <w:tcW w:w="947" w:type="dxa"/>
          </w:tcPr>
          <w:p>
            <w:pPr>
              <w:widowControl/>
              <w:jc w:val="center"/>
              <w:rPr>
                <w:rFonts w:ascii="Arial" w:hAnsi="Arial" w:cs="Arial" w:eastAsiaTheme="minorEastAsia"/>
                <w:color w:val="000000"/>
                <w:kern w:val="0"/>
                <w:szCs w:val="21"/>
              </w:rPr>
            </w:pPr>
            <w:r>
              <w:rPr>
                <w:rFonts w:ascii="Arial" w:hAnsi="Arial" w:cs="Arial" w:eastAsiaTheme="minorEastAsia"/>
                <w:color w:val="000000"/>
                <w:kern w:val="0"/>
                <w:szCs w:val="21"/>
              </w:rPr>
              <w:t>11.1</w:t>
            </w:r>
          </w:p>
        </w:tc>
        <w:tc>
          <w:tcPr>
            <w:tcW w:w="947" w:type="dxa"/>
          </w:tcPr>
          <w:p>
            <w:pPr>
              <w:widowControl/>
              <w:jc w:val="center"/>
              <w:rPr>
                <w:rFonts w:ascii="Arial" w:hAnsi="Arial" w:cs="Arial" w:eastAsiaTheme="minorEastAsia"/>
                <w:color w:val="000000"/>
                <w:kern w:val="0"/>
                <w:szCs w:val="21"/>
              </w:rPr>
            </w:pPr>
            <w:r>
              <w:rPr>
                <w:rFonts w:ascii="Arial" w:hAnsi="Arial" w:cs="Arial" w:eastAsiaTheme="minorEastAsia"/>
                <w:color w:val="000000"/>
                <w:kern w:val="0"/>
                <w:szCs w:val="21"/>
              </w:rPr>
              <w:t>38.5</w:t>
            </w:r>
          </w:p>
        </w:tc>
        <w:tc>
          <w:tcPr>
            <w:tcW w:w="947" w:type="dxa"/>
          </w:tcPr>
          <w:p>
            <w:pPr>
              <w:widowControl/>
              <w:jc w:val="center"/>
              <w:rPr>
                <w:rFonts w:ascii="Arial" w:hAnsi="Arial" w:cs="Arial" w:eastAsiaTheme="minorEastAsia"/>
                <w:color w:val="000000"/>
                <w:kern w:val="0"/>
                <w:szCs w:val="21"/>
              </w:rPr>
            </w:pPr>
            <w:r>
              <w:rPr>
                <w:rFonts w:ascii="Arial" w:hAnsi="Arial" w:cs="Arial" w:eastAsiaTheme="minorEastAsia"/>
                <w:color w:val="000000"/>
                <w:kern w:val="0"/>
                <w:szCs w:val="21"/>
              </w:rPr>
              <w:t>14.2</w:t>
            </w:r>
          </w:p>
        </w:tc>
      </w:tr>
    </w:tbl>
    <w:p>
      <w:pPr>
        <w:widowControl/>
        <w:adjustRightInd w:val="0"/>
        <w:snapToGrid w:val="0"/>
        <w:spacing w:line="360" w:lineRule="auto"/>
        <w:jc w:val="left"/>
        <w:rPr>
          <w:rFonts w:ascii="宋体" w:hAnsi="宋体" w:cs="宋体"/>
          <w:kern w:val="0"/>
          <w:sz w:val="24"/>
          <w:szCs w:val="24"/>
        </w:rPr>
      </w:pPr>
      <w:r>
        <w:rPr>
          <w:rFonts w:hint="eastAsia" w:ascii="宋体" w:hAnsi="宋体" w:cs="宋体"/>
          <w:color w:val="000000"/>
          <w:kern w:val="0"/>
          <w:sz w:val="18"/>
          <w:szCs w:val="18"/>
        </w:rPr>
        <w:t xml:space="preserve">注： </w:t>
      </w:r>
      <w:r>
        <w:rPr>
          <w:rFonts w:ascii="Times New Roman" w:hAnsi="Times New Roman"/>
          <w:color w:val="000000"/>
          <w:kern w:val="0"/>
          <w:sz w:val="18"/>
          <w:szCs w:val="18"/>
        </w:rPr>
        <w:t xml:space="preserve">1 </w:t>
      </w:r>
      <w:r>
        <w:rPr>
          <w:rFonts w:hint="eastAsia" w:ascii="宋体" w:hAnsi="宋体" w:cs="宋体"/>
          <w:color w:val="000000"/>
          <w:kern w:val="0"/>
          <w:sz w:val="18"/>
          <w:szCs w:val="18"/>
        </w:rPr>
        <w:t xml:space="preserve">建筑空间净高低于 </w:t>
      </w:r>
      <w:r>
        <w:rPr>
          <w:rFonts w:ascii="Times New Roman" w:hAnsi="Times New Roman"/>
          <w:color w:val="000000"/>
          <w:kern w:val="0"/>
          <w:sz w:val="18"/>
          <w:szCs w:val="18"/>
        </w:rPr>
        <w:t xml:space="preserve">3.0m </w:t>
      </w:r>
      <w:r>
        <w:rPr>
          <w:rFonts w:hint="eastAsia" w:ascii="宋体" w:hAnsi="宋体" w:cs="宋体"/>
          <w:color w:val="000000"/>
          <w:kern w:val="0"/>
          <w:sz w:val="18"/>
          <w:szCs w:val="18"/>
        </w:rPr>
        <w:t xml:space="preserve">的，按 </w:t>
      </w:r>
      <w:r>
        <w:rPr>
          <w:rFonts w:ascii="Times New Roman" w:hAnsi="Times New Roman"/>
          <w:color w:val="000000"/>
          <w:kern w:val="0"/>
          <w:sz w:val="18"/>
          <w:szCs w:val="18"/>
        </w:rPr>
        <w:t xml:space="preserve">3.0m </w:t>
      </w:r>
      <w:r>
        <w:rPr>
          <w:rFonts w:hint="eastAsia" w:ascii="宋体" w:hAnsi="宋体" w:cs="宋体"/>
          <w:color w:val="000000"/>
          <w:kern w:val="0"/>
          <w:sz w:val="18"/>
          <w:szCs w:val="18"/>
        </w:rPr>
        <w:t xml:space="preserve">取值；建筑空间净高高于 </w:t>
      </w:r>
      <w:r>
        <w:rPr>
          <w:rFonts w:ascii="Times New Roman" w:hAnsi="Times New Roman"/>
          <w:color w:val="000000"/>
          <w:kern w:val="0"/>
          <w:sz w:val="18"/>
          <w:szCs w:val="18"/>
        </w:rPr>
        <w:t xml:space="preserve">9.0m </w:t>
      </w:r>
      <w:r>
        <w:rPr>
          <w:rFonts w:hint="eastAsia" w:ascii="宋体" w:hAnsi="宋体" w:cs="宋体"/>
          <w:color w:val="000000"/>
          <w:kern w:val="0"/>
          <w:sz w:val="18"/>
          <w:szCs w:val="18"/>
        </w:rPr>
        <w:t xml:space="preserve">的，按 </w:t>
      </w:r>
      <w:r>
        <w:rPr>
          <w:rFonts w:ascii="Times New Roman" w:hAnsi="Times New Roman"/>
          <w:color w:val="000000"/>
          <w:kern w:val="0"/>
          <w:sz w:val="18"/>
          <w:szCs w:val="18"/>
        </w:rPr>
        <w:t xml:space="preserve">9.0m </w:t>
      </w:r>
      <w:r>
        <w:rPr>
          <w:rFonts w:hint="eastAsia" w:ascii="宋体" w:hAnsi="宋体" w:cs="宋体"/>
          <w:color w:val="000000"/>
          <w:kern w:val="0"/>
          <w:sz w:val="18"/>
          <w:szCs w:val="18"/>
        </w:rPr>
        <w:t xml:space="preserve">取值；建筑 </w:t>
      </w:r>
    </w:p>
    <w:p>
      <w:pPr>
        <w:widowControl/>
        <w:adjustRightInd w:val="0"/>
        <w:snapToGrid w:val="0"/>
        <w:spacing w:line="360" w:lineRule="auto"/>
        <w:jc w:val="left"/>
        <w:rPr>
          <w:rFonts w:ascii="宋体" w:hAnsi="宋体" w:cs="宋体"/>
          <w:kern w:val="0"/>
          <w:sz w:val="24"/>
          <w:szCs w:val="24"/>
        </w:rPr>
      </w:pPr>
      <w:r>
        <w:rPr>
          <w:rFonts w:hint="eastAsia" w:ascii="宋体" w:hAnsi="宋体" w:cs="宋体"/>
          <w:color w:val="000000"/>
          <w:kern w:val="0"/>
          <w:sz w:val="18"/>
          <w:szCs w:val="18"/>
        </w:rPr>
        <w:t xml:space="preserve">空间净高位于表中两个高度之间的，按线性插值法取值。 </w:t>
      </w:r>
    </w:p>
    <w:p>
      <w:pPr>
        <w:adjustRightInd w:val="0"/>
        <w:snapToGrid w:val="0"/>
        <w:spacing w:line="360" w:lineRule="auto"/>
        <w:rPr>
          <w:rFonts w:ascii="Times New Roman" w:hAnsi="Times New Roman"/>
          <w:color w:val="000000"/>
          <w:kern w:val="0"/>
          <w:sz w:val="18"/>
          <w:szCs w:val="18"/>
        </w:rPr>
      </w:pPr>
      <w:r>
        <w:rPr>
          <w:rFonts w:ascii="Times New Roman" w:hAnsi="Times New Roman"/>
          <w:color w:val="000000"/>
          <w:kern w:val="0"/>
          <w:sz w:val="18"/>
          <w:szCs w:val="18"/>
        </w:rPr>
        <w:tab/>
      </w:r>
      <w:r>
        <w:rPr>
          <w:rFonts w:ascii="Times New Roman" w:hAnsi="Times New Roman"/>
          <w:color w:val="000000"/>
          <w:kern w:val="0"/>
          <w:sz w:val="18"/>
          <w:szCs w:val="18"/>
        </w:rPr>
        <w:t xml:space="preserve">2 </w:t>
      </w:r>
      <w:r>
        <w:rPr>
          <w:rFonts w:hint="eastAsia" w:ascii="宋体" w:hAnsi="宋体" w:cs="宋体"/>
          <w:color w:val="000000"/>
          <w:kern w:val="0"/>
          <w:sz w:val="18"/>
          <w:szCs w:val="18"/>
        </w:rPr>
        <w:t xml:space="preserve">表中储烟仓高度按 </w:t>
      </w:r>
      <w:r>
        <w:rPr>
          <w:rFonts w:ascii="Times New Roman" w:hAnsi="Times New Roman"/>
          <w:color w:val="000000"/>
          <w:kern w:val="0"/>
          <w:sz w:val="18"/>
          <w:szCs w:val="18"/>
        </w:rPr>
        <w:t xml:space="preserve">0.1H </w:t>
      </w:r>
      <w:r>
        <w:rPr>
          <w:rFonts w:hint="eastAsia" w:ascii="宋体" w:hAnsi="宋体" w:cs="宋体"/>
          <w:color w:val="000000"/>
          <w:kern w:val="0"/>
          <w:sz w:val="18"/>
          <w:szCs w:val="18"/>
        </w:rPr>
        <w:t xml:space="preserve">选用，且不小于 </w:t>
      </w:r>
      <w:r>
        <w:rPr>
          <w:rFonts w:ascii="Times New Roman" w:hAnsi="Times New Roman"/>
          <w:color w:val="000000"/>
          <w:kern w:val="0"/>
          <w:sz w:val="18"/>
          <w:szCs w:val="18"/>
        </w:rPr>
        <w:t>500mm</w:t>
      </w:r>
      <w:r>
        <w:rPr>
          <w:rFonts w:hint="eastAsia" w:ascii="Times New Roman" w:hAnsi="Times New Roman"/>
          <w:color w:val="000000"/>
          <w:kern w:val="0"/>
          <w:sz w:val="18"/>
          <w:szCs w:val="18"/>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Fonts w:ascii="Arial" w:hAnsi="Arial" w:cs="Arial"/>
          <w:sz w:val="24"/>
          <w:szCs w:val="24"/>
        </w:rPr>
      </w:pPr>
      <w:r>
        <w:rPr>
          <w:rFonts w:hint="eastAsia" w:ascii="宋体" w:hAnsi="宋体"/>
          <w:b/>
          <w:bCs/>
          <w:color w:val="000000"/>
          <w:sz w:val="24"/>
        </w:rPr>
        <w:t>5</w:t>
      </w:r>
      <w:r>
        <w:rPr>
          <w:rFonts w:hint="eastAsia" w:ascii="Arial" w:hAnsi="Arial" w:cs="Arial"/>
          <w:sz w:val="24"/>
          <w:szCs w:val="24"/>
        </w:rPr>
        <w:t xml:space="preserve"> 采用机械排烟方式首层公共建筑疏散楼梯的扩大前室，净高大于3.6m时，其设计烟层底部高度Z应满足下式要求：</w:t>
      </w:r>
    </w:p>
    <w:p>
      <w:pPr>
        <w:adjustRightInd w:val="0"/>
        <w:snapToGrid w:val="0"/>
        <w:spacing w:line="360" w:lineRule="auto"/>
        <w:jc w:val="right"/>
        <w:rPr>
          <w:rFonts w:ascii="Arial" w:hAnsi="Arial" w:cs="Arial"/>
          <w:sz w:val="24"/>
          <w:szCs w:val="24"/>
        </w:rPr>
      </w:pPr>
      <w:r>
        <w:rPr>
          <w:rFonts w:hint="eastAsia" w:ascii="Arial" w:hAnsi="Arial" w:cs="Arial"/>
          <w:sz w:val="24"/>
          <w:szCs w:val="24"/>
        </w:rPr>
        <w:t>Z</w:t>
      </w:r>
      <w:r>
        <w:rPr>
          <w:rFonts w:ascii="Arial" w:hAnsi="Arial" w:cs="Arial"/>
          <w:sz w:val="24"/>
          <w:szCs w:val="24"/>
        </w:rPr>
        <w:t xml:space="preserve"> ≥ 2.0 + 0.2</w:t>
      </w:r>
      <w:r>
        <w:rPr>
          <w:rFonts w:hint="eastAsia" w:ascii="Arial" w:hAnsi="Arial" w:cs="Arial"/>
          <w:sz w:val="24"/>
          <w:szCs w:val="24"/>
        </w:rPr>
        <w:t>H                           （5.2.2）</w:t>
      </w:r>
    </w:p>
    <w:p>
      <w:pPr>
        <w:adjustRightInd w:val="0"/>
        <w:snapToGrid w:val="0"/>
        <w:spacing w:line="360" w:lineRule="auto"/>
        <w:rPr>
          <w:rFonts w:ascii="Arial" w:hAnsi="Arial" w:cs="Arial"/>
          <w:sz w:val="24"/>
          <w:szCs w:val="24"/>
        </w:rPr>
      </w:pPr>
      <w:r>
        <w:rPr>
          <w:rFonts w:hint="eastAsia" w:ascii="Arial" w:hAnsi="Arial" w:cs="Arial"/>
          <w:sz w:val="24"/>
          <w:szCs w:val="24"/>
        </w:rPr>
        <w:t>式中：H—排烟空间的室内净高（</w:t>
      </w:r>
      <w:r>
        <w:rPr>
          <w:rFonts w:hint="eastAsia" w:ascii="宋体" w:hAnsi="宋体" w:cs="宋体"/>
          <w:color w:val="000000"/>
          <w:kern w:val="0"/>
          <w:szCs w:val="21"/>
        </w:rPr>
        <w:t>m）。</w:t>
      </w:r>
    </w:p>
    <w:p>
      <w:pPr>
        <w:adjustRightInd w:val="0"/>
        <w:snapToGrid w:val="0"/>
        <w:spacing w:line="360" w:lineRule="auto"/>
        <w:rPr>
          <w:rFonts w:ascii="Arial" w:hAnsi="Arial" w:cs="Arial"/>
          <w:sz w:val="24"/>
          <w:szCs w:val="24"/>
        </w:rPr>
      </w:pPr>
      <w:r>
        <w:rPr>
          <w:rFonts w:hint="eastAsia" w:ascii="宋体" w:hAnsi="宋体"/>
          <w:b/>
          <w:bCs/>
          <w:color w:val="000000"/>
          <w:sz w:val="24"/>
        </w:rPr>
        <w:t>5.2.3</w:t>
      </w:r>
      <w:r>
        <w:rPr>
          <w:rFonts w:hint="eastAsia" w:ascii="Arial" w:hAnsi="Arial" w:cs="Arial"/>
          <w:sz w:val="24"/>
          <w:szCs w:val="24"/>
        </w:rPr>
        <w:t xml:space="preserve"> 排烟系统排烟量的计算应符合下列规定：</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Fonts w:ascii="Arial" w:hAnsi="Arial" w:cs="Arial"/>
          <w:sz w:val="24"/>
          <w:szCs w:val="24"/>
        </w:rPr>
      </w:pPr>
      <w:r>
        <w:rPr>
          <w:rFonts w:hint="eastAsia" w:ascii="宋体" w:hAnsi="宋体"/>
          <w:b/>
          <w:bCs/>
          <w:color w:val="000000"/>
          <w:sz w:val="24"/>
        </w:rPr>
        <w:t>1</w:t>
      </w:r>
      <w:r>
        <w:rPr>
          <w:rFonts w:hint="eastAsia" w:ascii="Arial" w:hAnsi="Arial" w:cs="Arial"/>
          <w:sz w:val="24"/>
          <w:szCs w:val="24"/>
        </w:rPr>
        <w:t xml:space="preserve"> 同一防火分区中，应将面积均小于等于</w:t>
      </w:r>
      <w:r>
        <w:rPr>
          <w:rFonts w:ascii="Arial" w:hAnsi="Arial" w:cs="Arial"/>
          <w:sz w:val="24"/>
          <w:szCs w:val="24"/>
        </w:rPr>
        <w:t>300m</w:t>
      </w:r>
      <w:r>
        <w:rPr>
          <w:rFonts w:ascii="Arial" w:hAnsi="Arial" w:cs="Arial"/>
          <w:sz w:val="24"/>
          <w:szCs w:val="24"/>
          <w:vertAlign w:val="superscript"/>
        </w:rPr>
        <w:t>2</w:t>
      </w:r>
      <w:r>
        <w:rPr>
          <w:rFonts w:hint="eastAsia" w:ascii="Arial" w:hAnsi="Arial" w:cs="Arial"/>
          <w:sz w:val="24"/>
          <w:szCs w:val="24"/>
        </w:rPr>
        <w:t>的两相邻防烟分区排烟量之和的最大值作为一个独立防烟分区的排烟量。</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Fonts w:ascii="Arial" w:hAnsi="Arial" w:cs="Arial"/>
          <w:sz w:val="24"/>
          <w:szCs w:val="24"/>
        </w:rPr>
      </w:pPr>
      <w:r>
        <w:rPr>
          <w:rFonts w:hint="eastAsia" w:ascii="宋体" w:hAnsi="宋体"/>
          <w:b/>
          <w:bCs/>
          <w:color w:val="000000"/>
          <w:sz w:val="24"/>
        </w:rPr>
        <w:t>2</w:t>
      </w:r>
      <w:r>
        <w:rPr>
          <w:rFonts w:hint="eastAsia" w:ascii="Arial" w:hAnsi="Arial" w:cs="Arial"/>
          <w:sz w:val="24"/>
          <w:szCs w:val="24"/>
        </w:rPr>
        <w:t xml:space="preserve"> 除中庭外，当一个排烟系统负担多个防烟分区排烟时，其系统计算排烟量应采用该系统中最大独立防烟分区的排烟量。</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Fonts w:ascii="Arial" w:hAnsi="Arial" w:cs="Arial"/>
          <w:sz w:val="24"/>
          <w:szCs w:val="24"/>
        </w:rPr>
      </w:pPr>
      <w:r>
        <w:rPr>
          <w:rFonts w:hint="eastAsia" w:ascii="宋体" w:hAnsi="宋体"/>
          <w:b/>
          <w:bCs/>
          <w:color w:val="000000"/>
          <w:sz w:val="24"/>
        </w:rPr>
        <w:t>3</w:t>
      </w:r>
      <w:r>
        <w:rPr>
          <w:rFonts w:hint="eastAsia" w:ascii="Arial" w:hAnsi="Arial" w:cs="Arial"/>
          <w:sz w:val="24"/>
          <w:szCs w:val="24"/>
        </w:rPr>
        <w:t xml:space="preserve"> 一个排烟系统负担多个防火分区排烟时，应按排烟量最大的一个防火分区的排烟量计算。</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Fonts w:ascii="Arial" w:hAnsi="Arial" w:cs="Arial"/>
          <w:sz w:val="24"/>
          <w:szCs w:val="24"/>
        </w:rPr>
      </w:pPr>
      <w:r>
        <w:rPr>
          <w:rFonts w:hint="eastAsia" w:ascii="宋体" w:hAnsi="宋体"/>
          <w:b/>
          <w:bCs/>
          <w:color w:val="000000"/>
          <w:sz w:val="24"/>
        </w:rPr>
        <w:t>4</w:t>
      </w:r>
      <w:r>
        <w:rPr>
          <w:rFonts w:hint="eastAsia" w:ascii="Arial" w:hAnsi="Arial" w:cs="Arial"/>
          <w:sz w:val="24"/>
          <w:szCs w:val="24"/>
        </w:rPr>
        <w:t xml:space="preserve"> 当走道与同一防火分区的其他防烟分区合用排烟系统时，该系统的排烟量应将走道排烟量叠加。</w:t>
      </w:r>
    </w:p>
    <w:p>
      <w:pPr>
        <w:adjustRightInd w:val="0"/>
        <w:snapToGrid w:val="0"/>
        <w:spacing w:line="360" w:lineRule="auto"/>
        <w:rPr>
          <w:rFonts w:ascii="Arial" w:hAnsi="Arial" w:cs="Arial"/>
          <w:sz w:val="24"/>
          <w:szCs w:val="24"/>
        </w:rPr>
      </w:pPr>
      <w:r>
        <w:rPr>
          <w:rFonts w:hint="eastAsia" w:ascii="宋体" w:hAnsi="宋体"/>
          <w:b/>
          <w:bCs/>
          <w:color w:val="000000"/>
          <w:sz w:val="24"/>
        </w:rPr>
        <w:t>5.2.4</w:t>
      </w:r>
      <w:r>
        <w:rPr>
          <w:rFonts w:hint="eastAsia" w:ascii="Arial" w:hAnsi="Arial" w:cs="Arial"/>
          <w:sz w:val="24"/>
          <w:szCs w:val="24"/>
        </w:rPr>
        <w:t xml:space="preserve"> 中庭排烟量的设计计算应符合下列规定：</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Fonts w:ascii="Arial" w:hAnsi="Arial" w:cs="Arial"/>
          <w:sz w:val="24"/>
          <w:szCs w:val="24"/>
        </w:rPr>
      </w:pPr>
      <w:r>
        <w:rPr>
          <w:rFonts w:hint="eastAsia" w:ascii="宋体" w:hAnsi="宋体"/>
          <w:b/>
          <w:bCs/>
          <w:color w:val="000000"/>
          <w:sz w:val="24"/>
        </w:rPr>
        <w:t>1</w:t>
      </w:r>
      <w:r>
        <w:rPr>
          <w:rFonts w:hint="eastAsia" w:ascii="Arial" w:hAnsi="Arial" w:cs="Arial"/>
          <w:sz w:val="24"/>
          <w:szCs w:val="24"/>
        </w:rPr>
        <w:t xml:space="preserve"> 中庭周围场所设有排烟系统时，中庭排烟量不应小于</w:t>
      </w:r>
      <w:r>
        <w:rPr>
          <w:rFonts w:ascii="Arial" w:hAnsi="Arial" w:cs="Arial"/>
          <w:sz w:val="24"/>
          <w:szCs w:val="24"/>
        </w:rPr>
        <w:t>107000m</w:t>
      </w:r>
      <w:r>
        <w:rPr>
          <w:rFonts w:ascii="Arial" w:hAnsi="Arial" w:cs="Arial"/>
          <w:sz w:val="24"/>
          <w:szCs w:val="24"/>
          <w:vertAlign w:val="superscript"/>
        </w:rPr>
        <w:t>3</w:t>
      </w:r>
      <w:r>
        <w:rPr>
          <w:rFonts w:ascii="Arial" w:hAnsi="Arial" w:cs="Arial"/>
          <w:sz w:val="24"/>
          <w:szCs w:val="24"/>
        </w:rPr>
        <w:t>/h</w:t>
      </w:r>
      <w:r>
        <w:rPr>
          <w:rFonts w:hint="eastAsia" w:ascii="Arial" w:hAnsi="Arial" w:cs="Arial"/>
          <w:sz w:val="24"/>
          <w:szCs w:val="24"/>
        </w:rPr>
        <w:t>且不小于周围场所防烟分区中最大排烟量的</w:t>
      </w:r>
      <w:r>
        <w:rPr>
          <w:rFonts w:ascii="Arial" w:hAnsi="Arial" w:cs="Arial"/>
          <w:sz w:val="24"/>
          <w:szCs w:val="24"/>
        </w:rPr>
        <w:t>2</w:t>
      </w:r>
      <w:r>
        <w:rPr>
          <w:rFonts w:hint="eastAsia" w:ascii="Arial" w:hAnsi="Arial" w:cs="Arial"/>
          <w:sz w:val="24"/>
          <w:szCs w:val="24"/>
        </w:rPr>
        <w:t>倍。</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Fonts w:ascii="Arial" w:hAnsi="Arial" w:cs="Arial"/>
          <w:sz w:val="24"/>
          <w:szCs w:val="24"/>
        </w:rPr>
      </w:pPr>
      <w:r>
        <w:rPr>
          <w:rFonts w:hint="eastAsia" w:ascii="宋体" w:hAnsi="宋体"/>
          <w:b/>
          <w:bCs/>
          <w:color w:val="000000"/>
          <w:sz w:val="24"/>
        </w:rPr>
        <w:t>2</w:t>
      </w:r>
      <w:r>
        <w:rPr>
          <w:rFonts w:hint="eastAsia" w:ascii="Arial" w:hAnsi="Arial" w:cs="Arial"/>
          <w:sz w:val="24"/>
          <w:szCs w:val="24"/>
        </w:rPr>
        <w:t xml:space="preserve"> 除商业建筑外，中庭周围场所不需要设置排烟系统，仅在回廊设置排烟系统时，回廊的排烟量不应小于</w:t>
      </w:r>
      <w:r>
        <w:rPr>
          <w:rFonts w:ascii="Arial" w:hAnsi="Arial" w:cs="Arial"/>
          <w:sz w:val="24"/>
          <w:szCs w:val="24"/>
        </w:rPr>
        <w:t>13000m</w:t>
      </w:r>
      <w:r>
        <w:rPr>
          <w:rFonts w:ascii="Arial" w:hAnsi="Arial" w:cs="Arial"/>
          <w:sz w:val="24"/>
          <w:szCs w:val="24"/>
          <w:vertAlign w:val="superscript"/>
        </w:rPr>
        <w:t>3</w:t>
      </w:r>
      <w:r>
        <w:rPr>
          <w:rFonts w:ascii="Arial" w:hAnsi="Arial" w:cs="Arial"/>
          <w:sz w:val="24"/>
          <w:szCs w:val="24"/>
        </w:rPr>
        <w:t xml:space="preserve"> /h</w:t>
      </w:r>
      <w:r>
        <w:rPr>
          <w:rFonts w:hint="eastAsia" w:ascii="Arial" w:hAnsi="Arial" w:cs="Arial"/>
          <w:sz w:val="24"/>
          <w:szCs w:val="24"/>
        </w:rPr>
        <w:t>，中庭的排烟量不应小于</w:t>
      </w:r>
      <w:r>
        <w:rPr>
          <w:rFonts w:ascii="Arial" w:hAnsi="Arial" w:cs="Arial"/>
          <w:sz w:val="24"/>
          <w:szCs w:val="24"/>
        </w:rPr>
        <w:t>40000m</w:t>
      </w:r>
      <w:r>
        <w:rPr>
          <w:rFonts w:ascii="Arial" w:hAnsi="Arial" w:cs="Arial"/>
          <w:sz w:val="24"/>
          <w:szCs w:val="24"/>
          <w:vertAlign w:val="superscript"/>
        </w:rPr>
        <w:t>3</w:t>
      </w:r>
      <w:r>
        <w:rPr>
          <w:rFonts w:ascii="Arial" w:hAnsi="Arial" w:cs="Arial"/>
          <w:sz w:val="24"/>
          <w:szCs w:val="24"/>
        </w:rPr>
        <w:t xml:space="preserve"> /h</w:t>
      </w:r>
      <w:r>
        <w:rPr>
          <w:rFonts w:hint="eastAsia" w:ascii="Arial" w:hAnsi="Arial" w:cs="Arial"/>
          <w:sz w:val="24"/>
          <w:szCs w:val="24"/>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Fonts w:ascii="Arial" w:hAnsi="Arial" w:cs="Arial"/>
          <w:sz w:val="24"/>
          <w:szCs w:val="24"/>
        </w:rPr>
      </w:pPr>
      <w:r>
        <w:rPr>
          <w:rFonts w:hint="eastAsia" w:ascii="宋体" w:hAnsi="宋体"/>
          <w:b/>
          <w:bCs/>
          <w:color w:val="000000"/>
          <w:sz w:val="24"/>
        </w:rPr>
        <w:t>3</w:t>
      </w:r>
      <w:r>
        <w:rPr>
          <w:rFonts w:hint="eastAsia" w:ascii="Arial" w:hAnsi="Arial" w:cs="Arial"/>
          <w:sz w:val="24"/>
          <w:szCs w:val="24"/>
        </w:rPr>
        <w:t xml:space="preserve"> 中庭排烟量应按本标准第</w:t>
      </w:r>
      <w:r>
        <w:rPr>
          <w:rFonts w:ascii="Arial" w:hAnsi="Arial" w:cs="Arial"/>
          <w:sz w:val="24"/>
          <w:szCs w:val="24"/>
        </w:rPr>
        <w:t>5.2.6</w:t>
      </w:r>
      <w:r>
        <w:rPr>
          <w:rFonts w:hint="eastAsia" w:ascii="Arial" w:hAnsi="Arial" w:cs="Arial"/>
          <w:sz w:val="24"/>
          <w:szCs w:val="24"/>
        </w:rPr>
        <w:t>～</w:t>
      </w:r>
      <w:r>
        <w:rPr>
          <w:rFonts w:ascii="Arial" w:hAnsi="Arial" w:cs="Arial"/>
          <w:sz w:val="24"/>
          <w:szCs w:val="24"/>
        </w:rPr>
        <w:t>5.2.12</w:t>
      </w:r>
      <w:r>
        <w:rPr>
          <w:rFonts w:hint="eastAsia" w:ascii="Arial" w:hAnsi="Arial" w:cs="Arial"/>
          <w:sz w:val="24"/>
          <w:szCs w:val="24"/>
        </w:rPr>
        <w:t>条进行计算，并应满足本条文第1款或第2款的最小排烟量要求。中庭采用自然排烟方式时，应按本标准第5.2.13 条计算有效开窗面积。</w:t>
      </w:r>
    </w:p>
    <w:p>
      <w:pPr>
        <w:adjustRightInd w:val="0"/>
        <w:snapToGrid w:val="0"/>
        <w:spacing w:line="360" w:lineRule="auto"/>
        <w:rPr>
          <w:rFonts w:ascii="Arial" w:hAnsi="Arial" w:cs="Arial"/>
          <w:sz w:val="24"/>
          <w:szCs w:val="24"/>
        </w:rPr>
      </w:pPr>
      <w:r>
        <w:rPr>
          <w:rFonts w:hint="eastAsia" w:ascii="宋体" w:hAnsi="宋体"/>
          <w:b/>
          <w:bCs/>
          <w:color w:val="000000"/>
          <w:sz w:val="24"/>
        </w:rPr>
        <w:t>5.2.7</w:t>
      </w:r>
      <w:r>
        <w:rPr>
          <w:rFonts w:hint="eastAsia" w:ascii="Arial" w:hAnsi="Arial" w:cs="Arial"/>
          <w:sz w:val="24"/>
          <w:szCs w:val="24"/>
        </w:rPr>
        <w:t xml:space="preserve"> 当储烟仓的烟层与周围空气温差小于</w:t>
      </w:r>
      <w:r>
        <w:rPr>
          <w:rFonts w:ascii="Arial" w:hAnsi="Arial" w:cs="Arial"/>
          <w:sz w:val="24"/>
          <w:szCs w:val="24"/>
        </w:rPr>
        <w:t>8℃</w:t>
      </w:r>
      <w:r>
        <w:rPr>
          <w:rFonts w:hint="eastAsia" w:ascii="Arial" w:hAnsi="Arial" w:cs="Arial"/>
          <w:sz w:val="24"/>
          <w:szCs w:val="24"/>
        </w:rPr>
        <w:t>时，应通过降低烟尘底部高度等措施重新调整排烟设计。</w:t>
      </w:r>
    </w:p>
    <w:p>
      <w:pPr>
        <w:adjustRightInd w:val="0"/>
        <w:snapToGrid w:val="0"/>
        <w:spacing w:line="360" w:lineRule="auto"/>
        <w:rPr>
          <w:rFonts w:ascii="Arial" w:hAnsi="Arial" w:cs="Arial"/>
          <w:sz w:val="24"/>
          <w:szCs w:val="24"/>
        </w:rPr>
      </w:pPr>
      <w:r>
        <w:rPr>
          <w:rFonts w:hint="eastAsia" w:ascii="宋体" w:hAnsi="宋体"/>
          <w:b/>
          <w:bCs/>
          <w:color w:val="000000"/>
          <w:sz w:val="24"/>
        </w:rPr>
        <w:t>5.2.15</w:t>
      </w:r>
      <w:r>
        <w:rPr>
          <w:rFonts w:hint="eastAsia" w:ascii="Arial" w:hAnsi="Arial" w:cs="Arial"/>
          <w:sz w:val="24"/>
          <w:szCs w:val="24"/>
        </w:rPr>
        <w:t xml:space="preserve"> 同一防烟分区中两排烟口边缘间的最小距离应按下式计算：</w:t>
      </w:r>
    </w:p>
    <w:p>
      <w:pPr>
        <w:adjustRightInd w:val="0"/>
        <w:snapToGrid w:val="0"/>
        <w:spacing w:line="360" w:lineRule="auto"/>
        <w:jc w:val="center"/>
        <w:rPr>
          <w:rFonts w:ascii="Arial" w:hAnsi="Arial" w:cs="Arial"/>
          <w:sz w:val="24"/>
          <w:szCs w:val="24"/>
        </w:rPr>
      </w:pPr>
      <w:r>
        <w:rPr>
          <w:rFonts w:hint="eastAsia" w:ascii="Arial" w:hAnsi="Arial" w:cs="Arial"/>
          <w:sz w:val="24"/>
          <w:szCs w:val="24"/>
          <w:lang w:val="en-US" w:eastAsia="zh-CN"/>
        </w:rPr>
        <w:t xml:space="preserve">                        </w:t>
      </w:r>
      <w:r>
        <w:rPr>
          <w:rFonts w:ascii="Arial" w:hAnsi="Arial" w:cs="Arial"/>
          <w:sz w:val="24"/>
          <w:szCs w:val="24"/>
        </w:rPr>
        <w:t>S</w:t>
      </w:r>
      <w:r>
        <w:rPr>
          <w:rFonts w:ascii="Arial" w:hAnsi="Arial" w:cs="Arial"/>
          <w:sz w:val="24"/>
          <w:szCs w:val="24"/>
          <w:vertAlign w:val="subscript"/>
        </w:rPr>
        <w:t>min</w:t>
      </w:r>
      <w:r>
        <w:rPr>
          <w:rFonts w:ascii="Arial" w:hAnsi="Arial" w:cs="Arial"/>
          <w:sz w:val="24"/>
          <w:szCs w:val="24"/>
        </w:rPr>
        <w:t xml:space="preserve">=0.9▪Ve </w:t>
      </w:r>
      <w:r>
        <w:rPr>
          <w:rFonts w:ascii="Arial" w:hAnsi="Arial" w:cs="Arial"/>
          <w:sz w:val="24"/>
          <w:szCs w:val="24"/>
          <w:vertAlign w:val="superscript"/>
        </w:rPr>
        <w:t>0.5</w:t>
      </w:r>
      <w:r>
        <w:rPr>
          <w:rFonts w:hint="eastAsia" w:ascii="Arial" w:hAnsi="Arial" w:cs="Arial"/>
          <w:sz w:val="24"/>
          <w:szCs w:val="24"/>
          <w:vertAlign w:val="superscript"/>
          <w:lang w:val="en-US" w:eastAsia="zh-CN"/>
        </w:rPr>
        <w:t xml:space="preserve">                                  </w:t>
      </w:r>
      <w:r>
        <w:rPr>
          <w:rFonts w:hint="eastAsia" w:ascii="Arial" w:hAnsi="Arial" w:cs="Arial"/>
          <w:sz w:val="24"/>
          <w:szCs w:val="24"/>
        </w:rPr>
        <w:t>（</w:t>
      </w:r>
      <w:r>
        <w:rPr>
          <w:rFonts w:ascii="Arial" w:hAnsi="Arial" w:cs="Arial"/>
          <w:sz w:val="24"/>
          <w:szCs w:val="24"/>
        </w:rPr>
        <w:t>5.2.15</w:t>
      </w:r>
      <w:r>
        <w:rPr>
          <w:rFonts w:hint="eastAsia" w:ascii="Arial" w:hAnsi="Arial" w:cs="Arial"/>
          <w:sz w:val="24"/>
          <w:szCs w:val="24"/>
        </w:rPr>
        <w:t>）</w:t>
      </w:r>
    </w:p>
    <w:p>
      <w:pPr>
        <w:adjustRightInd w:val="0"/>
        <w:snapToGrid w:val="0"/>
        <w:spacing w:line="360" w:lineRule="auto"/>
        <w:rPr>
          <w:rFonts w:ascii="Arial" w:hAnsi="Arial" w:cs="Arial"/>
          <w:sz w:val="24"/>
          <w:szCs w:val="24"/>
        </w:rPr>
      </w:pPr>
      <w:r>
        <w:rPr>
          <w:rFonts w:hint="eastAsia" w:ascii="Arial" w:hAnsi="Arial" w:cs="Arial"/>
          <w:sz w:val="24"/>
          <w:szCs w:val="24"/>
        </w:rPr>
        <w:t>式中</w:t>
      </w:r>
      <w:r>
        <w:rPr>
          <w:rFonts w:ascii="Arial" w:hAnsi="Arial" w:cs="Arial"/>
          <w:sz w:val="24"/>
          <w:szCs w:val="24"/>
        </w:rPr>
        <w:t>S</w:t>
      </w:r>
      <w:r>
        <w:rPr>
          <w:rFonts w:ascii="Arial" w:hAnsi="Arial" w:cs="Arial"/>
          <w:sz w:val="24"/>
          <w:szCs w:val="24"/>
          <w:vertAlign w:val="subscript"/>
        </w:rPr>
        <w:t>min</w:t>
      </w:r>
      <w:r>
        <w:rPr>
          <w:rFonts w:ascii="Arial" w:hAnsi="Arial" w:cs="Arial"/>
          <w:sz w:val="24"/>
          <w:szCs w:val="24"/>
        </w:rPr>
        <w:t>-</w:t>
      </w:r>
      <w:r>
        <w:rPr>
          <w:rFonts w:hint="eastAsia" w:ascii="Arial" w:hAnsi="Arial" w:cs="Arial"/>
          <w:sz w:val="24"/>
          <w:szCs w:val="24"/>
        </w:rPr>
        <w:t>--两排烟口边缘间的最小距离（</w:t>
      </w:r>
      <w:r>
        <w:rPr>
          <w:rFonts w:ascii="Arial" w:hAnsi="Arial" w:cs="Arial"/>
          <w:sz w:val="24"/>
          <w:szCs w:val="24"/>
        </w:rPr>
        <w:t>m</w:t>
      </w:r>
      <w:r>
        <w:rPr>
          <w:rFonts w:hint="eastAsia" w:ascii="Arial" w:hAnsi="Arial" w:cs="Arial"/>
          <w:sz w:val="24"/>
          <w:szCs w:val="24"/>
        </w:rPr>
        <w:t>）；</w:t>
      </w:r>
    </w:p>
    <w:p>
      <w:pPr>
        <w:adjustRightInd w:val="0"/>
        <w:snapToGrid w:val="0"/>
        <w:spacing w:line="360" w:lineRule="auto"/>
        <w:ind w:firstLine="480" w:firstLineChars="200"/>
        <w:rPr>
          <w:rFonts w:hint="eastAsia" w:ascii="Arial" w:hAnsi="Arial" w:cs="Arial"/>
          <w:sz w:val="24"/>
          <w:szCs w:val="24"/>
        </w:rPr>
      </w:pPr>
      <w:r>
        <w:rPr>
          <w:rFonts w:ascii="Arial" w:hAnsi="Arial" w:cs="Arial"/>
          <w:sz w:val="24"/>
          <w:szCs w:val="24"/>
        </w:rPr>
        <w:t>V</w:t>
      </w:r>
      <w:r>
        <w:rPr>
          <w:rFonts w:ascii="Arial" w:hAnsi="Arial" w:cs="Arial"/>
          <w:sz w:val="24"/>
          <w:szCs w:val="24"/>
          <w:vertAlign w:val="subscript"/>
        </w:rPr>
        <w:t>e</w:t>
      </w:r>
      <w:r>
        <w:rPr>
          <w:rFonts w:hint="eastAsia" w:ascii="Arial" w:hAnsi="Arial" w:cs="Arial"/>
          <w:sz w:val="24"/>
          <w:szCs w:val="24"/>
        </w:rPr>
        <w:t>--- 单个排烟口的排烟量（</w:t>
      </w:r>
      <w:r>
        <w:rPr>
          <w:rFonts w:ascii="Arial" w:hAnsi="Arial" w:cs="Arial"/>
          <w:sz w:val="24"/>
          <w:szCs w:val="24"/>
        </w:rPr>
        <w:t>m</w:t>
      </w:r>
      <w:r>
        <w:rPr>
          <w:rFonts w:ascii="Arial" w:hAnsi="Arial" w:cs="Arial"/>
          <w:sz w:val="24"/>
          <w:szCs w:val="24"/>
          <w:vertAlign w:val="superscript"/>
        </w:rPr>
        <w:t>3</w:t>
      </w:r>
      <w:r>
        <w:rPr>
          <w:rFonts w:ascii="Arial" w:hAnsi="Arial" w:cs="Arial"/>
          <w:sz w:val="24"/>
          <w:szCs w:val="24"/>
        </w:rPr>
        <w:t xml:space="preserve"> /s</w:t>
      </w:r>
      <w:r>
        <w:rPr>
          <w:rFonts w:hint="eastAsia" w:ascii="Arial" w:hAnsi="Arial" w:cs="Arial"/>
          <w:sz w:val="24"/>
          <w:szCs w:val="24"/>
        </w:rPr>
        <w:t>）。</w:t>
      </w:r>
    </w:p>
    <w:p>
      <w:pPr>
        <w:adjustRightInd w:val="0"/>
        <w:snapToGrid w:val="0"/>
        <w:spacing w:line="360" w:lineRule="auto"/>
        <w:rPr>
          <w:rFonts w:hint="eastAsia" w:ascii="Arial" w:hAnsi="Arial" w:cs="Arial"/>
          <w:sz w:val="24"/>
          <w:szCs w:val="24"/>
        </w:rPr>
      </w:pPr>
    </w:p>
    <w:p>
      <w:pPr>
        <w:adjustRightInd w:val="0"/>
        <w:snapToGrid w:val="0"/>
        <w:spacing w:line="360" w:lineRule="auto"/>
        <w:rPr>
          <w:rFonts w:hint="eastAsia" w:ascii="Arial" w:hAnsi="Arial" w:cs="Arial"/>
          <w:sz w:val="24"/>
          <w:szCs w:val="24"/>
        </w:rPr>
      </w:pPr>
    </w:p>
    <w:p>
      <w:pPr>
        <w:adjustRightInd w:val="0"/>
        <w:snapToGrid w:val="0"/>
        <w:spacing w:line="360" w:lineRule="auto"/>
        <w:rPr>
          <w:rFonts w:ascii="Arial" w:hAnsi="Arial" w:cs="Arial"/>
          <w:sz w:val="24"/>
          <w:szCs w:val="24"/>
        </w:rPr>
      </w:pPr>
    </w:p>
    <w:p>
      <w:pPr>
        <w:adjustRightInd w:val="0"/>
        <w:snapToGrid w:val="0"/>
        <w:spacing w:line="360" w:lineRule="auto"/>
        <w:rPr>
          <w:rFonts w:ascii="Arial" w:hAnsi="Arial" w:eastAsia="黑体" w:cs="Arial"/>
          <w:sz w:val="24"/>
          <w:szCs w:val="24"/>
        </w:rPr>
      </w:pPr>
      <w:r>
        <w:rPr>
          <w:rFonts w:hint="eastAsia" w:ascii="Arial" w:hAnsi="Arial" w:eastAsia="黑体" w:cs="Arial"/>
          <w:sz w:val="24"/>
          <w:szCs w:val="24"/>
        </w:rPr>
        <w:t>《城市综合体消防技术标准</w:t>
      </w:r>
      <w:r>
        <w:rPr>
          <w:rFonts w:ascii="Arial" w:hAnsi="Arial" w:eastAsia="黑体" w:cs="Arial"/>
          <w:sz w:val="24"/>
          <w:szCs w:val="24"/>
        </w:rPr>
        <w:t>》D</w:t>
      </w:r>
      <w:r>
        <w:rPr>
          <w:rFonts w:hint="eastAsia" w:ascii="Arial" w:hAnsi="Arial" w:eastAsia="黑体" w:cs="Arial"/>
          <w:sz w:val="24"/>
          <w:szCs w:val="24"/>
        </w:rPr>
        <w:t>G</w:t>
      </w:r>
      <w:r>
        <w:rPr>
          <w:rFonts w:ascii="Arial" w:hAnsi="Arial" w:eastAsia="黑体" w:cs="Arial"/>
          <w:sz w:val="24"/>
          <w:szCs w:val="24"/>
        </w:rPr>
        <w:t>/</w:t>
      </w:r>
      <w:r>
        <w:rPr>
          <w:rFonts w:hint="eastAsia" w:ascii="Arial" w:hAnsi="Arial" w:eastAsia="黑体" w:cs="Arial"/>
          <w:sz w:val="24"/>
          <w:szCs w:val="24"/>
        </w:rPr>
        <w:t>TJ08-2408</w:t>
      </w:r>
      <w:r>
        <w:rPr>
          <w:rFonts w:ascii="Arial" w:hAnsi="Arial" w:eastAsia="黑体" w:cs="Arial"/>
          <w:sz w:val="24"/>
          <w:szCs w:val="24"/>
        </w:rPr>
        <w:t>-20</w:t>
      </w:r>
      <w:r>
        <w:rPr>
          <w:rFonts w:hint="eastAsia" w:ascii="Arial" w:hAnsi="Arial" w:eastAsia="黑体" w:cs="Arial"/>
          <w:sz w:val="24"/>
          <w:szCs w:val="24"/>
        </w:rPr>
        <w:t>22</w:t>
      </w:r>
    </w:p>
    <w:p>
      <w:pPr>
        <w:adjustRightInd w:val="0"/>
        <w:snapToGrid w:val="0"/>
        <w:spacing w:line="360" w:lineRule="auto"/>
        <w:rPr>
          <w:rFonts w:ascii="Arial" w:hAnsi="Arial" w:cs="Arial"/>
          <w:sz w:val="24"/>
          <w:szCs w:val="24"/>
        </w:rPr>
      </w:pPr>
      <w:r>
        <w:rPr>
          <w:rFonts w:hint="eastAsia" w:ascii="宋体" w:hAnsi="宋体"/>
          <w:b/>
          <w:bCs/>
          <w:color w:val="000000"/>
          <w:sz w:val="24"/>
        </w:rPr>
        <w:t>8.1.2</w:t>
      </w:r>
      <w:r>
        <w:rPr>
          <w:rFonts w:hint="eastAsia" w:ascii="Arial" w:hAnsi="Arial" w:cs="Arial"/>
          <w:sz w:val="24"/>
          <w:szCs w:val="24"/>
        </w:rPr>
        <w:t xml:space="preserve"> 城市综合体建筑应在下列部位或场所设置排烟设施：</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Fonts w:ascii="Arial" w:hAnsi="Arial" w:cs="Arial"/>
          <w:sz w:val="24"/>
          <w:szCs w:val="24"/>
        </w:rPr>
      </w:pPr>
      <w:r>
        <w:rPr>
          <w:rFonts w:hint="eastAsia" w:ascii="宋体" w:hAnsi="宋体"/>
          <w:b/>
          <w:bCs/>
          <w:color w:val="000000"/>
          <w:sz w:val="24"/>
        </w:rPr>
        <w:t>7</w:t>
      </w:r>
      <w:r>
        <w:rPr>
          <w:rFonts w:hint="eastAsia" w:ascii="Arial" w:hAnsi="Arial" w:cs="Arial"/>
          <w:sz w:val="24"/>
          <w:szCs w:val="24"/>
        </w:rPr>
        <w:t xml:space="preserve"> 使用燃气且建筑面积大于50m</w:t>
      </w:r>
      <w:r>
        <w:rPr>
          <w:rFonts w:hint="eastAsia" w:ascii="Arial" w:hAnsi="Arial" w:cs="Arial"/>
          <w:sz w:val="24"/>
          <w:szCs w:val="24"/>
          <w:vertAlign w:val="superscript"/>
        </w:rPr>
        <w:t>2</w:t>
      </w:r>
      <w:r>
        <w:rPr>
          <w:rFonts w:hint="eastAsia" w:ascii="Arial" w:hAnsi="Arial" w:cs="Arial"/>
          <w:sz w:val="24"/>
          <w:szCs w:val="24"/>
        </w:rPr>
        <w:t>的烹饪操作间。</w:t>
      </w:r>
    </w:p>
    <w:p>
      <w:pPr>
        <w:adjustRightInd w:val="0"/>
        <w:snapToGrid w:val="0"/>
        <w:spacing w:line="360" w:lineRule="auto"/>
        <w:rPr>
          <w:rFonts w:ascii="Arial" w:hAnsi="Arial" w:cs="Arial"/>
          <w:sz w:val="24"/>
          <w:szCs w:val="24"/>
        </w:rPr>
      </w:pPr>
      <w:r>
        <w:rPr>
          <w:rFonts w:hint="eastAsia" w:ascii="宋体" w:hAnsi="宋体"/>
          <w:b/>
          <w:bCs/>
          <w:color w:val="000000"/>
          <w:sz w:val="24"/>
        </w:rPr>
        <w:t>8.1.3</w:t>
      </w:r>
      <w:r>
        <w:rPr>
          <w:rFonts w:hint="eastAsia" w:ascii="Arial" w:hAnsi="Arial" w:cs="Arial"/>
          <w:sz w:val="24"/>
          <w:szCs w:val="24"/>
        </w:rPr>
        <w:t xml:space="preserve"> 设置在四层及以上楼层、地下室或半地下室的歌舞娱乐放映游艺场所，当设置机械排烟系统时，除应满足现行国家标准《建筑设计防火规范》GB50016、《建筑防烟排烟系统技术标准》GB51251以及上海市工程建设规范《建筑防排烟系统设计标准》DG/TJ08-88的规定外，还应满足下列要求：</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Fonts w:ascii="Arial" w:hAnsi="Arial" w:cs="Arial"/>
          <w:sz w:val="24"/>
          <w:szCs w:val="24"/>
        </w:rPr>
      </w:pPr>
      <w:r>
        <w:rPr>
          <w:rFonts w:hint="eastAsia" w:ascii="宋体" w:hAnsi="宋体"/>
          <w:b/>
          <w:bCs/>
          <w:color w:val="000000"/>
          <w:sz w:val="24"/>
        </w:rPr>
        <w:t>2</w:t>
      </w:r>
      <w:r>
        <w:rPr>
          <w:rFonts w:hint="eastAsia" w:ascii="Arial" w:hAnsi="Arial" w:cs="Arial"/>
          <w:sz w:val="24"/>
          <w:szCs w:val="24"/>
        </w:rPr>
        <w:t xml:space="preserve"> 场所内的走道和设有排烟口的房间应设置补风口，补风口的布置应有利于排烟和人员疏散。</w:t>
      </w:r>
    </w:p>
    <w:p>
      <w:pPr>
        <w:adjustRightInd w:val="0"/>
        <w:snapToGrid w:val="0"/>
        <w:spacing w:line="360" w:lineRule="auto"/>
        <w:rPr>
          <w:rFonts w:ascii="Arial" w:hAnsi="Arial" w:cs="Arial"/>
          <w:sz w:val="24"/>
          <w:szCs w:val="24"/>
        </w:rPr>
      </w:pPr>
      <w:r>
        <w:rPr>
          <w:rFonts w:hint="eastAsia" w:ascii="宋体" w:hAnsi="宋体"/>
          <w:b/>
          <w:bCs/>
          <w:color w:val="000000"/>
          <w:sz w:val="24"/>
        </w:rPr>
        <w:t>8.1.4</w:t>
      </w:r>
      <w:r>
        <w:rPr>
          <w:rFonts w:hint="eastAsia" w:ascii="宋体" w:hAnsi="宋体"/>
          <w:b/>
          <w:bCs/>
          <w:color w:val="000000"/>
          <w:sz w:val="24"/>
          <w:lang w:val="en-US" w:eastAsia="zh-CN"/>
        </w:rPr>
        <w:t xml:space="preserve"> </w:t>
      </w:r>
      <w:r>
        <w:rPr>
          <w:rFonts w:hint="eastAsia" w:ascii="Arial" w:hAnsi="Arial" w:cs="Arial"/>
          <w:sz w:val="24"/>
          <w:szCs w:val="24"/>
        </w:rPr>
        <w:t>使用燃气的烹饪操作间及其他使用燃气的场所应设置事故通风系统。</w:t>
      </w:r>
    </w:p>
    <w:p>
      <w:pPr>
        <w:adjustRightInd w:val="0"/>
        <w:snapToGrid w:val="0"/>
        <w:spacing w:line="360" w:lineRule="auto"/>
        <w:rPr>
          <w:rFonts w:ascii="Arial" w:hAnsi="Arial" w:cs="Arial"/>
          <w:sz w:val="24"/>
          <w:szCs w:val="24"/>
        </w:rPr>
      </w:pPr>
      <w:r>
        <w:rPr>
          <w:rFonts w:hint="eastAsia" w:ascii="宋体" w:hAnsi="宋体"/>
          <w:b/>
          <w:bCs/>
          <w:color w:val="000000"/>
          <w:sz w:val="24"/>
        </w:rPr>
        <w:t>8.1.5</w:t>
      </w:r>
      <w:r>
        <w:rPr>
          <w:rFonts w:hint="eastAsia" w:ascii="Arial" w:hAnsi="Arial" w:cs="Arial"/>
          <w:sz w:val="24"/>
          <w:szCs w:val="24"/>
        </w:rPr>
        <w:t xml:space="preserve"> 排除密度小于空气的可燃气体的事故排风系统应符合下列规定：</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Fonts w:ascii="Arial" w:hAnsi="Arial" w:cs="Arial"/>
          <w:sz w:val="24"/>
          <w:szCs w:val="24"/>
        </w:rPr>
      </w:pPr>
      <w:r>
        <w:rPr>
          <w:rFonts w:hint="eastAsia" w:ascii="宋体" w:hAnsi="宋体"/>
          <w:b/>
          <w:bCs/>
          <w:color w:val="000000"/>
          <w:sz w:val="24"/>
        </w:rPr>
        <w:t xml:space="preserve">4 </w:t>
      </w:r>
      <w:r>
        <w:rPr>
          <w:rFonts w:hint="eastAsia" w:ascii="Arial" w:hAnsi="Arial" w:cs="Arial"/>
          <w:sz w:val="24"/>
          <w:szCs w:val="24"/>
        </w:rPr>
        <w:t>排风机应布置在排出口处。</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Fonts w:ascii="Arial" w:hAnsi="Arial" w:cs="Arial"/>
          <w:sz w:val="24"/>
          <w:szCs w:val="24"/>
        </w:rPr>
      </w:pPr>
      <w:r>
        <w:rPr>
          <w:rFonts w:hint="eastAsia" w:ascii="宋体" w:hAnsi="宋体"/>
          <w:b/>
          <w:bCs/>
          <w:color w:val="000000"/>
          <w:sz w:val="24"/>
        </w:rPr>
        <w:t xml:space="preserve">5 </w:t>
      </w:r>
      <w:r>
        <w:rPr>
          <w:rFonts w:hint="eastAsia" w:ascii="Arial" w:hAnsi="Arial" w:cs="Arial"/>
          <w:sz w:val="24"/>
          <w:szCs w:val="24"/>
        </w:rPr>
        <w:t>应选用防爆型的事故排风机。</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Fonts w:ascii="Arial" w:hAnsi="Arial" w:cs="Arial"/>
          <w:sz w:val="24"/>
          <w:szCs w:val="24"/>
        </w:rPr>
      </w:pPr>
      <w:r>
        <w:rPr>
          <w:rFonts w:hint="eastAsia" w:ascii="宋体" w:hAnsi="宋体"/>
          <w:b/>
          <w:bCs/>
          <w:color w:val="000000"/>
          <w:sz w:val="24"/>
        </w:rPr>
        <w:t xml:space="preserve">6 </w:t>
      </w:r>
      <w:r>
        <w:rPr>
          <w:rFonts w:hint="eastAsia" w:ascii="Arial" w:hAnsi="Arial" w:cs="Arial"/>
          <w:sz w:val="24"/>
          <w:szCs w:val="24"/>
        </w:rPr>
        <w:t>水平排风管全长应顺气流方向向上坡道敷设。</w:t>
      </w:r>
    </w:p>
    <w:p>
      <w:pPr>
        <w:adjustRightInd w:val="0"/>
        <w:snapToGrid w:val="0"/>
        <w:spacing w:line="360" w:lineRule="auto"/>
        <w:rPr>
          <w:rFonts w:ascii="Arial" w:hAnsi="Arial" w:cs="Arial"/>
          <w:sz w:val="24"/>
          <w:szCs w:val="24"/>
        </w:rPr>
      </w:pPr>
      <w:r>
        <w:rPr>
          <w:rFonts w:hint="eastAsia" w:ascii="宋体" w:hAnsi="宋体"/>
          <w:b/>
          <w:bCs/>
          <w:color w:val="000000"/>
          <w:sz w:val="24"/>
        </w:rPr>
        <w:t>8.1.6</w:t>
      </w:r>
      <w:r>
        <w:rPr>
          <w:rFonts w:hint="eastAsia" w:ascii="Arial" w:hAnsi="Arial" w:cs="Arial"/>
          <w:sz w:val="24"/>
          <w:szCs w:val="24"/>
        </w:rPr>
        <w:t xml:space="preserve"> 厨房的排油烟系统应符合下列规定：</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Fonts w:ascii="Arial" w:hAnsi="Arial" w:cs="Arial"/>
          <w:sz w:val="24"/>
          <w:szCs w:val="24"/>
        </w:rPr>
      </w:pPr>
      <w:r>
        <w:rPr>
          <w:rFonts w:hint="eastAsia" w:ascii="宋体" w:hAnsi="宋体"/>
          <w:b/>
          <w:bCs/>
          <w:color w:val="000000"/>
          <w:sz w:val="24"/>
        </w:rPr>
        <w:t xml:space="preserve">2 </w:t>
      </w:r>
      <w:r>
        <w:rPr>
          <w:rFonts w:hint="eastAsia" w:ascii="Arial" w:hAnsi="Arial" w:cs="Arial"/>
          <w:sz w:val="24"/>
          <w:szCs w:val="24"/>
        </w:rPr>
        <w:t>排油烟管道不应穿越重要或火灾危害性大的场所的房间。</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Fonts w:ascii="Arial" w:hAnsi="Arial" w:cs="Arial"/>
          <w:sz w:val="24"/>
          <w:szCs w:val="24"/>
        </w:rPr>
      </w:pPr>
      <w:r>
        <w:rPr>
          <w:rFonts w:hint="eastAsia" w:ascii="宋体" w:hAnsi="宋体"/>
          <w:b/>
          <w:bCs/>
          <w:color w:val="000000"/>
          <w:sz w:val="24"/>
        </w:rPr>
        <w:t>5</w:t>
      </w:r>
      <w:r>
        <w:rPr>
          <w:rFonts w:hint="eastAsia" w:ascii="Arial" w:hAnsi="Arial" w:cs="Arial"/>
          <w:sz w:val="24"/>
          <w:szCs w:val="24"/>
        </w:rPr>
        <w:t xml:space="preserve"> 排油烟管道应采用金属管道。</w:t>
      </w:r>
    </w:p>
    <w:p>
      <w:pPr>
        <w:adjustRightInd w:val="0"/>
        <w:snapToGrid w:val="0"/>
        <w:spacing w:line="360" w:lineRule="auto"/>
        <w:rPr>
          <w:rFonts w:hint="eastAsia" w:ascii="Arial" w:hAnsi="Arial" w:cs="Arial"/>
          <w:sz w:val="24"/>
          <w:szCs w:val="24"/>
        </w:rPr>
      </w:pPr>
      <w:r>
        <w:rPr>
          <w:rFonts w:hint="eastAsia" w:ascii="宋体" w:hAnsi="宋体"/>
          <w:b/>
          <w:bCs/>
          <w:color w:val="000000"/>
          <w:sz w:val="24"/>
        </w:rPr>
        <w:t xml:space="preserve">8.1.7 </w:t>
      </w:r>
      <w:r>
        <w:rPr>
          <w:rFonts w:hint="eastAsia" w:ascii="Arial" w:hAnsi="Arial" w:cs="Arial"/>
          <w:sz w:val="24"/>
          <w:szCs w:val="24"/>
        </w:rPr>
        <w:t>通风、空气调节系统的风管及绝热材料应采用不燃材料。</w:t>
      </w:r>
    </w:p>
    <w:p>
      <w:pPr>
        <w:adjustRightInd w:val="0"/>
        <w:snapToGrid w:val="0"/>
        <w:spacing w:line="360" w:lineRule="auto"/>
        <w:rPr>
          <w:rFonts w:ascii="Arial" w:hAnsi="Arial" w:cs="Arial"/>
          <w:sz w:val="24"/>
          <w:szCs w:val="24"/>
        </w:rPr>
      </w:pPr>
    </w:p>
    <w:p>
      <w:pPr>
        <w:adjustRightInd w:val="0"/>
        <w:snapToGrid w:val="0"/>
        <w:spacing w:line="360" w:lineRule="auto"/>
        <w:rPr>
          <w:rFonts w:ascii="Arial" w:hAnsi="Arial" w:eastAsia="黑体" w:cs="Arial"/>
          <w:sz w:val="24"/>
          <w:szCs w:val="24"/>
        </w:rPr>
      </w:pPr>
      <w:r>
        <w:rPr>
          <w:rFonts w:hint="eastAsia" w:ascii="Arial" w:hAnsi="Arial" w:eastAsia="黑体" w:cs="Arial"/>
          <w:sz w:val="24"/>
          <w:szCs w:val="24"/>
        </w:rPr>
        <w:t>《大型物流建筑消防设计标准</w:t>
      </w:r>
      <w:r>
        <w:rPr>
          <w:rFonts w:ascii="Arial" w:hAnsi="Arial" w:eastAsia="黑体" w:cs="Arial"/>
          <w:sz w:val="24"/>
          <w:szCs w:val="24"/>
        </w:rPr>
        <w:t>》D</w:t>
      </w:r>
      <w:r>
        <w:rPr>
          <w:rFonts w:hint="eastAsia" w:ascii="Arial" w:hAnsi="Arial" w:eastAsia="黑体" w:cs="Arial"/>
          <w:sz w:val="24"/>
          <w:szCs w:val="24"/>
        </w:rPr>
        <w:t>G</w:t>
      </w:r>
      <w:r>
        <w:rPr>
          <w:rFonts w:ascii="Arial" w:hAnsi="Arial" w:eastAsia="黑体" w:cs="Arial"/>
          <w:sz w:val="24"/>
          <w:szCs w:val="24"/>
        </w:rPr>
        <w:t>/</w:t>
      </w:r>
      <w:r>
        <w:rPr>
          <w:rFonts w:hint="eastAsia" w:ascii="Arial" w:hAnsi="Arial" w:eastAsia="黑体" w:cs="Arial"/>
          <w:sz w:val="24"/>
          <w:szCs w:val="24"/>
        </w:rPr>
        <w:t>TJ08-2343</w:t>
      </w:r>
      <w:r>
        <w:rPr>
          <w:rFonts w:ascii="Arial" w:hAnsi="Arial" w:eastAsia="黑体" w:cs="Arial"/>
          <w:sz w:val="24"/>
          <w:szCs w:val="24"/>
        </w:rPr>
        <w:t>-20</w:t>
      </w:r>
      <w:r>
        <w:rPr>
          <w:rFonts w:hint="eastAsia" w:ascii="Arial" w:hAnsi="Arial" w:eastAsia="黑体" w:cs="Arial"/>
          <w:sz w:val="24"/>
          <w:szCs w:val="24"/>
        </w:rPr>
        <w:t>20</w:t>
      </w:r>
    </w:p>
    <w:p>
      <w:pPr>
        <w:adjustRightInd w:val="0"/>
        <w:snapToGrid w:val="0"/>
        <w:spacing w:line="360" w:lineRule="auto"/>
        <w:rPr>
          <w:rFonts w:ascii="Arial" w:hAnsi="Arial" w:cs="Arial"/>
          <w:sz w:val="24"/>
          <w:szCs w:val="24"/>
        </w:rPr>
      </w:pPr>
      <w:r>
        <w:rPr>
          <w:rFonts w:hint="eastAsia" w:ascii="宋体" w:hAnsi="宋体"/>
          <w:b/>
          <w:bCs/>
          <w:color w:val="000000"/>
          <w:sz w:val="24"/>
        </w:rPr>
        <w:t>7.2.1</w:t>
      </w:r>
      <w:r>
        <w:rPr>
          <w:rFonts w:hint="eastAsia" w:ascii="Arial" w:hAnsi="Arial" w:cs="Arial"/>
          <w:sz w:val="24"/>
          <w:szCs w:val="24"/>
        </w:rPr>
        <w:t xml:space="preserve"> 大型物流建筑下列部位应设置排烟系统：</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Fonts w:ascii="Arial" w:hAnsi="Arial" w:cs="Arial"/>
          <w:sz w:val="24"/>
          <w:szCs w:val="24"/>
        </w:rPr>
      </w:pPr>
      <w:r>
        <w:rPr>
          <w:rFonts w:hint="eastAsia" w:ascii="宋体" w:hAnsi="宋体"/>
          <w:b/>
          <w:bCs/>
          <w:color w:val="000000"/>
          <w:sz w:val="24"/>
        </w:rPr>
        <w:t>4</w:t>
      </w:r>
      <w:r>
        <w:rPr>
          <w:rFonts w:hint="eastAsia" w:ascii="Arial" w:hAnsi="Arial" w:cs="Arial"/>
          <w:sz w:val="24"/>
          <w:szCs w:val="24"/>
        </w:rPr>
        <w:t xml:space="preserve"> 楼层货物运输平台上任一点至安全出口的直线距离大于30m处。</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Fonts w:ascii="Arial" w:hAnsi="Arial" w:cs="Arial"/>
          <w:sz w:val="24"/>
          <w:szCs w:val="24"/>
        </w:rPr>
      </w:pPr>
      <w:r>
        <w:rPr>
          <w:rFonts w:hint="eastAsia" w:ascii="宋体" w:hAnsi="宋体"/>
          <w:b/>
          <w:bCs/>
          <w:color w:val="000000"/>
          <w:sz w:val="24"/>
        </w:rPr>
        <w:t>5</w:t>
      </w:r>
      <w:r>
        <w:rPr>
          <w:rFonts w:hint="eastAsia" w:ascii="Arial" w:hAnsi="Arial" w:cs="Arial"/>
          <w:sz w:val="24"/>
          <w:szCs w:val="24"/>
        </w:rPr>
        <w:t xml:space="preserve"> 除顶层外，上人货架的货架通道中任一点至最近安全出口的距离超过40m处。</w:t>
      </w:r>
    </w:p>
    <w:p>
      <w:pPr>
        <w:adjustRightInd w:val="0"/>
        <w:snapToGrid w:val="0"/>
        <w:spacing w:line="360" w:lineRule="auto"/>
        <w:rPr>
          <w:rFonts w:hint="eastAsia" w:ascii="Arial" w:hAnsi="Arial" w:cs="Arial"/>
          <w:sz w:val="24"/>
          <w:szCs w:val="24"/>
        </w:rPr>
      </w:pPr>
      <w:r>
        <w:rPr>
          <w:rFonts w:hint="eastAsia" w:ascii="宋体" w:hAnsi="宋体"/>
          <w:b/>
          <w:bCs/>
          <w:color w:val="000000"/>
          <w:sz w:val="24"/>
        </w:rPr>
        <w:t>7.2.9</w:t>
      </w:r>
      <w:r>
        <w:rPr>
          <w:rFonts w:hint="eastAsia" w:ascii="Arial" w:hAnsi="Arial" w:cs="Arial"/>
          <w:sz w:val="24"/>
          <w:szCs w:val="24"/>
        </w:rPr>
        <w:t xml:space="preserve"> 自然排烟窗(口)常闭型机械排烟口(阀)应设置手动开启装置。当物流建筑内空间净高大于12m时采用的自然排烟的窗(口)应具有火灾自动报警系统联动开启功能。</w:t>
      </w:r>
    </w:p>
    <w:p>
      <w:pPr>
        <w:adjustRightInd w:val="0"/>
        <w:snapToGrid w:val="0"/>
        <w:spacing w:line="360" w:lineRule="auto"/>
        <w:rPr>
          <w:rFonts w:hint="eastAsia" w:ascii="Arial" w:hAnsi="Arial" w:cs="Arial"/>
          <w:sz w:val="24"/>
          <w:szCs w:val="24"/>
        </w:rPr>
      </w:pPr>
    </w:p>
    <w:p>
      <w:pPr>
        <w:adjustRightInd w:val="0"/>
        <w:snapToGrid w:val="0"/>
        <w:spacing w:line="360" w:lineRule="auto"/>
        <w:rPr>
          <w:rFonts w:hint="eastAsia" w:ascii="Arial" w:hAnsi="Arial" w:cs="Arial"/>
          <w:sz w:val="24"/>
          <w:szCs w:val="24"/>
        </w:rPr>
      </w:pPr>
    </w:p>
    <w:p>
      <w:pPr>
        <w:adjustRightInd w:val="0"/>
        <w:snapToGrid w:val="0"/>
        <w:spacing w:line="360" w:lineRule="auto"/>
        <w:rPr>
          <w:rFonts w:ascii="Arial" w:hAnsi="Arial" w:eastAsia="黑体" w:cs="Arial"/>
          <w:color w:val="FF0000"/>
          <w:sz w:val="24"/>
          <w:szCs w:val="24"/>
        </w:rPr>
      </w:pPr>
    </w:p>
    <w:p>
      <w:pPr>
        <w:adjustRightInd w:val="0"/>
        <w:snapToGrid w:val="0"/>
        <w:spacing w:line="360" w:lineRule="auto"/>
        <w:rPr>
          <w:rFonts w:ascii="Arial" w:hAnsi="Arial" w:eastAsia="黑体" w:cs="Arial"/>
          <w:sz w:val="24"/>
          <w:szCs w:val="24"/>
        </w:rPr>
      </w:pPr>
      <w:r>
        <w:rPr>
          <w:rFonts w:hint="eastAsia" w:ascii="Arial" w:hAnsi="Arial" w:eastAsia="黑体" w:cs="Arial"/>
          <w:sz w:val="24"/>
          <w:szCs w:val="24"/>
        </w:rPr>
        <w:t>《文化和优秀历史建筑消防技术标准</w:t>
      </w:r>
      <w:r>
        <w:rPr>
          <w:rFonts w:ascii="Arial" w:hAnsi="Arial" w:eastAsia="黑体" w:cs="Arial"/>
          <w:sz w:val="24"/>
          <w:szCs w:val="24"/>
        </w:rPr>
        <w:t>》D</w:t>
      </w:r>
      <w:r>
        <w:rPr>
          <w:rFonts w:hint="eastAsia" w:ascii="Arial" w:hAnsi="Arial" w:eastAsia="黑体" w:cs="Arial"/>
          <w:sz w:val="24"/>
          <w:szCs w:val="24"/>
        </w:rPr>
        <w:t>G</w:t>
      </w:r>
      <w:r>
        <w:rPr>
          <w:rFonts w:ascii="Arial" w:hAnsi="Arial" w:eastAsia="黑体" w:cs="Arial"/>
          <w:sz w:val="24"/>
          <w:szCs w:val="24"/>
        </w:rPr>
        <w:t>/</w:t>
      </w:r>
      <w:r>
        <w:rPr>
          <w:rFonts w:hint="eastAsia" w:ascii="Arial" w:hAnsi="Arial" w:eastAsia="黑体" w:cs="Arial"/>
          <w:sz w:val="24"/>
          <w:szCs w:val="24"/>
        </w:rPr>
        <w:t>TJ08-2410</w:t>
      </w:r>
      <w:r>
        <w:rPr>
          <w:rFonts w:ascii="Arial" w:hAnsi="Arial" w:eastAsia="黑体" w:cs="Arial"/>
          <w:sz w:val="24"/>
          <w:szCs w:val="24"/>
        </w:rPr>
        <w:t>-20</w:t>
      </w:r>
      <w:r>
        <w:rPr>
          <w:rFonts w:hint="eastAsia" w:ascii="Arial" w:hAnsi="Arial" w:eastAsia="黑体" w:cs="Arial"/>
          <w:sz w:val="24"/>
          <w:szCs w:val="24"/>
        </w:rPr>
        <w:t>22</w:t>
      </w:r>
    </w:p>
    <w:p>
      <w:pPr>
        <w:adjustRightInd w:val="0"/>
        <w:snapToGrid w:val="0"/>
        <w:spacing w:line="360" w:lineRule="auto"/>
        <w:rPr>
          <w:rFonts w:ascii="Arial" w:hAnsi="Arial" w:cs="Arial"/>
          <w:sz w:val="24"/>
          <w:szCs w:val="24"/>
        </w:rPr>
      </w:pPr>
      <w:r>
        <w:rPr>
          <w:rFonts w:hint="eastAsia" w:ascii="宋体" w:hAnsi="宋体"/>
          <w:b/>
          <w:bCs/>
          <w:color w:val="000000"/>
          <w:sz w:val="24"/>
        </w:rPr>
        <w:t xml:space="preserve">6.2.2 </w:t>
      </w:r>
      <w:r>
        <w:rPr>
          <w:rFonts w:hint="eastAsia" w:ascii="Arial" w:hAnsi="Arial" w:cs="Arial"/>
          <w:sz w:val="24"/>
          <w:szCs w:val="24"/>
        </w:rPr>
        <w:t>保护建筑内原先采用自然排烟方式的场所，自然排烟窗（口）的设置高度和有效面积难以满足国家和本市现行相关标准的要求时，应增设机械排烟设施。确有困难的，可维持自然排烟窗（口）原状，但应满足下列要求：</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Fonts w:ascii="Arial" w:hAnsi="Arial" w:cs="Arial"/>
          <w:sz w:val="24"/>
          <w:szCs w:val="24"/>
        </w:rPr>
      </w:pPr>
      <w:r>
        <w:rPr>
          <w:rFonts w:hint="eastAsia" w:ascii="宋体" w:hAnsi="宋体"/>
          <w:b/>
          <w:bCs/>
          <w:color w:val="000000"/>
          <w:sz w:val="24"/>
        </w:rPr>
        <w:t>1</w:t>
      </w:r>
      <w:r>
        <w:rPr>
          <w:rFonts w:hint="eastAsia" w:ascii="Arial" w:hAnsi="Arial" w:cs="Arial"/>
          <w:sz w:val="24"/>
          <w:szCs w:val="24"/>
        </w:rPr>
        <w:t xml:space="preserve"> 经计算，需满足可用安全疏散时间（ASET）大于必需安全疏散时间（RSET）。</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Fonts w:ascii="Arial" w:hAnsi="Arial" w:cs="Arial"/>
          <w:sz w:val="24"/>
          <w:szCs w:val="24"/>
        </w:rPr>
      </w:pPr>
      <w:r>
        <w:rPr>
          <w:rFonts w:hint="eastAsia" w:ascii="宋体" w:hAnsi="宋体"/>
          <w:b/>
          <w:bCs/>
          <w:color w:val="000000"/>
          <w:sz w:val="24"/>
        </w:rPr>
        <w:t>2</w:t>
      </w:r>
      <w:r>
        <w:rPr>
          <w:rFonts w:hint="eastAsia" w:ascii="Arial" w:hAnsi="Arial" w:cs="Arial"/>
          <w:sz w:val="24"/>
          <w:szCs w:val="24"/>
        </w:rPr>
        <w:t xml:space="preserve"> 中庭、剧场舞台空间的自然排烟窗（口）面积不应小于该场所面积的5%。</w:t>
      </w:r>
    </w:p>
    <w:p>
      <w:pPr>
        <w:adjustRightInd w:val="0"/>
        <w:snapToGrid w:val="0"/>
        <w:spacing w:line="360" w:lineRule="auto"/>
        <w:rPr>
          <w:rFonts w:ascii="Arial" w:hAnsi="Arial" w:cs="Arial"/>
          <w:sz w:val="24"/>
          <w:szCs w:val="24"/>
        </w:rPr>
      </w:pPr>
      <w:r>
        <w:rPr>
          <w:rFonts w:hint="eastAsia" w:ascii="宋体" w:hAnsi="宋体"/>
          <w:b/>
          <w:bCs/>
          <w:color w:val="000000"/>
          <w:sz w:val="24"/>
        </w:rPr>
        <w:t>6.2.3</w:t>
      </w:r>
      <w:r>
        <w:rPr>
          <w:rFonts w:hint="eastAsia" w:ascii="Arial" w:hAnsi="Arial" w:cs="Arial"/>
          <w:sz w:val="24"/>
          <w:szCs w:val="24"/>
        </w:rPr>
        <w:t xml:space="preserve"> 保护建筑通风、空气调节系统的风管及绝热材料应采用不燃材料。</w:t>
      </w:r>
    </w:p>
    <w:p>
      <w:pPr>
        <w:adjustRightInd w:val="0"/>
        <w:snapToGrid w:val="0"/>
        <w:spacing w:line="360" w:lineRule="auto"/>
        <w:rPr>
          <w:rFonts w:ascii="Arial" w:hAnsi="Arial" w:cs="Arial"/>
          <w:sz w:val="24"/>
          <w:szCs w:val="24"/>
        </w:rPr>
      </w:pPr>
    </w:p>
    <w:p>
      <w:pPr>
        <w:adjustRightInd w:val="0"/>
        <w:snapToGrid w:val="0"/>
        <w:spacing w:line="360" w:lineRule="auto"/>
        <w:rPr>
          <w:rFonts w:ascii="Arial" w:hAnsi="Arial" w:cs="Arial"/>
          <w:sz w:val="24"/>
          <w:szCs w:val="24"/>
        </w:rPr>
      </w:pPr>
    </w:p>
    <w:p>
      <w:pPr>
        <w:adjustRightInd w:val="0"/>
        <w:snapToGrid w:val="0"/>
        <w:spacing w:line="360" w:lineRule="auto"/>
        <w:rPr>
          <w:rFonts w:ascii="Arial" w:hAnsi="Arial" w:cs="Arial"/>
          <w:sz w:val="24"/>
          <w:szCs w:val="24"/>
        </w:rPr>
      </w:pPr>
    </w:p>
    <w:p>
      <w:pPr>
        <w:adjustRightInd w:val="0"/>
        <w:snapToGrid w:val="0"/>
        <w:spacing w:line="360" w:lineRule="auto"/>
        <w:rPr>
          <w:rFonts w:ascii="Arial" w:hAnsi="Arial" w:cs="Arial"/>
          <w:sz w:val="24"/>
          <w:szCs w:val="24"/>
        </w:rPr>
      </w:pPr>
    </w:p>
    <w:p>
      <w:pPr>
        <w:adjustRightInd w:val="0"/>
        <w:snapToGrid w:val="0"/>
        <w:spacing w:line="360" w:lineRule="auto"/>
        <w:rPr>
          <w:rFonts w:ascii="Arial" w:hAnsi="Arial" w:cs="Arial"/>
          <w:sz w:val="24"/>
          <w:szCs w:val="24"/>
        </w:rPr>
      </w:pPr>
    </w:p>
    <w:p>
      <w:pPr>
        <w:adjustRightInd w:val="0"/>
        <w:snapToGrid w:val="0"/>
        <w:spacing w:line="360" w:lineRule="auto"/>
        <w:rPr>
          <w:rFonts w:ascii="Arial" w:hAnsi="Arial" w:cs="Arial"/>
          <w:sz w:val="24"/>
          <w:szCs w:val="24"/>
        </w:rPr>
      </w:pPr>
    </w:p>
    <w:p>
      <w:pPr>
        <w:adjustRightInd w:val="0"/>
        <w:snapToGrid w:val="0"/>
        <w:spacing w:line="360" w:lineRule="auto"/>
        <w:rPr>
          <w:rFonts w:ascii="Arial" w:hAnsi="Arial" w:cs="Arial"/>
          <w:sz w:val="24"/>
          <w:szCs w:val="24"/>
        </w:rPr>
      </w:pPr>
    </w:p>
    <w:p>
      <w:pPr>
        <w:adjustRightInd w:val="0"/>
        <w:snapToGrid w:val="0"/>
        <w:spacing w:line="360" w:lineRule="auto"/>
        <w:rPr>
          <w:rFonts w:ascii="Arial" w:hAnsi="Arial" w:cs="Arial"/>
          <w:sz w:val="24"/>
          <w:szCs w:val="24"/>
        </w:rPr>
      </w:pPr>
    </w:p>
    <w:p>
      <w:pPr>
        <w:adjustRightInd w:val="0"/>
        <w:snapToGrid w:val="0"/>
        <w:spacing w:line="360" w:lineRule="auto"/>
        <w:rPr>
          <w:rFonts w:ascii="Arial" w:hAnsi="Arial" w:cs="Arial"/>
          <w:sz w:val="24"/>
          <w:szCs w:val="24"/>
        </w:rPr>
      </w:pPr>
    </w:p>
    <w:p>
      <w:pPr>
        <w:adjustRightInd w:val="0"/>
        <w:snapToGrid w:val="0"/>
        <w:spacing w:line="360" w:lineRule="auto"/>
        <w:rPr>
          <w:rFonts w:ascii="Arial" w:hAnsi="Arial" w:cs="Arial"/>
          <w:sz w:val="24"/>
          <w:szCs w:val="24"/>
        </w:rPr>
      </w:pPr>
    </w:p>
    <w:p>
      <w:pPr>
        <w:adjustRightInd w:val="0"/>
        <w:snapToGrid w:val="0"/>
        <w:spacing w:line="360" w:lineRule="auto"/>
        <w:rPr>
          <w:rFonts w:ascii="Arial" w:hAnsi="Arial" w:cs="Arial"/>
          <w:sz w:val="24"/>
          <w:szCs w:val="24"/>
        </w:rPr>
      </w:pPr>
    </w:p>
    <w:p>
      <w:pPr>
        <w:adjustRightInd w:val="0"/>
        <w:snapToGrid w:val="0"/>
        <w:spacing w:line="360" w:lineRule="auto"/>
        <w:rPr>
          <w:rFonts w:ascii="Arial" w:hAnsi="Arial" w:cs="Arial"/>
          <w:sz w:val="24"/>
          <w:szCs w:val="24"/>
        </w:rPr>
      </w:pPr>
    </w:p>
    <w:p>
      <w:pPr>
        <w:adjustRightInd w:val="0"/>
        <w:snapToGrid w:val="0"/>
        <w:spacing w:line="360" w:lineRule="auto"/>
        <w:rPr>
          <w:rFonts w:ascii="Arial" w:hAnsi="Arial" w:cs="Arial"/>
          <w:sz w:val="24"/>
          <w:szCs w:val="24"/>
        </w:rPr>
      </w:pPr>
    </w:p>
    <w:p>
      <w:pPr>
        <w:adjustRightInd w:val="0"/>
        <w:snapToGrid w:val="0"/>
        <w:spacing w:line="360" w:lineRule="auto"/>
        <w:rPr>
          <w:rFonts w:ascii="Arial" w:hAnsi="Arial" w:cs="Arial"/>
          <w:sz w:val="24"/>
          <w:szCs w:val="24"/>
        </w:rPr>
      </w:pPr>
    </w:p>
    <w:p>
      <w:pPr>
        <w:adjustRightInd w:val="0"/>
        <w:snapToGrid w:val="0"/>
        <w:spacing w:line="360" w:lineRule="auto"/>
        <w:rPr>
          <w:rFonts w:ascii="Arial" w:hAnsi="Arial" w:cs="Arial"/>
          <w:sz w:val="24"/>
          <w:szCs w:val="24"/>
        </w:rPr>
      </w:pPr>
    </w:p>
    <w:p>
      <w:pPr>
        <w:adjustRightInd w:val="0"/>
        <w:snapToGrid w:val="0"/>
        <w:spacing w:line="360" w:lineRule="auto"/>
        <w:rPr>
          <w:rFonts w:ascii="Arial" w:hAnsi="Arial" w:cs="Arial"/>
          <w:sz w:val="24"/>
          <w:szCs w:val="24"/>
        </w:rPr>
      </w:pPr>
    </w:p>
    <w:p>
      <w:pPr>
        <w:adjustRightInd w:val="0"/>
        <w:snapToGrid w:val="0"/>
        <w:spacing w:line="360" w:lineRule="auto"/>
        <w:rPr>
          <w:rFonts w:ascii="Arial" w:hAnsi="Arial" w:cs="Arial"/>
          <w:sz w:val="24"/>
          <w:szCs w:val="24"/>
        </w:rPr>
      </w:pPr>
    </w:p>
    <w:p>
      <w:pPr>
        <w:adjustRightInd w:val="0"/>
        <w:snapToGrid w:val="0"/>
        <w:spacing w:line="360" w:lineRule="auto"/>
        <w:rPr>
          <w:rFonts w:ascii="Arial" w:hAnsi="Arial" w:cs="Arial"/>
          <w:sz w:val="24"/>
          <w:szCs w:val="24"/>
        </w:rPr>
      </w:pPr>
    </w:p>
    <w:p>
      <w:pPr>
        <w:adjustRightInd w:val="0"/>
        <w:snapToGrid w:val="0"/>
        <w:spacing w:line="360" w:lineRule="auto"/>
        <w:rPr>
          <w:rFonts w:ascii="Arial" w:hAnsi="Arial" w:cs="Arial"/>
          <w:sz w:val="24"/>
          <w:szCs w:val="24"/>
        </w:rPr>
      </w:pPr>
    </w:p>
    <w:p>
      <w:pPr>
        <w:adjustRightInd w:val="0"/>
        <w:snapToGrid w:val="0"/>
        <w:spacing w:line="360" w:lineRule="auto"/>
        <w:rPr>
          <w:rFonts w:ascii="Arial" w:hAnsi="Arial" w:cs="Arial"/>
          <w:sz w:val="24"/>
          <w:szCs w:val="24"/>
        </w:rPr>
      </w:pPr>
    </w:p>
    <w:p>
      <w:pPr>
        <w:adjustRightInd w:val="0"/>
        <w:snapToGrid w:val="0"/>
        <w:spacing w:line="360" w:lineRule="auto"/>
        <w:rPr>
          <w:rFonts w:ascii="Arial" w:hAnsi="Arial" w:cs="Arial"/>
          <w:sz w:val="24"/>
          <w:szCs w:val="24"/>
        </w:rPr>
      </w:pPr>
    </w:p>
    <w:p>
      <w:pPr>
        <w:adjustRightInd w:val="0"/>
        <w:snapToGrid w:val="0"/>
        <w:spacing w:line="360" w:lineRule="auto"/>
        <w:rPr>
          <w:rFonts w:ascii="Arial" w:hAnsi="Arial" w:cs="Arial"/>
          <w:sz w:val="24"/>
          <w:szCs w:val="24"/>
        </w:rPr>
      </w:pPr>
    </w:p>
    <w:p>
      <w:pPr>
        <w:adjustRightInd w:val="0"/>
        <w:snapToGrid w:val="0"/>
        <w:spacing w:line="360" w:lineRule="auto"/>
        <w:rPr>
          <w:rFonts w:ascii="Arial" w:hAnsi="Arial" w:cs="Arial"/>
          <w:sz w:val="24"/>
          <w:szCs w:val="24"/>
        </w:rPr>
      </w:pPr>
    </w:p>
    <w:p>
      <w:pPr>
        <w:adjustRightInd w:val="0"/>
        <w:snapToGrid w:val="0"/>
        <w:spacing w:line="360" w:lineRule="auto"/>
        <w:rPr>
          <w:rFonts w:ascii="Arial" w:hAnsi="Arial" w:cs="Arial"/>
          <w:sz w:val="24"/>
          <w:szCs w:val="24"/>
        </w:rPr>
      </w:pPr>
    </w:p>
    <w:p>
      <w:pPr>
        <w:adjustRightInd w:val="0"/>
        <w:snapToGrid w:val="0"/>
        <w:spacing w:line="360" w:lineRule="auto"/>
        <w:rPr>
          <w:rFonts w:ascii="Arial" w:hAnsi="Arial" w:cs="Arial"/>
          <w:sz w:val="24"/>
          <w:szCs w:val="24"/>
        </w:rPr>
      </w:pPr>
    </w:p>
    <w:p>
      <w:pPr>
        <w:pStyle w:val="2"/>
        <w:adjustRightInd w:val="0"/>
        <w:snapToGrid w:val="0"/>
        <w:spacing w:before="240" w:after="240" w:line="480" w:lineRule="auto"/>
        <w:rPr>
          <w:rFonts w:cs="Arial"/>
          <w:sz w:val="30"/>
          <w:szCs w:val="30"/>
        </w:rPr>
      </w:pPr>
      <w:bookmarkStart w:id="38" w:name="_Toc154331134"/>
      <w:r>
        <w:rPr>
          <w:rFonts w:cs="Arial"/>
          <w:sz w:val="30"/>
          <w:szCs w:val="30"/>
        </w:rPr>
        <w:t>2.3建筑节能</w:t>
      </w:r>
      <w:bookmarkEnd w:id="38"/>
    </w:p>
    <w:p>
      <w:pPr>
        <w:adjustRightInd w:val="0"/>
        <w:snapToGrid w:val="0"/>
        <w:spacing w:line="360" w:lineRule="auto"/>
        <w:rPr>
          <w:rFonts w:ascii="Arial" w:hAnsi="Arial" w:eastAsia="黑体" w:cs="Arial"/>
          <w:sz w:val="24"/>
          <w:szCs w:val="24"/>
        </w:rPr>
      </w:pPr>
      <w:r>
        <w:rPr>
          <w:rFonts w:ascii="Arial" w:hAnsi="Arial" w:eastAsia="黑体" w:cs="Arial"/>
          <w:sz w:val="24"/>
          <w:szCs w:val="24"/>
        </w:rPr>
        <w:t>《</w:t>
      </w:r>
      <w:r>
        <w:rPr>
          <w:rFonts w:hint="eastAsia" w:ascii="Arial" w:hAnsi="Arial" w:eastAsia="黑体" w:cs="Arial"/>
          <w:sz w:val="24"/>
          <w:szCs w:val="24"/>
        </w:rPr>
        <w:t>公共建筑节能设计标准</w:t>
      </w:r>
      <w:r>
        <w:rPr>
          <w:rFonts w:ascii="Arial" w:hAnsi="Arial" w:eastAsia="黑体" w:cs="Arial"/>
          <w:sz w:val="24"/>
          <w:szCs w:val="24"/>
        </w:rPr>
        <w:t>》DGJ08-</w:t>
      </w:r>
      <w:r>
        <w:rPr>
          <w:rFonts w:hint="eastAsia" w:ascii="Arial" w:hAnsi="Arial" w:eastAsia="黑体" w:cs="Arial"/>
          <w:sz w:val="24"/>
          <w:szCs w:val="24"/>
        </w:rPr>
        <w:t>107</w:t>
      </w:r>
      <w:r>
        <w:rPr>
          <w:rFonts w:ascii="Arial" w:hAnsi="Arial" w:eastAsia="黑体" w:cs="Arial"/>
          <w:sz w:val="24"/>
          <w:szCs w:val="24"/>
        </w:rPr>
        <w:t>-201</w:t>
      </w:r>
      <w:r>
        <w:rPr>
          <w:rFonts w:hint="eastAsia" w:ascii="Arial" w:hAnsi="Arial" w:eastAsia="黑体" w:cs="Arial"/>
          <w:sz w:val="24"/>
          <w:szCs w:val="24"/>
        </w:rPr>
        <w:t>5</w:t>
      </w:r>
    </w:p>
    <w:p>
      <w:pPr>
        <w:adjustRightInd w:val="0"/>
        <w:snapToGrid w:val="0"/>
        <w:spacing w:line="360" w:lineRule="auto"/>
        <w:rPr>
          <w:rFonts w:ascii="Arial" w:hAnsi="Arial" w:eastAsia="黑体" w:cs="Arial"/>
          <w:sz w:val="24"/>
          <w:szCs w:val="24"/>
        </w:rPr>
      </w:pPr>
      <w:r>
        <w:rPr>
          <w:rFonts w:hint="eastAsia" w:ascii="宋体" w:hAnsi="宋体"/>
          <w:b/>
          <w:bCs/>
          <w:color w:val="000000"/>
          <w:sz w:val="24"/>
        </w:rPr>
        <w:t>4.2.4</w:t>
      </w:r>
      <w:r>
        <w:rPr>
          <w:rFonts w:hint="eastAsia" w:ascii="宋体" w:hAnsi="宋体"/>
          <w:b/>
          <w:bCs/>
          <w:color w:val="000000"/>
          <w:sz w:val="24"/>
          <w:lang w:val="en-US" w:eastAsia="zh-CN"/>
        </w:rPr>
        <w:t xml:space="preserve"> </w:t>
      </w:r>
      <w:r>
        <w:rPr>
          <w:rFonts w:hint="eastAsia" w:ascii="Arial" w:hAnsi="Arial" w:cs="Arial"/>
          <w:sz w:val="24"/>
          <w:szCs w:val="24"/>
        </w:rPr>
        <w:t>室内供暖系统设计应进行水力平衡计算，并应采取措施使各并联环路之间(不包括共用段)的压力损失相对差额不大于15%。</w:t>
      </w:r>
    </w:p>
    <w:p>
      <w:pPr>
        <w:adjustRightInd w:val="0"/>
        <w:snapToGrid w:val="0"/>
        <w:spacing w:line="360" w:lineRule="auto"/>
        <w:rPr>
          <w:rFonts w:ascii="Arial" w:hAnsi="Arial" w:cs="Arial"/>
          <w:sz w:val="24"/>
          <w:szCs w:val="24"/>
        </w:rPr>
      </w:pPr>
      <w:r>
        <w:rPr>
          <w:rFonts w:hint="eastAsia" w:ascii="宋体" w:hAnsi="宋体"/>
          <w:b/>
          <w:bCs/>
          <w:color w:val="000000"/>
          <w:sz w:val="24"/>
        </w:rPr>
        <w:t>4.3.4</w:t>
      </w:r>
      <w:r>
        <w:rPr>
          <w:rFonts w:hint="eastAsia" w:ascii="Arial" w:hAnsi="Arial" w:cs="Arial"/>
          <w:sz w:val="24"/>
          <w:szCs w:val="24"/>
        </w:rPr>
        <w:t xml:space="preserve"> 全空气空调系统节能设计应符合下列要求：</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Style w:val="26"/>
        </w:rPr>
      </w:pPr>
      <w:r>
        <w:rPr>
          <w:rFonts w:hint="eastAsia" w:ascii="宋体" w:hAnsi="宋体"/>
          <w:b/>
          <w:bCs/>
          <w:color w:val="000000"/>
          <w:sz w:val="24"/>
        </w:rPr>
        <w:t>1</w:t>
      </w:r>
      <w:r>
        <w:rPr>
          <w:rFonts w:hint="eastAsia" w:ascii="Arial" w:hAnsi="Arial" w:cs="Arial"/>
          <w:b/>
          <w:bCs/>
          <w:sz w:val="24"/>
          <w:szCs w:val="24"/>
        </w:rPr>
        <w:t xml:space="preserve"> </w:t>
      </w:r>
      <w:r>
        <w:rPr>
          <w:rFonts w:hint="eastAsia" w:ascii="Arial" w:hAnsi="Arial" w:cs="Arial"/>
          <w:sz w:val="24"/>
          <w:szCs w:val="24"/>
        </w:rPr>
        <w:t>除塔楼部分外的全空气空调系统应具有可变新风比功能，所有全空气空调系统的最大总新风比应不低于50%。</w:t>
      </w:r>
    </w:p>
    <w:p>
      <w:pPr>
        <w:adjustRightInd w:val="0"/>
        <w:snapToGrid w:val="0"/>
        <w:spacing w:line="360" w:lineRule="auto"/>
        <w:rPr>
          <w:rFonts w:ascii="Arial" w:hAnsi="Arial" w:cs="Arial"/>
          <w:sz w:val="24"/>
          <w:szCs w:val="24"/>
        </w:rPr>
      </w:pPr>
      <w:r>
        <w:rPr>
          <w:rFonts w:hint="eastAsia" w:ascii="宋体" w:hAnsi="宋体"/>
          <w:b/>
          <w:bCs/>
          <w:color w:val="000000"/>
          <w:sz w:val="24"/>
        </w:rPr>
        <w:t>4.3.8</w:t>
      </w:r>
      <w:r>
        <w:rPr>
          <w:rFonts w:hint="eastAsia" w:ascii="宋体" w:hAnsi="宋体"/>
          <w:b/>
          <w:bCs/>
          <w:color w:val="000000"/>
          <w:sz w:val="24"/>
          <w:lang w:val="en-US" w:eastAsia="zh-CN"/>
        </w:rPr>
        <w:t xml:space="preserve"> </w:t>
      </w:r>
      <w:r>
        <w:rPr>
          <w:rFonts w:hint="eastAsia" w:ascii="Arial" w:hAnsi="Arial" w:cs="Arial"/>
          <w:sz w:val="24"/>
          <w:szCs w:val="24"/>
        </w:rPr>
        <w:t>空调风系统设计应符合下列要求：</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Style w:val="26"/>
          <w:rFonts w:ascii="Arial" w:hAnsi="Arial" w:cs="Arial"/>
          <w:b w:val="0"/>
          <w:bCs w:val="0"/>
          <w:sz w:val="24"/>
        </w:rPr>
      </w:pPr>
      <w:r>
        <w:rPr>
          <w:rFonts w:hint="eastAsia" w:ascii="宋体" w:hAnsi="宋体"/>
          <w:b/>
          <w:bCs/>
          <w:color w:val="000000"/>
          <w:sz w:val="24"/>
        </w:rPr>
        <w:t>3</w:t>
      </w:r>
      <w:r>
        <w:rPr>
          <w:rStyle w:val="26"/>
          <w:rFonts w:hint="eastAsia" w:ascii="Arial" w:hAnsi="Arial" w:cs="Arial"/>
          <w:b w:val="0"/>
          <w:bCs w:val="0"/>
          <w:sz w:val="24"/>
        </w:rPr>
        <w:t xml:space="preserve"> 输送经冷热处理后的空调风系统，不应采用土建风道。若必须采用时，应采取必要的防漏风及绝热措施。</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Style w:val="26"/>
          <w:rFonts w:ascii="Arial" w:hAnsi="Arial" w:cs="Arial"/>
          <w:b w:val="0"/>
          <w:bCs w:val="0"/>
          <w:sz w:val="24"/>
        </w:rPr>
      </w:pPr>
      <w:r>
        <w:rPr>
          <w:rFonts w:hint="eastAsia" w:ascii="宋体" w:hAnsi="宋体"/>
          <w:b/>
          <w:bCs/>
          <w:color w:val="000000"/>
          <w:sz w:val="24"/>
        </w:rPr>
        <w:t>5</w:t>
      </w:r>
      <w:r>
        <w:rPr>
          <w:rFonts w:hint="eastAsia" w:ascii="宋体" w:hAnsi="宋体"/>
          <w:b w:val="0"/>
          <w:bCs w:val="0"/>
          <w:color w:val="000000"/>
          <w:sz w:val="24"/>
          <w:lang w:val="en-US" w:eastAsia="zh-CN"/>
        </w:rPr>
        <w:t xml:space="preserve"> </w:t>
      </w:r>
      <w:r>
        <w:rPr>
          <w:rStyle w:val="26"/>
          <w:rFonts w:hint="eastAsia" w:ascii="Arial" w:hAnsi="Arial" w:cs="Arial"/>
          <w:b w:val="0"/>
          <w:bCs w:val="0"/>
          <w:sz w:val="24"/>
        </w:rPr>
        <w:t>空调风管绝热层的最小热阻，应符合附录F中表F.0.4的规定。</w:t>
      </w:r>
    </w:p>
    <w:p>
      <w:pPr>
        <w:adjustRightInd w:val="0"/>
        <w:snapToGrid w:val="0"/>
        <w:spacing w:line="360" w:lineRule="auto"/>
        <w:ind w:firstLine="2165" w:firstLineChars="1027"/>
        <w:rPr>
          <w:rStyle w:val="26"/>
          <w:rFonts w:ascii="Arial" w:hAnsi="Arial" w:cs="Arial"/>
          <w:b w:val="0"/>
        </w:rPr>
      </w:pPr>
      <w:r>
        <w:rPr>
          <w:rStyle w:val="26"/>
          <w:rFonts w:hint="eastAsia" w:ascii="Arial" w:hAnsi="Arial" w:cs="Arial"/>
        </w:rPr>
        <w:t>表</w:t>
      </w:r>
      <w:r>
        <w:rPr>
          <w:rStyle w:val="26"/>
          <w:rFonts w:ascii="Arial" w:hAnsi="Arial" w:cs="Arial"/>
        </w:rPr>
        <w:t>F.0.4</w:t>
      </w:r>
      <w:r>
        <w:rPr>
          <w:rStyle w:val="26"/>
          <w:rFonts w:hint="eastAsia" w:ascii="Arial" w:hAnsi="Arial" w:cs="Arial"/>
        </w:rPr>
        <w:t>室内空调风管绝热层最小热阻</w:t>
      </w:r>
    </w:p>
    <w:tbl>
      <w:tblPr>
        <w:tblStyle w:val="24"/>
        <w:tblW w:w="0" w:type="auto"/>
        <w:tblInd w:w="0" w:type="dxa"/>
        <w:tblBorders>
          <w:top w:val="single" w:color="auto" w:sz="12" w:space="0"/>
          <w:left w:val="single" w:color="auto" w:sz="12" w:space="0"/>
          <w:bottom w:val="single" w:color="auto" w:sz="12" w:space="0"/>
          <w:right w:val="single" w:color="auto" w:sz="12"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2076"/>
        <w:gridCol w:w="2114"/>
        <w:gridCol w:w="2012"/>
        <w:gridCol w:w="2320"/>
      </w:tblGrid>
      <w:tr>
        <w:tblPrEx>
          <w:tblBorders>
            <w:top w:val="single" w:color="auto" w:sz="12" w:space="0"/>
            <w:left w:val="single" w:color="auto" w:sz="12" w:space="0"/>
            <w:bottom w:val="single" w:color="auto" w:sz="12" w:space="0"/>
            <w:right w:val="single" w:color="auto" w:sz="12"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076" w:type="dxa"/>
            <w:vMerge w:val="restart"/>
            <w:vAlign w:val="center"/>
          </w:tcPr>
          <w:p>
            <w:pPr>
              <w:spacing w:line="360" w:lineRule="auto"/>
              <w:jc w:val="center"/>
              <w:rPr>
                <w:rFonts w:ascii="Arial" w:hAnsi="Arial" w:cs="Arial"/>
                <w:kern w:val="0"/>
                <w:szCs w:val="21"/>
              </w:rPr>
            </w:pPr>
            <w:r>
              <w:rPr>
                <w:rFonts w:hint="eastAsia" w:ascii="Arial" w:hAnsi="Arial" w:cs="Arial"/>
                <w:kern w:val="0"/>
                <w:szCs w:val="21"/>
              </w:rPr>
              <w:t>风管类型</w:t>
            </w:r>
          </w:p>
        </w:tc>
        <w:tc>
          <w:tcPr>
            <w:tcW w:w="4126" w:type="dxa"/>
            <w:gridSpan w:val="2"/>
            <w:vAlign w:val="center"/>
          </w:tcPr>
          <w:p>
            <w:pPr>
              <w:spacing w:line="360" w:lineRule="auto"/>
              <w:jc w:val="center"/>
              <w:rPr>
                <w:rFonts w:ascii="Arial" w:hAnsi="Arial" w:cs="Arial"/>
                <w:kern w:val="0"/>
                <w:szCs w:val="21"/>
              </w:rPr>
            </w:pPr>
            <w:r>
              <w:rPr>
                <w:rFonts w:hint="eastAsia" w:ascii="Arial" w:hAnsi="Arial" w:cs="Arial"/>
                <w:kern w:val="0"/>
                <w:szCs w:val="21"/>
              </w:rPr>
              <w:t>适用介质温度（℃）</w:t>
            </w:r>
          </w:p>
        </w:tc>
        <w:tc>
          <w:tcPr>
            <w:tcW w:w="2320" w:type="dxa"/>
            <w:vMerge w:val="restart"/>
            <w:vAlign w:val="center"/>
          </w:tcPr>
          <w:p>
            <w:pPr>
              <w:spacing w:line="360" w:lineRule="auto"/>
              <w:jc w:val="center"/>
              <w:rPr>
                <w:rFonts w:ascii="Arial" w:hAnsi="Arial" w:cs="Arial"/>
                <w:kern w:val="0"/>
                <w:szCs w:val="21"/>
              </w:rPr>
            </w:pPr>
            <w:r>
              <w:rPr>
                <w:rFonts w:hint="eastAsia" w:ascii="Arial" w:hAnsi="Arial" w:cs="Arial"/>
                <w:kern w:val="0"/>
                <w:szCs w:val="21"/>
              </w:rPr>
              <w:t>最小热阻</w:t>
            </w:r>
          </w:p>
          <w:p>
            <w:pPr>
              <w:spacing w:line="360" w:lineRule="auto"/>
              <w:jc w:val="center"/>
              <w:rPr>
                <w:rFonts w:ascii="Arial" w:hAnsi="Arial" w:cs="Arial"/>
                <w:kern w:val="0"/>
                <w:szCs w:val="21"/>
              </w:rPr>
            </w:pPr>
            <w:r>
              <w:rPr>
                <w:rFonts w:hint="eastAsia" w:ascii="Arial" w:hAnsi="Arial" w:cs="Arial"/>
                <w:kern w:val="0"/>
                <w:szCs w:val="21"/>
              </w:rPr>
              <w:t>R[（m</w:t>
            </w:r>
            <w:r>
              <w:rPr>
                <w:rFonts w:hint="eastAsia" w:ascii="Arial" w:hAnsi="Arial" w:cs="Arial"/>
                <w:kern w:val="0"/>
                <w:szCs w:val="21"/>
                <w:vertAlign w:val="superscript"/>
              </w:rPr>
              <w:t>2</w:t>
            </w:r>
            <w:r>
              <w:rPr>
                <w:rFonts w:hint="eastAsia" w:ascii="Arial" w:hAnsi="Arial" w:cs="Arial"/>
                <w:kern w:val="0"/>
                <w:szCs w:val="21"/>
              </w:rPr>
              <w:t>·K）/W]</w:t>
            </w:r>
          </w:p>
        </w:tc>
      </w:tr>
      <w:tr>
        <w:tblPrEx>
          <w:tblBorders>
            <w:top w:val="single" w:color="auto" w:sz="12" w:space="0"/>
            <w:left w:val="single" w:color="auto" w:sz="12" w:space="0"/>
            <w:bottom w:val="single" w:color="auto" w:sz="12" w:space="0"/>
            <w:right w:val="single" w:color="auto" w:sz="12"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076" w:type="dxa"/>
            <w:vMerge w:val="continue"/>
            <w:vAlign w:val="center"/>
          </w:tcPr>
          <w:p>
            <w:pPr>
              <w:spacing w:line="360" w:lineRule="auto"/>
              <w:jc w:val="center"/>
              <w:rPr>
                <w:rFonts w:ascii="Arial" w:hAnsi="Arial" w:cs="Arial"/>
                <w:kern w:val="0"/>
                <w:szCs w:val="21"/>
              </w:rPr>
            </w:pPr>
          </w:p>
        </w:tc>
        <w:tc>
          <w:tcPr>
            <w:tcW w:w="2114" w:type="dxa"/>
            <w:vAlign w:val="center"/>
          </w:tcPr>
          <w:p>
            <w:pPr>
              <w:spacing w:line="360" w:lineRule="auto"/>
              <w:jc w:val="center"/>
              <w:rPr>
                <w:rFonts w:ascii="Arial" w:hAnsi="Arial" w:cs="Arial"/>
                <w:kern w:val="0"/>
                <w:szCs w:val="21"/>
              </w:rPr>
            </w:pPr>
            <w:r>
              <w:rPr>
                <w:rFonts w:hint="eastAsia" w:ascii="Arial" w:hAnsi="Arial" w:cs="Arial"/>
                <w:kern w:val="0"/>
                <w:szCs w:val="21"/>
              </w:rPr>
              <w:t>冷介质最低温度</w:t>
            </w:r>
          </w:p>
        </w:tc>
        <w:tc>
          <w:tcPr>
            <w:tcW w:w="2012" w:type="dxa"/>
          </w:tcPr>
          <w:p>
            <w:pPr>
              <w:spacing w:line="360" w:lineRule="auto"/>
              <w:jc w:val="center"/>
              <w:rPr>
                <w:rFonts w:ascii="Arial" w:hAnsi="Arial" w:cs="Arial"/>
                <w:kern w:val="0"/>
                <w:szCs w:val="21"/>
              </w:rPr>
            </w:pPr>
            <w:r>
              <w:rPr>
                <w:rFonts w:hint="eastAsia" w:ascii="Arial" w:hAnsi="Arial" w:cs="Arial"/>
                <w:kern w:val="0"/>
                <w:szCs w:val="21"/>
              </w:rPr>
              <w:t>热介质最高温度</w:t>
            </w:r>
          </w:p>
        </w:tc>
        <w:tc>
          <w:tcPr>
            <w:tcW w:w="2320" w:type="dxa"/>
            <w:vMerge w:val="continue"/>
            <w:vAlign w:val="center"/>
          </w:tcPr>
          <w:p>
            <w:pPr>
              <w:spacing w:line="360" w:lineRule="auto"/>
              <w:jc w:val="center"/>
              <w:rPr>
                <w:rFonts w:ascii="Arial" w:hAnsi="Arial" w:cs="Arial"/>
                <w:kern w:val="0"/>
                <w:szCs w:val="21"/>
              </w:rPr>
            </w:pPr>
          </w:p>
        </w:tc>
      </w:tr>
      <w:tr>
        <w:tblPrEx>
          <w:tblBorders>
            <w:top w:val="single" w:color="auto" w:sz="12" w:space="0"/>
            <w:left w:val="single" w:color="auto" w:sz="12" w:space="0"/>
            <w:bottom w:val="single" w:color="auto" w:sz="12" w:space="0"/>
            <w:right w:val="single" w:color="auto" w:sz="12"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076" w:type="dxa"/>
            <w:vAlign w:val="center"/>
          </w:tcPr>
          <w:p>
            <w:pPr>
              <w:spacing w:line="360" w:lineRule="auto"/>
              <w:jc w:val="center"/>
              <w:rPr>
                <w:rFonts w:ascii="Arial" w:hAnsi="Arial" w:cs="Arial"/>
                <w:kern w:val="0"/>
                <w:szCs w:val="21"/>
              </w:rPr>
            </w:pPr>
            <w:r>
              <w:rPr>
                <w:rFonts w:hint="eastAsia" w:ascii="Arial" w:hAnsi="Arial" w:cs="Arial"/>
                <w:kern w:val="0"/>
                <w:szCs w:val="21"/>
              </w:rPr>
              <w:t>一般空调风管</w:t>
            </w:r>
          </w:p>
        </w:tc>
        <w:tc>
          <w:tcPr>
            <w:tcW w:w="2114" w:type="dxa"/>
            <w:vAlign w:val="center"/>
          </w:tcPr>
          <w:p>
            <w:pPr>
              <w:spacing w:line="360" w:lineRule="auto"/>
              <w:jc w:val="center"/>
              <w:rPr>
                <w:rFonts w:ascii="Arial" w:hAnsi="Arial" w:cs="Arial"/>
                <w:kern w:val="0"/>
                <w:szCs w:val="21"/>
              </w:rPr>
            </w:pPr>
            <w:r>
              <w:rPr>
                <w:rFonts w:hint="eastAsia" w:ascii="Arial" w:hAnsi="Arial" w:cs="Arial"/>
                <w:kern w:val="0"/>
                <w:szCs w:val="21"/>
              </w:rPr>
              <w:t>15</w:t>
            </w:r>
          </w:p>
        </w:tc>
        <w:tc>
          <w:tcPr>
            <w:tcW w:w="2012" w:type="dxa"/>
          </w:tcPr>
          <w:p>
            <w:pPr>
              <w:spacing w:line="360" w:lineRule="auto"/>
              <w:jc w:val="center"/>
              <w:rPr>
                <w:rFonts w:ascii="Arial" w:hAnsi="Arial" w:cs="Arial"/>
                <w:kern w:val="0"/>
                <w:szCs w:val="21"/>
              </w:rPr>
            </w:pPr>
            <w:r>
              <w:rPr>
                <w:rFonts w:hint="eastAsia" w:ascii="Arial" w:hAnsi="Arial" w:cs="Arial"/>
                <w:kern w:val="0"/>
                <w:szCs w:val="21"/>
              </w:rPr>
              <w:t>30</w:t>
            </w:r>
          </w:p>
        </w:tc>
        <w:tc>
          <w:tcPr>
            <w:tcW w:w="2320" w:type="dxa"/>
            <w:vAlign w:val="center"/>
          </w:tcPr>
          <w:p>
            <w:pPr>
              <w:spacing w:line="360" w:lineRule="auto"/>
              <w:jc w:val="center"/>
              <w:rPr>
                <w:rFonts w:ascii="Arial" w:hAnsi="Arial" w:cs="Arial"/>
                <w:kern w:val="0"/>
                <w:szCs w:val="21"/>
              </w:rPr>
            </w:pPr>
            <w:r>
              <w:rPr>
                <w:rFonts w:hint="eastAsia" w:ascii="Arial" w:hAnsi="Arial" w:cs="Arial"/>
                <w:kern w:val="0"/>
                <w:szCs w:val="21"/>
              </w:rPr>
              <w:t>0.81</w:t>
            </w:r>
          </w:p>
        </w:tc>
      </w:tr>
      <w:tr>
        <w:tblPrEx>
          <w:tblBorders>
            <w:top w:val="single" w:color="auto" w:sz="12" w:space="0"/>
            <w:left w:val="single" w:color="auto" w:sz="12" w:space="0"/>
            <w:bottom w:val="single" w:color="auto" w:sz="12" w:space="0"/>
            <w:right w:val="single" w:color="auto" w:sz="12" w:space="0"/>
            <w:insideH w:val="single" w:color="000000" w:themeColor="text1" w:sz="4" w:space="0"/>
            <w:insideV w:val="single" w:color="000000" w:themeColor="text1" w:sz="4" w:space="0"/>
          </w:tblBorders>
        </w:tblPrEx>
        <w:tc>
          <w:tcPr>
            <w:tcW w:w="2076" w:type="dxa"/>
            <w:vAlign w:val="center"/>
          </w:tcPr>
          <w:p>
            <w:pPr>
              <w:spacing w:line="360" w:lineRule="auto"/>
              <w:jc w:val="center"/>
              <w:rPr>
                <w:rFonts w:ascii="Arial" w:hAnsi="Arial" w:cs="Arial"/>
                <w:kern w:val="0"/>
                <w:szCs w:val="21"/>
              </w:rPr>
            </w:pPr>
            <w:r>
              <w:rPr>
                <w:rFonts w:hint="eastAsia" w:ascii="Arial" w:hAnsi="Arial" w:cs="Arial"/>
                <w:kern w:val="0"/>
                <w:szCs w:val="21"/>
              </w:rPr>
              <w:t>低温风管</w:t>
            </w:r>
          </w:p>
        </w:tc>
        <w:tc>
          <w:tcPr>
            <w:tcW w:w="2114" w:type="dxa"/>
            <w:vAlign w:val="center"/>
          </w:tcPr>
          <w:p>
            <w:pPr>
              <w:spacing w:line="360" w:lineRule="auto"/>
              <w:jc w:val="center"/>
              <w:rPr>
                <w:rFonts w:ascii="Arial" w:hAnsi="Arial" w:cs="Arial"/>
                <w:kern w:val="0"/>
                <w:szCs w:val="21"/>
              </w:rPr>
            </w:pPr>
            <w:r>
              <w:rPr>
                <w:rFonts w:hint="eastAsia" w:ascii="Arial" w:hAnsi="Arial" w:cs="Arial"/>
                <w:kern w:val="0"/>
                <w:szCs w:val="21"/>
              </w:rPr>
              <w:t>6</w:t>
            </w:r>
          </w:p>
        </w:tc>
        <w:tc>
          <w:tcPr>
            <w:tcW w:w="2012" w:type="dxa"/>
          </w:tcPr>
          <w:p>
            <w:pPr>
              <w:spacing w:line="360" w:lineRule="auto"/>
              <w:jc w:val="center"/>
              <w:rPr>
                <w:rFonts w:ascii="Arial" w:hAnsi="Arial" w:cs="Arial"/>
                <w:kern w:val="0"/>
                <w:szCs w:val="21"/>
              </w:rPr>
            </w:pPr>
            <w:r>
              <w:rPr>
                <w:rFonts w:hint="eastAsia" w:ascii="Arial" w:hAnsi="Arial" w:cs="Arial"/>
                <w:kern w:val="0"/>
                <w:szCs w:val="21"/>
              </w:rPr>
              <w:t>39</w:t>
            </w:r>
          </w:p>
        </w:tc>
        <w:tc>
          <w:tcPr>
            <w:tcW w:w="2320" w:type="dxa"/>
            <w:vAlign w:val="center"/>
          </w:tcPr>
          <w:p>
            <w:pPr>
              <w:spacing w:line="360" w:lineRule="auto"/>
              <w:jc w:val="center"/>
              <w:rPr>
                <w:rFonts w:ascii="Arial" w:hAnsi="Arial" w:cs="Arial"/>
                <w:kern w:val="0"/>
                <w:szCs w:val="21"/>
              </w:rPr>
            </w:pPr>
            <w:r>
              <w:rPr>
                <w:rFonts w:hint="eastAsia" w:ascii="Arial" w:hAnsi="Arial" w:cs="Arial"/>
                <w:kern w:val="0"/>
                <w:szCs w:val="21"/>
              </w:rPr>
              <w:t>1.14</w:t>
            </w:r>
          </w:p>
        </w:tc>
      </w:tr>
    </w:tbl>
    <w:p>
      <w:pPr>
        <w:spacing w:line="360" w:lineRule="auto"/>
        <w:rPr>
          <w:rFonts w:ascii="Arial" w:hAnsi="Arial" w:cs="Arial"/>
          <w:sz w:val="24"/>
          <w:szCs w:val="24"/>
        </w:rPr>
      </w:pPr>
    </w:p>
    <w:p>
      <w:pPr>
        <w:adjustRightInd w:val="0"/>
        <w:snapToGrid w:val="0"/>
        <w:spacing w:line="360" w:lineRule="auto"/>
        <w:rPr>
          <w:rFonts w:ascii="Arial" w:hAnsi="Arial" w:cs="Arial"/>
          <w:sz w:val="24"/>
          <w:szCs w:val="24"/>
        </w:rPr>
      </w:pPr>
      <w:r>
        <w:rPr>
          <w:rFonts w:hint="eastAsia" w:ascii="宋体" w:hAnsi="宋体"/>
          <w:b/>
          <w:bCs/>
          <w:color w:val="000000"/>
          <w:sz w:val="24"/>
        </w:rPr>
        <w:t>4.3.9</w:t>
      </w:r>
      <w:r>
        <w:rPr>
          <w:rFonts w:hint="eastAsia" w:ascii="Arial" w:hAnsi="Arial" w:cs="Arial"/>
          <w:sz w:val="24"/>
          <w:szCs w:val="24"/>
        </w:rPr>
        <w:t xml:space="preserve"> 多联式空调系统设置应符合下列要求：</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Style w:val="26"/>
          <w:rFonts w:ascii="Arial" w:hAnsi="Arial" w:cs="Arial"/>
          <w:b w:val="0"/>
          <w:bCs w:val="0"/>
          <w:sz w:val="20"/>
        </w:rPr>
      </w:pPr>
      <w:r>
        <w:rPr>
          <w:rFonts w:hint="eastAsia" w:ascii="宋体" w:hAnsi="宋体"/>
          <w:b/>
          <w:bCs/>
          <w:color w:val="000000"/>
          <w:sz w:val="24"/>
        </w:rPr>
        <w:t>3</w:t>
      </w:r>
      <w:r>
        <w:rPr>
          <w:rStyle w:val="26"/>
          <w:rFonts w:hint="eastAsia" w:ascii="Arial" w:hAnsi="Arial" w:cs="Arial"/>
          <w:sz w:val="24"/>
        </w:rPr>
        <w:t xml:space="preserve"> </w:t>
      </w:r>
      <w:r>
        <w:rPr>
          <w:rStyle w:val="26"/>
          <w:rFonts w:hint="eastAsia" w:ascii="Arial" w:hAnsi="Arial" w:cs="Arial"/>
          <w:b w:val="0"/>
          <w:bCs w:val="0"/>
          <w:sz w:val="24"/>
        </w:rPr>
        <w:t>应根据室外机与室内机之间、室内机之间的高度差和配管长度计算夏季供冷量修正系数，该修正系数不应小于0.85。</w:t>
      </w:r>
    </w:p>
    <w:p>
      <w:pPr>
        <w:adjustRightInd w:val="0"/>
        <w:snapToGrid w:val="0"/>
        <w:spacing w:line="360" w:lineRule="auto"/>
        <w:rPr>
          <w:rFonts w:ascii="Arial" w:hAnsi="Arial" w:cs="Arial"/>
          <w:sz w:val="24"/>
          <w:szCs w:val="24"/>
        </w:rPr>
      </w:pPr>
      <w:r>
        <w:rPr>
          <w:rFonts w:hint="eastAsia" w:ascii="宋体" w:hAnsi="宋体"/>
          <w:b/>
          <w:bCs/>
          <w:color w:val="000000"/>
          <w:sz w:val="24"/>
        </w:rPr>
        <w:t>4.4.1</w:t>
      </w:r>
      <w:r>
        <w:rPr>
          <w:rFonts w:hint="eastAsia" w:ascii="Arial" w:hAnsi="Arial" w:cs="Arial"/>
          <w:sz w:val="24"/>
          <w:szCs w:val="24"/>
        </w:rPr>
        <w:t xml:space="preserve"> 空调冷、热水系统应采用闭式循环水系统，并应合理布置管路走向，缩短总长度；</w:t>
      </w:r>
    </w:p>
    <w:p>
      <w:pPr>
        <w:adjustRightInd w:val="0"/>
        <w:snapToGrid w:val="0"/>
        <w:spacing w:line="360" w:lineRule="auto"/>
        <w:rPr>
          <w:rFonts w:ascii="Arial" w:hAnsi="Arial" w:cs="Arial"/>
          <w:sz w:val="24"/>
          <w:szCs w:val="24"/>
        </w:rPr>
      </w:pPr>
      <w:r>
        <w:rPr>
          <w:rFonts w:hint="eastAsia" w:ascii="宋体" w:hAnsi="宋体"/>
          <w:b/>
          <w:bCs/>
          <w:color w:val="000000"/>
          <w:sz w:val="24"/>
        </w:rPr>
        <w:t>4.4.2</w:t>
      </w:r>
      <w:r>
        <w:rPr>
          <w:rFonts w:hint="eastAsia" w:ascii="Arial" w:hAnsi="Arial" w:cs="Arial"/>
          <w:sz w:val="24"/>
          <w:szCs w:val="24"/>
        </w:rPr>
        <w:t xml:space="preserve"> 空调冷、热水系统型式应符合下列规定：</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Style w:val="26"/>
          <w:rFonts w:ascii="Arial" w:hAnsi="Arial" w:cs="Arial"/>
          <w:b w:val="0"/>
          <w:bCs w:val="0"/>
          <w:sz w:val="24"/>
        </w:rPr>
      </w:pPr>
      <w:r>
        <w:rPr>
          <w:rFonts w:hint="eastAsia" w:ascii="宋体" w:hAnsi="宋体"/>
          <w:b/>
          <w:bCs/>
          <w:color w:val="000000"/>
          <w:sz w:val="24"/>
        </w:rPr>
        <w:t>1</w:t>
      </w:r>
      <w:r>
        <w:rPr>
          <w:rStyle w:val="26"/>
          <w:rFonts w:hint="eastAsia" w:ascii="Arial" w:hAnsi="Arial" w:cs="Arial"/>
          <w:b w:val="0"/>
          <w:bCs w:val="0"/>
          <w:sz w:val="24"/>
        </w:rPr>
        <w:t>只要求按季节进行供冷和供热转换的空调系统，应采用两管制水系统；</w:t>
      </w:r>
    </w:p>
    <w:p>
      <w:pPr>
        <w:adjustRightInd w:val="0"/>
        <w:snapToGrid w:val="0"/>
        <w:spacing w:line="360" w:lineRule="auto"/>
        <w:rPr>
          <w:rStyle w:val="26"/>
          <w:rFonts w:ascii="Arial" w:hAnsi="Arial" w:cs="Arial"/>
          <w:b w:val="0"/>
          <w:bCs w:val="0"/>
          <w:sz w:val="24"/>
        </w:rPr>
      </w:pPr>
      <w:r>
        <w:rPr>
          <w:rFonts w:hint="eastAsia" w:ascii="宋体" w:hAnsi="宋体"/>
          <w:b/>
          <w:bCs/>
          <w:color w:val="000000"/>
          <w:sz w:val="24"/>
        </w:rPr>
        <w:t>4.4.3</w:t>
      </w:r>
      <w:r>
        <w:rPr>
          <w:rStyle w:val="26"/>
          <w:rFonts w:hint="eastAsia" w:ascii="Arial" w:hAnsi="Arial" w:cs="Arial"/>
          <w:sz w:val="24"/>
        </w:rPr>
        <w:t xml:space="preserve"> </w:t>
      </w:r>
      <w:r>
        <w:rPr>
          <w:rStyle w:val="26"/>
          <w:rFonts w:hint="eastAsia" w:ascii="Arial" w:hAnsi="Arial" w:cs="Arial"/>
          <w:b w:val="0"/>
          <w:bCs w:val="0"/>
          <w:sz w:val="24"/>
        </w:rPr>
        <w:t>空调冷、热水系统设计应符合下列规定：</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Style w:val="26"/>
          <w:rFonts w:ascii="Arial" w:hAnsi="Arial" w:cs="Arial"/>
          <w:b w:val="0"/>
          <w:bCs w:val="0"/>
          <w:sz w:val="24"/>
        </w:rPr>
      </w:pPr>
      <w:r>
        <w:rPr>
          <w:rFonts w:hint="eastAsia" w:ascii="宋体" w:hAnsi="宋体"/>
          <w:b/>
          <w:bCs/>
          <w:color w:val="000000"/>
          <w:sz w:val="24"/>
        </w:rPr>
        <w:t>2</w:t>
      </w:r>
      <w:r>
        <w:rPr>
          <w:rStyle w:val="26"/>
          <w:rFonts w:hint="eastAsia" w:ascii="Arial" w:hAnsi="Arial" w:cs="Arial"/>
          <w:b w:val="0"/>
          <w:bCs w:val="0"/>
          <w:sz w:val="24"/>
        </w:rPr>
        <w:t xml:space="preserve"> 系统较大、各环路负荷特性或压力损失相差悬殊时，应采用二级泵系统；其中第二级泵应根据流量需求变化采用变速变流量调节方式；</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Style w:val="26"/>
          <w:rFonts w:ascii="Arial" w:hAnsi="Arial" w:cs="Arial"/>
          <w:b w:val="0"/>
          <w:bCs w:val="0"/>
          <w:sz w:val="24"/>
        </w:rPr>
      </w:pPr>
      <w:r>
        <w:rPr>
          <w:rFonts w:hint="eastAsia" w:ascii="宋体" w:hAnsi="宋体"/>
          <w:b/>
          <w:bCs/>
          <w:color w:val="000000"/>
          <w:sz w:val="24"/>
        </w:rPr>
        <w:t>3</w:t>
      </w:r>
      <w:r>
        <w:rPr>
          <w:rStyle w:val="26"/>
          <w:rFonts w:hint="eastAsia" w:ascii="Arial" w:hAnsi="Arial" w:cs="Arial"/>
          <w:b w:val="0"/>
          <w:bCs w:val="0"/>
          <w:sz w:val="24"/>
        </w:rPr>
        <w:t xml:space="preserve"> 除温湿度分控空调系统与空气源热泵系统外，电制冷空调冷水系统的供、回水设计温差不应小于6℃。在技术可靠、经济合理的前提下，宜适当加大冷水供、回水温差。</w:t>
      </w:r>
    </w:p>
    <w:p>
      <w:pPr>
        <w:adjustRightInd w:val="0"/>
        <w:snapToGrid w:val="0"/>
        <w:spacing w:line="360" w:lineRule="auto"/>
        <w:rPr>
          <w:rStyle w:val="26"/>
          <w:rFonts w:ascii="Arial" w:hAnsi="Arial" w:cs="Arial"/>
          <w:b w:val="0"/>
          <w:bCs w:val="0"/>
          <w:sz w:val="24"/>
        </w:rPr>
      </w:pPr>
      <w:r>
        <w:rPr>
          <w:rFonts w:hint="eastAsia" w:ascii="宋体" w:hAnsi="宋体"/>
          <w:b/>
          <w:bCs/>
          <w:color w:val="000000"/>
          <w:sz w:val="24"/>
        </w:rPr>
        <w:t>4.4.4</w:t>
      </w:r>
      <w:r>
        <w:rPr>
          <w:rStyle w:val="26"/>
          <w:rFonts w:hint="eastAsia" w:ascii="Arial" w:hAnsi="Arial" w:cs="Arial"/>
          <w:b w:val="0"/>
          <w:bCs w:val="0"/>
          <w:sz w:val="24"/>
        </w:rPr>
        <w:t xml:space="preserve"> 设计选择两管制空调冷、热水系统的循环水泵时，冷水循环泵和热水循环泵应分别设置。</w:t>
      </w:r>
    </w:p>
    <w:p>
      <w:pPr>
        <w:adjustRightInd w:val="0"/>
        <w:snapToGrid w:val="0"/>
        <w:spacing w:line="360" w:lineRule="auto"/>
        <w:rPr>
          <w:rStyle w:val="26"/>
          <w:rFonts w:ascii="Arial" w:hAnsi="Arial" w:cs="Arial"/>
          <w:b w:val="0"/>
          <w:bCs w:val="0"/>
          <w:sz w:val="24"/>
        </w:rPr>
      </w:pPr>
      <w:r>
        <w:rPr>
          <w:rFonts w:hint="eastAsia" w:ascii="宋体" w:hAnsi="宋体"/>
          <w:b/>
          <w:bCs/>
          <w:color w:val="000000"/>
          <w:sz w:val="24"/>
        </w:rPr>
        <w:t>4.4.6</w:t>
      </w:r>
      <w:r>
        <w:rPr>
          <w:rStyle w:val="26"/>
          <w:rFonts w:hint="eastAsia" w:ascii="Arial" w:hAnsi="Arial" w:cs="Arial"/>
          <w:b w:val="0"/>
          <w:bCs w:val="0"/>
          <w:sz w:val="24"/>
        </w:rPr>
        <w:t xml:space="preserve"> 空调水系统设计时，应保证并联环路之间的压力损失相对差额不大于15%；超过时应采取水力平衡措施。</w:t>
      </w:r>
    </w:p>
    <w:p>
      <w:pPr>
        <w:adjustRightInd w:val="0"/>
        <w:snapToGrid w:val="0"/>
        <w:spacing w:line="360" w:lineRule="auto"/>
        <w:rPr>
          <w:rStyle w:val="26"/>
          <w:rFonts w:ascii="Arial" w:hAnsi="Arial" w:cs="Arial"/>
          <w:b w:val="0"/>
          <w:bCs w:val="0"/>
          <w:sz w:val="24"/>
        </w:rPr>
      </w:pPr>
      <w:r>
        <w:rPr>
          <w:rFonts w:hint="eastAsia" w:ascii="宋体" w:hAnsi="宋体"/>
          <w:b/>
          <w:bCs/>
          <w:color w:val="000000"/>
          <w:sz w:val="24"/>
        </w:rPr>
        <w:t>4.5.17</w:t>
      </w:r>
      <w:r>
        <w:rPr>
          <w:rStyle w:val="26"/>
          <w:rFonts w:hint="eastAsia" w:ascii="Arial" w:hAnsi="Arial" w:cs="Arial"/>
          <w:b w:val="0"/>
          <w:bCs w:val="0"/>
          <w:sz w:val="24"/>
        </w:rPr>
        <w:t xml:space="preserve"> 经技术经济比较合理时，采用蒸汽为热源的供暖、空调设备应回收用汽设备产生的凝结水。凝结水回收系统应采用闭式系统。</w:t>
      </w:r>
    </w:p>
    <w:p>
      <w:pPr>
        <w:adjustRightInd w:val="0"/>
        <w:snapToGrid w:val="0"/>
        <w:spacing w:line="360" w:lineRule="auto"/>
        <w:rPr>
          <w:rStyle w:val="26"/>
          <w:rFonts w:ascii="Arial" w:hAnsi="Arial" w:cs="Arial"/>
          <w:b w:val="0"/>
          <w:bCs w:val="0"/>
          <w:sz w:val="24"/>
        </w:rPr>
      </w:pPr>
      <w:r>
        <w:rPr>
          <w:rFonts w:hint="eastAsia" w:ascii="宋体" w:hAnsi="宋体"/>
          <w:b/>
          <w:bCs/>
          <w:color w:val="000000"/>
          <w:sz w:val="24"/>
        </w:rPr>
        <w:t>4.6.6</w:t>
      </w:r>
      <w:r>
        <w:rPr>
          <w:rStyle w:val="26"/>
          <w:rFonts w:hint="eastAsia" w:ascii="Arial" w:hAnsi="Arial" w:cs="Arial"/>
          <w:b w:val="0"/>
          <w:bCs w:val="0"/>
          <w:sz w:val="24"/>
        </w:rPr>
        <w:t xml:space="preserve"> 空调冷却水系统应满足下列基本控制要求：</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Style w:val="26"/>
          <w:rFonts w:ascii="Arial" w:hAnsi="Arial" w:cs="Arial"/>
          <w:b w:val="0"/>
          <w:bCs w:val="0"/>
          <w:sz w:val="24"/>
        </w:rPr>
      </w:pPr>
      <w:r>
        <w:rPr>
          <w:rFonts w:hint="eastAsia" w:ascii="宋体" w:hAnsi="宋体"/>
          <w:b/>
          <w:bCs/>
          <w:color w:val="000000"/>
          <w:sz w:val="24"/>
        </w:rPr>
        <w:t>2</w:t>
      </w:r>
      <w:r>
        <w:rPr>
          <w:rStyle w:val="26"/>
          <w:rFonts w:hint="eastAsia" w:ascii="Arial" w:hAnsi="Arial" w:cs="Arial"/>
          <w:b w:val="0"/>
          <w:bCs w:val="0"/>
          <w:sz w:val="24"/>
        </w:rPr>
        <w:t xml:space="preserve"> 冷却塔风机的运行台数控制或风机调速控制；</w:t>
      </w:r>
    </w:p>
    <w:p>
      <w:pPr>
        <w:adjustRightInd w:val="0"/>
        <w:snapToGrid w:val="0"/>
        <w:spacing w:line="360" w:lineRule="auto"/>
        <w:rPr>
          <w:rStyle w:val="26"/>
          <w:rFonts w:ascii="Arial" w:hAnsi="Arial" w:cs="Arial"/>
          <w:b w:val="0"/>
          <w:bCs w:val="0"/>
          <w:sz w:val="24"/>
        </w:rPr>
      </w:pPr>
      <w:r>
        <w:rPr>
          <w:rFonts w:hint="eastAsia" w:ascii="宋体" w:hAnsi="宋体"/>
          <w:b/>
          <w:bCs/>
          <w:color w:val="000000"/>
          <w:sz w:val="24"/>
        </w:rPr>
        <w:t xml:space="preserve">4.6.10 </w:t>
      </w:r>
      <w:r>
        <w:rPr>
          <w:rStyle w:val="26"/>
          <w:rFonts w:hint="eastAsia" w:ascii="Arial" w:hAnsi="Arial" w:cs="Arial"/>
          <w:b w:val="0"/>
          <w:bCs w:val="0"/>
          <w:sz w:val="24"/>
        </w:rPr>
        <w:t>对末端变水量系统中的风机盘管，应采用电动温控阀和三档风速结合的控制方式。</w:t>
      </w:r>
    </w:p>
    <w:p>
      <w:pPr>
        <w:adjustRightInd w:val="0"/>
        <w:snapToGrid w:val="0"/>
        <w:spacing w:line="360" w:lineRule="auto"/>
        <w:rPr>
          <w:rStyle w:val="26"/>
          <w:rFonts w:ascii="Arial" w:hAnsi="Arial" w:cs="Arial"/>
          <w:sz w:val="24"/>
        </w:rPr>
      </w:pPr>
    </w:p>
    <w:p>
      <w:pPr>
        <w:adjustRightInd w:val="0"/>
        <w:snapToGrid w:val="0"/>
        <w:spacing w:line="360" w:lineRule="auto"/>
        <w:rPr>
          <w:rStyle w:val="26"/>
          <w:rFonts w:ascii="Arial" w:hAnsi="Arial" w:cs="Arial"/>
          <w:sz w:val="24"/>
        </w:rPr>
      </w:pPr>
    </w:p>
    <w:p>
      <w:pPr>
        <w:adjustRightInd w:val="0"/>
        <w:snapToGrid w:val="0"/>
        <w:spacing w:line="360" w:lineRule="auto"/>
        <w:rPr>
          <w:rStyle w:val="26"/>
          <w:rFonts w:ascii="Arial" w:hAnsi="Arial" w:cs="Arial"/>
          <w:sz w:val="24"/>
        </w:rPr>
      </w:pPr>
    </w:p>
    <w:p>
      <w:pPr>
        <w:adjustRightInd w:val="0"/>
        <w:snapToGrid w:val="0"/>
        <w:spacing w:line="360" w:lineRule="auto"/>
        <w:rPr>
          <w:rStyle w:val="26"/>
          <w:rFonts w:ascii="Arial" w:hAnsi="Arial" w:cs="Arial"/>
          <w:sz w:val="24"/>
        </w:rPr>
      </w:pPr>
    </w:p>
    <w:p>
      <w:pPr>
        <w:adjustRightInd w:val="0"/>
        <w:snapToGrid w:val="0"/>
        <w:spacing w:line="360" w:lineRule="auto"/>
        <w:rPr>
          <w:rStyle w:val="26"/>
          <w:rFonts w:ascii="Arial" w:hAnsi="Arial" w:cs="Arial"/>
          <w:sz w:val="24"/>
        </w:rPr>
      </w:pPr>
    </w:p>
    <w:p>
      <w:pPr>
        <w:adjustRightInd w:val="0"/>
        <w:snapToGrid w:val="0"/>
        <w:spacing w:line="360" w:lineRule="auto"/>
        <w:rPr>
          <w:rStyle w:val="26"/>
          <w:rFonts w:ascii="Arial" w:hAnsi="Arial" w:cs="Arial"/>
          <w:sz w:val="24"/>
        </w:rPr>
      </w:pPr>
    </w:p>
    <w:p>
      <w:pPr>
        <w:adjustRightInd w:val="0"/>
        <w:snapToGrid w:val="0"/>
        <w:spacing w:line="360" w:lineRule="auto"/>
        <w:rPr>
          <w:rStyle w:val="26"/>
          <w:rFonts w:ascii="Arial" w:hAnsi="Arial" w:cs="Arial"/>
          <w:sz w:val="24"/>
        </w:rPr>
      </w:pPr>
    </w:p>
    <w:p>
      <w:pPr>
        <w:adjustRightInd w:val="0"/>
        <w:snapToGrid w:val="0"/>
        <w:spacing w:line="360" w:lineRule="auto"/>
        <w:rPr>
          <w:rStyle w:val="26"/>
          <w:rFonts w:ascii="Arial" w:hAnsi="Arial" w:cs="Arial"/>
          <w:sz w:val="24"/>
        </w:rPr>
      </w:pPr>
    </w:p>
    <w:p>
      <w:pPr>
        <w:adjustRightInd w:val="0"/>
        <w:snapToGrid w:val="0"/>
        <w:spacing w:line="360" w:lineRule="auto"/>
        <w:rPr>
          <w:rStyle w:val="26"/>
          <w:rFonts w:ascii="Arial" w:hAnsi="Arial" w:cs="Arial"/>
          <w:sz w:val="24"/>
        </w:rPr>
      </w:pPr>
    </w:p>
    <w:p>
      <w:pPr>
        <w:adjustRightInd w:val="0"/>
        <w:snapToGrid w:val="0"/>
        <w:spacing w:line="360" w:lineRule="auto"/>
        <w:rPr>
          <w:rStyle w:val="26"/>
          <w:rFonts w:ascii="Arial" w:hAnsi="Arial" w:cs="Arial"/>
          <w:sz w:val="24"/>
        </w:rPr>
      </w:pPr>
    </w:p>
    <w:p>
      <w:pPr>
        <w:adjustRightInd w:val="0"/>
        <w:snapToGrid w:val="0"/>
        <w:spacing w:line="360" w:lineRule="auto"/>
        <w:rPr>
          <w:rStyle w:val="26"/>
          <w:rFonts w:ascii="Arial" w:hAnsi="Arial" w:cs="Arial"/>
          <w:sz w:val="24"/>
        </w:rPr>
      </w:pPr>
    </w:p>
    <w:p>
      <w:pPr>
        <w:adjustRightInd w:val="0"/>
        <w:snapToGrid w:val="0"/>
        <w:spacing w:line="360" w:lineRule="auto"/>
        <w:rPr>
          <w:rStyle w:val="26"/>
          <w:rFonts w:ascii="Arial" w:hAnsi="Arial" w:cs="Arial"/>
          <w:sz w:val="24"/>
        </w:rPr>
      </w:pPr>
    </w:p>
    <w:p>
      <w:pPr>
        <w:adjustRightInd w:val="0"/>
        <w:snapToGrid w:val="0"/>
        <w:spacing w:line="360" w:lineRule="auto"/>
        <w:rPr>
          <w:rStyle w:val="26"/>
          <w:rFonts w:ascii="Arial" w:hAnsi="Arial" w:cs="Arial"/>
          <w:sz w:val="24"/>
        </w:rPr>
      </w:pPr>
    </w:p>
    <w:p>
      <w:pPr>
        <w:adjustRightInd w:val="0"/>
        <w:snapToGrid w:val="0"/>
        <w:spacing w:line="360" w:lineRule="auto"/>
        <w:rPr>
          <w:rStyle w:val="26"/>
          <w:rFonts w:ascii="Arial" w:hAnsi="Arial" w:cs="Arial"/>
          <w:sz w:val="24"/>
        </w:rPr>
      </w:pPr>
    </w:p>
    <w:p>
      <w:pPr>
        <w:adjustRightInd w:val="0"/>
        <w:snapToGrid w:val="0"/>
        <w:spacing w:line="360" w:lineRule="auto"/>
        <w:rPr>
          <w:rStyle w:val="26"/>
          <w:rFonts w:ascii="Arial" w:hAnsi="Arial" w:cs="Arial"/>
          <w:sz w:val="24"/>
        </w:rPr>
      </w:pPr>
    </w:p>
    <w:p>
      <w:pPr>
        <w:adjustRightInd w:val="0"/>
        <w:snapToGrid w:val="0"/>
        <w:spacing w:line="360" w:lineRule="auto"/>
        <w:rPr>
          <w:rStyle w:val="26"/>
          <w:rFonts w:ascii="Arial" w:hAnsi="Arial" w:cs="Arial"/>
          <w:sz w:val="24"/>
        </w:rPr>
      </w:pPr>
    </w:p>
    <w:p>
      <w:pPr>
        <w:adjustRightInd w:val="0"/>
        <w:snapToGrid w:val="0"/>
        <w:spacing w:line="360" w:lineRule="auto"/>
        <w:rPr>
          <w:rStyle w:val="26"/>
          <w:rFonts w:ascii="Arial" w:hAnsi="Arial" w:cs="Arial"/>
          <w:sz w:val="24"/>
        </w:rPr>
      </w:pPr>
    </w:p>
    <w:p>
      <w:pPr>
        <w:adjustRightInd w:val="0"/>
        <w:snapToGrid w:val="0"/>
        <w:spacing w:line="360" w:lineRule="auto"/>
        <w:rPr>
          <w:rStyle w:val="26"/>
          <w:rFonts w:ascii="Arial" w:hAnsi="Arial" w:cs="Arial"/>
          <w:b w:val="0"/>
          <w:sz w:val="24"/>
        </w:rPr>
      </w:pPr>
    </w:p>
    <w:p>
      <w:pPr>
        <w:pStyle w:val="2"/>
        <w:adjustRightInd w:val="0"/>
        <w:snapToGrid w:val="0"/>
        <w:spacing w:before="240" w:after="240" w:line="480" w:lineRule="auto"/>
        <w:rPr>
          <w:rFonts w:cs="Arial"/>
          <w:sz w:val="30"/>
          <w:szCs w:val="30"/>
        </w:rPr>
      </w:pPr>
      <w:bookmarkStart w:id="39" w:name="_Toc405369259"/>
      <w:bookmarkStart w:id="40" w:name="_Toc154331135"/>
      <w:r>
        <w:rPr>
          <w:rFonts w:cs="Arial"/>
          <w:sz w:val="30"/>
          <w:szCs w:val="30"/>
        </w:rPr>
        <w:t>2.4引用标准名录及条款号</w:t>
      </w:r>
      <w:bookmarkEnd w:id="39"/>
      <w:bookmarkEnd w:id="40"/>
    </w:p>
    <w:p>
      <w:pPr>
        <w:pStyle w:val="64"/>
        <w:numPr>
          <w:ilvl w:val="0"/>
          <w:numId w:val="3"/>
        </w:numPr>
        <w:adjustRightInd w:val="0"/>
        <w:snapToGrid w:val="0"/>
        <w:spacing w:line="360" w:lineRule="auto"/>
        <w:ind w:firstLineChars="0"/>
        <w:rPr>
          <w:rFonts w:hint="eastAsia" w:ascii="Arial" w:hAnsi="Arial" w:eastAsia="黑体" w:cs="Arial"/>
          <w:kern w:val="0"/>
          <w:sz w:val="24"/>
          <w:szCs w:val="24"/>
          <w:lang w:val="en-US" w:eastAsia="zh-CN" w:bidi="ar-SA"/>
        </w:rPr>
      </w:pPr>
      <w:r>
        <w:rPr>
          <w:rFonts w:hint="eastAsia" w:ascii="Arial" w:hAnsi="Arial" w:eastAsia="黑体" w:cs="Arial"/>
          <w:kern w:val="0"/>
          <w:sz w:val="24"/>
          <w:szCs w:val="24"/>
          <w:lang w:val="en-US" w:eastAsia="zh-CN" w:bidi="ar-SA"/>
        </w:rPr>
        <w:t>《上海市餐饮业油烟排放标准》DB31/844-2014</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黑体" w:hAnsi="黑体" w:eastAsia="黑体" w:cs="黑体"/>
          <w:kern w:val="0"/>
          <w:sz w:val="24"/>
        </w:rPr>
      </w:pPr>
      <w:r>
        <w:rPr>
          <w:rFonts w:hint="eastAsia" w:ascii="黑体" w:hAnsi="黑体" w:eastAsia="黑体" w:cs="黑体"/>
          <w:kern w:val="0"/>
          <w:sz w:val="24"/>
        </w:rPr>
        <w:t>4.1、4.2</w:t>
      </w:r>
    </w:p>
    <w:p>
      <w:pPr>
        <w:numPr>
          <w:ilvl w:val="0"/>
          <w:numId w:val="3"/>
        </w:numPr>
        <w:adjustRightInd w:val="0"/>
        <w:snapToGrid w:val="0"/>
        <w:spacing w:line="360" w:lineRule="auto"/>
        <w:rPr>
          <w:rFonts w:ascii="Arial" w:hAnsi="Arial" w:cs="Arial"/>
          <w:kern w:val="0"/>
          <w:sz w:val="24"/>
          <w:szCs w:val="24"/>
        </w:rPr>
      </w:pPr>
      <w:r>
        <w:rPr>
          <w:rFonts w:hint="eastAsia" w:ascii="黑体" w:hAnsi="黑体" w:eastAsia="黑体" w:cs="Arial"/>
          <w:kern w:val="0"/>
          <w:sz w:val="24"/>
          <w:szCs w:val="24"/>
        </w:rPr>
        <w:t>《餐饮单位清洁设计技术标准》</w:t>
      </w:r>
      <w:r>
        <w:rPr>
          <w:rFonts w:hint="eastAsia" w:ascii="Arial" w:hAnsi="Arial" w:cs="Arial"/>
          <w:kern w:val="0"/>
          <w:sz w:val="24"/>
          <w:szCs w:val="24"/>
        </w:rPr>
        <w:t>DG/TJ08-110-2021</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黑体" w:hAnsi="黑体" w:eastAsia="黑体" w:cs="黑体"/>
          <w:kern w:val="0"/>
          <w:sz w:val="24"/>
        </w:rPr>
      </w:pPr>
      <w:r>
        <w:rPr>
          <w:rFonts w:hint="eastAsia" w:ascii="黑体" w:hAnsi="黑体" w:eastAsia="黑体" w:cs="黑体"/>
          <w:kern w:val="0"/>
          <w:sz w:val="24"/>
        </w:rPr>
        <w:t>4.2.4、4.3.1、4.3.2、4.3.3、5.1.2、5.1.3、5.1.6、5.2.4、5.3.1、5.3.6</w:t>
      </w:r>
    </w:p>
    <w:p>
      <w:pPr>
        <w:numPr>
          <w:ilvl w:val="0"/>
          <w:numId w:val="3"/>
        </w:numPr>
        <w:adjustRightInd w:val="0"/>
        <w:snapToGrid w:val="0"/>
        <w:spacing w:line="360" w:lineRule="auto"/>
        <w:rPr>
          <w:rFonts w:ascii="Arial" w:hAnsi="Arial" w:cs="Arial"/>
          <w:sz w:val="24"/>
          <w:szCs w:val="24"/>
        </w:rPr>
      </w:pPr>
      <w:r>
        <w:rPr>
          <w:rFonts w:hint="eastAsia" w:ascii="黑体" w:hAnsi="黑体" w:eastAsia="黑体" w:cs="Arial"/>
          <w:kern w:val="0"/>
          <w:sz w:val="24"/>
          <w:szCs w:val="24"/>
        </w:rPr>
        <w:t>《城镇天然气管道工程技术标准》</w:t>
      </w:r>
      <w:r>
        <w:rPr>
          <w:rFonts w:hint="eastAsia" w:ascii="Arial" w:hAnsi="Arial" w:cs="Arial"/>
          <w:kern w:val="0"/>
          <w:sz w:val="24"/>
          <w:szCs w:val="24"/>
        </w:rPr>
        <w:t>DG/TJ08-10-2022</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黑体" w:hAnsi="黑体" w:eastAsia="黑体" w:cs="黑体"/>
          <w:kern w:val="0"/>
          <w:sz w:val="24"/>
        </w:rPr>
      </w:pPr>
      <w:r>
        <w:rPr>
          <w:rFonts w:hint="eastAsia" w:ascii="黑体" w:hAnsi="黑体" w:eastAsia="黑体" w:cs="黑体"/>
          <w:kern w:val="0"/>
          <w:sz w:val="24"/>
        </w:rPr>
        <w:t>5.4.10.2、7.0.4.1</w:t>
      </w:r>
    </w:p>
    <w:p>
      <w:pPr>
        <w:numPr>
          <w:ilvl w:val="0"/>
          <w:numId w:val="3"/>
        </w:numPr>
        <w:adjustRightInd w:val="0"/>
        <w:snapToGrid w:val="0"/>
        <w:spacing w:line="360" w:lineRule="auto"/>
        <w:rPr>
          <w:rFonts w:ascii="Arial" w:hAnsi="Arial" w:cs="Arial"/>
          <w:sz w:val="24"/>
          <w:szCs w:val="24"/>
        </w:rPr>
      </w:pPr>
      <w:r>
        <w:rPr>
          <w:rFonts w:hint="eastAsia" w:ascii="黑体" w:hAnsi="黑体" w:eastAsia="黑体" w:cs="Arial"/>
          <w:sz w:val="24"/>
          <w:szCs w:val="24"/>
        </w:rPr>
        <w:t>《集中</w:t>
      </w:r>
      <w:r>
        <w:rPr>
          <w:rFonts w:ascii="黑体" w:hAnsi="黑体" w:eastAsia="黑体" w:cs="Arial"/>
          <w:sz w:val="24"/>
          <w:szCs w:val="24"/>
        </w:rPr>
        <w:t>空调通风系统卫生管理规范》</w:t>
      </w:r>
      <w:r>
        <w:rPr>
          <w:rFonts w:ascii="Arial" w:hAnsi="Arial" w:cs="Arial"/>
          <w:sz w:val="24"/>
          <w:szCs w:val="24"/>
        </w:rPr>
        <w:t>DB31/</w:t>
      </w:r>
      <w:r>
        <w:rPr>
          <w:rFonts w:hint="eastAsia" w:ascii="Arial" w:hAnsi="Arial" w:cs="Arial"/>
          <w:sz w:val="24"/>
          <w:szCs w:val="24"/>
        </w:rPr>
        <w:t>T</w:t>
      </w:r>
      <w:r>
        <w:rPr>
          <w:rFonts w:ascii="Arial" w:hAnsi="Arial" w:cs="Arial"/>
          <w:sz w:val="24"/>
          <w:szCs w:val="24"/>
        </w:rPr>
        <w:t>405-20</w:t>
      </w:r>
      <w:r>
        <w:rPr>
          <w:rFonts w:hint="eastAsia" w:ascii="Arial" w:hAnsi="Arial" w:cs="Arial"/>
          <w:sz w:val="24"/>
          <w:szCs w:val="24"/>
        </w:rPr>
        <w:t>21</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黑体" w:hAnsi="黑体" w:eastAsia="黑体" w:cs="黑体"/>
          <w:kern w:val="0"/>
          <w:sz w:val="24"/>
        </w:rPr>
      </w:pPr>
      <w:r>
        <w:rPr>
          <w:rFonts w:hint="eastAsia" w:ascii="黑体" w:hAnsi="黑体" w:eastAsia="黑体" w:cs="黑体"/>
          <w:kern w:val="0"/>
          <w:sz w:val="24"/>
        </w:rPr>
        <w:t>4.3.3、4.3.5、4.3.8、4.4.1、4.4.3、4.5、6.2.1</w:t>
      </w:r>
    </w:p>
    <w:p>
      <w:pPr>
        <w:numPr>
          <w:ilvl w:val="0"/>
          <w:numId w:val="3"/>
        </w:numPr>
        <w:adjustRightInd w:val="0"/>
        <w:snapToGrid w:val="0"/>
        <w:spacing w:line="360" w:lineRule="auto"/>
        <w:rPr>
          <w:rFonts w:ascii="Arial" w:hAnsi="Arial" w:cs="Arial"/>
          <w:sz w:val="24"/>
          <w:szCs w:val="24"/>
        </w:rPr>
      </w:pPr>
      <w:r>
        <w:rPr>
          <w:rFonts w:hint="eastAsia" w:ascii="黑体" w:hAnsi="黑体" w:eastAsia="黑体" w:cs="Arial"/>
          <w:sz w:val="24"/>
          <w:szCs w:val="24"/>
        </w:rPr>
        <w:t>《养老设施建筑设计标准</w:t>
      </w:r>
      <w:r>
        <w:rPr>
          <w:rFonts w:ascii="黑体" w:hAnsi="黑体" w:eastAsia="黑体" w:cs="Arial"/>
          <w:sz w:val="24"/>
          <w:szCs w:val="24"/>
        </w:rPr>
        <w:t>》</w:t>
      </w:r>
      <w:r>
        <w:rPr>
          <w:rFonts w:ascii="Arial" w:hAnsi="Arial" w:cs="Arial"/>
          <w:sz w:val="24"/>
          <w:szCs w:val="24"/>
        </w:rPr>
        <w:t>D</w:t>
      </w:r>
      <w:r>
        <w:rPr>
          <w:rFonts w:hint="eastAsia" w:ascii="Arial" w:hAnsi="Arial" w:cs="Arial"/>
          <w:sz w:val="24"/>
          <w:szCs w:val="24"/>
        </w:rPr>
        <w:t>G</w:t>
      </w:r>
      <w:r>
        <w:rPr>
          <w:rFonts w:ascii="Arial" w:hAnsi="Arial" w:cs="Arial"/>
          <w:sz w:val="24"/>
          <w:szCs w:val="24"/>
        </w:rPr>
        <w:t>/</w:t>
      </w:r>
      <w:r>
        <w:rPr>
          <w:rFonts w:hint="eastAsia" w:ascii="Arial" w:hAnsi="Arial" w:cs="Arial"/>
          <w:sz w:val="24"/>
          <w:szCs w:val="24"/>
        </w:rPr>
        <w:t>TJ08-82</w:t>
      </w:r>
      <w:r>
        <w:rPr>
          <w:rFonts w:ascii="Arial" w:hAnsi="Arial" w:cs="Arial"/>
          <w:sz w:val="24"/>
          <w:szCs w:val="24"/>
        </w:rPr>
        <w:t>-20</w:t>
      </w:r>
      <w:r>
        <w:rPr>
          <w:rFonts w:hint="eastAsia" w:ascii="Arial" w:hAnsi="Arial" w:cs="Arial"/>
          <w:sz w:val="24"/>
          <w:szCs w:val="24"/>
        </w:rPr>
        <w:t>20</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黑体" w:hAnsi="黑体" w:eastAsia="黑体" w:cs="黑体"/>
          <w:kern w:val="0"/>
          <w:sz w:val="24"/>
        </w:rPr>
      </w:pPr>
      <w:r>
        <w:rPr>
          <w:rFonts w:hint="eastAsia" w:ascii="黑体" w:hAnsi="黑体" w:eastAsia="黑体" w:cs="黑体"/>
          <w:kern w:val="0"/>
          <w:sz w:val="24"/>
        </w:rPr>
        <w:t>8.3.1、8.3.3、8.3.5</w:t>
      </w:r>
    </w:p>
    <w:p>
      <w:pPr>
        <w:numPr>
          <w:ilvl w:val="0"/>
          <w:numId w:val="3"/>
        </w:numPr>
        <w:adjustRightInd w:val="0"/>
        <w:snapToGrid w:val="0"/>
        <w:spacing w:line="360" w:lineRule="auto"/>
        <w:rPr>
          <w:rFonts w:ascii="Arial" w:hAnsi="Arial" w:cs="Arial"/>
          <w:sz w:val="24"/>
          <w:szCs w:val="24"/>
        </w:rPr>
      </w:pPr>
      <w:r>
        <w:rPr>
          <w:rFonts w:hint="eastAsia" w:ascii="黑体" w:hAnsi="黑体" w:eastAsia="黑体" w:cs="Arial"/>
          <w:sz w:val="24"/>
          <w:szCs w:val="24"/>
        </w:rPr>
        <w:t>《燃气直燃型吸收式冷热水机组工程技术标准》</w:t>
      </w:r>
      <w:r>
        <w:rPr>
          <w:rFonts w:hint="eastAsia" w:ascii="Arial" w:hAnsi="Arial" w:cs="Arial"/>
          <w:sz w:val="24"/>
          <w:szCs w:val="24"/>
        </w:rPr>
        <w:t>DGJ08-74-2020</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黑体" w:hAnsi="黑体" w:eastAsia="黑体" w:cs="黑体"/>
          <w:kern w:val="0"/>
          <w:sz w:val="24"/>
        </w:rPr>
      </w:pPr>
      <w:r>
        <w:rPr>
          <w:rFonts w:hint="eastAsia" w:ascii="黑体" w:hAnsi="黑体" w:eastAsia="黑体" w:cs="黑体"/>
          <w:kern w:val="0"/>
          <w:sz w:val="24"/>
        </w:rPr>
        <w:t>4.1.5、4.2.7、4.2.8、4.2.9、5.0.2</w:t>
      </w:r>
    </w:p>
    <w:p>
      <w:pPr>
        <w:numPr>
          <w:ilvl w:val="0"/>
          <w:numId w:val="3"/>
        </w:numPr>
        <w:adjustRightInd w:val="0"/>
        <w:snapToGrid w:val="0"/>
        <w:spacing w:line="360" w:lineRule="auto"/>
        <w:rPr>
          <w:rFonts w:ascii="Arial" w:hAnsi="Arial" w:cs="Arial"/>
          <w:sz w:val="24"/>
          <w:szCs w:val="24"/>
        </w:rPr>
      </w:pPr>
      <w:r>
        <w:rPr>
          <w:rFonts w:hint="eastAsia" w:ascii="黑体" w:hAnsi="黑体" w:eastAsia="黑体" w:cs="Arial"/>
          <w:sz w:val="24"/>
          <w:szCs w:val="24"/>
        </w:rPr>
        <w:t>《建筑防排烟系统设计标准》</w:t>
      </w:r>
      <w:r>
        <w:rPr>
          <w:rFonts w:hint="eastAsia" w:ascii="Arial" w:hAnsi="Arial" w:cs="Arial"/>
          <w:sz w:val="24"/>
          <w:szCs w:val="24"/>
        </w:rPr>
        <w:t>DG/TJ08-88-2021</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黑体" w:hAnsi="黑体" w:eastAsia="黑体" w:cs="黑体"/>
          <w:kern w:val="0"/>
          <w:sz w:val="24"/>
        </w:rPr>
      </w:pPr>
      <w:r>
        <w:rPr>
          <w:rFonts w:hint="eastAsia" w:ascii="黑体" w:hAnsi="黑体" w:eastAsia="黑体" w:cs="黑体"/>
          <w:kern w:val="0"/>
          <w:sz w:val="24"/>
        </w:rPr>
        <w:t>3.1.8.2.2、3.1.8.3、3.2.1、3.2.2、3.2.3、3.2.6、3.3.5.3、3.3.7、3.3.8.2、4.1.4、4.3.2、4.3.3.3、4.3.5、4.3.8、4.3.9.3、4.3.9.4、4.3.13.2、4.3.13.5、4.3.13.6、4.3.13.</w:t>
      </w:r>
      <w:r>
        <w:rPr>
          <w:rFonts w:hint="eastAsia" w:ascii="黑体" w:hAnsi="黑体" w:eastAsia="黑体" w:cs="黑体"/>
          <w:kern w:val="0"/>
          <w:sz w:val="24"/>
          <w:lang w:val="en-US" w:eastAsia="zh-CN"/>
        </w:rPr>
        <w:t>8</w:t>
      </w:r>
      <w:r>
        <w:rPr>
          <w:rFonts w:hint="eastAsia" w:ascii="黑体" w:hAnsi="黑体" w:eastAsia="黑体" w:cs="黑体"/>
          <w:kern w:val="0"/>
          <w:sz w:val="24"/>
        </w:rPr>
        <w:t>、4.3.14、4.4.3、4.4.5、4.4.6、4.4.9、5.1.2.2、5.2.1、5.2.2.1、5.2.2.2、5.2.2.2、5.2.2.5、5.2.3、5.2.4、5.2.7、5.2.15</w:t>
      </w:r>
    </w:p>
    <w:p>
      <w:pPr>
        <w:numPr>
          <w:ilvl w:val="0"/>
          <w:numId w:val="3"/>
        </w:numPr>
        <w:adjustRightInd w:val="0"/>
        <w:snapToGrid w:val="0"/>
        <w:spacing w:line="360" w:lineRule="auto"/>
        <w:rPr>
          <w:rFonts w:ascii="Arial" w:hAnsi="Arial" w:cs="Arial"/>
          <w:sz w:val="24"/>
          <w:szCs w:val="24"/>
        </w:rPr>
      </w:pPr>
      <w:r>
        <w:rPr>
          <w:rFonts w:hint="eastAsia" w:ascii="黑体" w:hAnsi="黑体" w:eastAsia="黑体" w:cs="Arial"/>
          <w:sz w:val="24"/>
          <w:szCs w:val="24"/>
        </w:rPr>
        <w:t>《城市综合体消防技术标准</w:t>
      </w:r>
      <w:r>
        <w:rPr>
          <w:rFonts w:ascii="黑体" w:hAnsi="黑体" w:eastAsia="黑体" w:cs="Arial"/>
          <w:sz w:val="24"/>
          <w:szCs w:val="24"/>
        </w:rPr>
        <w:t>》</w:t>
      </w:r>
      <w:r>
        <w:rPr>
          <w:rFonts w:ascii="Arial" w:hAnsi="Arial" w:cs="Arial"/>
          <w:sz w:val="24"/>
          <w:szCs w:val="24"/>
        </w:rPr>
        <w:t>D</w:t>
      </w:r>
      <w:r>
        <w:rPr>
          <w:rFonts w:hint="eastAsia" w:ascii="Arial" w:hAnsi="Arial" w:cs="Arial"/>
          <w:sz w:val="24"/>
          <w:szCs w:val="24"/>
        </w:rPr>
        <w:t>G</w:t>
      </w:r>
      <w:r>
        <w:rPr>
          <w:rFonts w:ascii="Arial" w:hAnsi="Arial" w:cs="Arial"/>
          <w:sz w:val="24"/>
          <w:szCs w:val="24"/>
        </w:rPr>
        <w:t>/</w:t>
      </w:r>
      <w:r>
        <w:rPr>
          <w:rFonts w:hint="eastAsia" w:ascii="Arial" w:hAnsi="Arial" w:cs="Arial"/>
          <w:sz w:val="24"/>
          <w:szCs w:val="24"/>
        </w:rPr>
        <w:t>TJ08-2408</w:t>
      </w:r>
      <w:r>
        <w:rPr>
          <w:rFonts w:ascii="Arial" w:hAnsi="Arial" w:cs="Arial"/>
          <w:sz w:val="24"/>
          <w:szCs w:val="24"/>
        </w:rPr>
        <w:t>-20</w:t>
      </w:r>
      <w:r>
        <w:rPr>
          <w:rFonts w:hint="eastAsia" w:ascii="Arial" w:hAnsi="Arial" w:cs="Arial"/>
          <w:sz w:val="24"/>
          <w:szCs w:val="24"/>
        </w:rPr>
        <w:t>22</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黑体" w:hAnsi="黑体" w:eastAsia="黑体" w:cs="黑体"/>
          <w:kern w:val="0"/>
          <w:sz w:val="24"/>
        </w:rPr>
      </w:pPr>
      <w:r>
        <w:rPr>
          <w:rFonts w:hint="eastAsia" w:ascii="黑体" w:hAnsi="黑体" w:eastAsia="黑体" w:cs="黑体"/>
          <w:kern w:val="0"/>
          <w:sz w:val="24"/>
        </w:rPr>
        <w:t>8.1.2.7、8.1.3.2、8.1.4、8.1.5.4、8.1.5.5、8.1.5.6、8.1.6.2、8.1.6.5、8.1.7</w:t>
      </w:r>
    </w:p>
    <w:p>
      <w:pPr>
        <w:numPr>
          <w:ilvl w:val="0"/>
          <w:numId w:val="3"/>
        </w:numPr>
        <w:adjustRightInd w:val="0"/>
        <w:snapToGrid w:val="0"/>
        <w:spacing w:line="360" w:lineRule="auto"/>
        <w:rPr>
          <w:rFonts w:ascii="Arial" w:hAnsi="Arial" w:cs="Arial"/>
          <w:sz w:val="24"/>
          <w:szCs w:val="24"/>
        </w:rPr>
      </w:pPr>
      <w:r>
        <w:rPr>
          <w:rFonts w:hint="eastAsia" w:ascii="黑体" w:hAnsi="黑体" w:eastAsia="黑体" w:cs="Arial"/>
          <w:sz w:val="24"/>
          <w:szCs w:val="24"/>
        </w:rPr>
        <w:t>《大型物流建筑消防设计标准</w:t>
      </w:r>
      <w:r>
        <w:rPr>
          <w:rFonts w:ascii="黑体" w:hAnsi="黑体" w:eastAsia="黑体" w:cs="Arial"/>
          <w:sz w:val="24"/>
          <w:szCs w:val="24"/>
        </w:rPr>
        <w:t>》</w:t>
      </w:r>
      <w:r>
        <w:rPr>
          <w:rFonts w:ascii="Arial" w:hAnsi="Arial" w:cs="Arial"/>
          <w:sz w:val="24"/>
          <w:szCs w:val="24"/>
        </w:rPr>
        <w:t>D</w:t>
      </w:r>
      <w:r>
        <w:rPr>
          <w:rFonts w:hint="eastAsia" w:ascii="Arial" w:hAnsi="Arial" w:cs="Arial"/>
          <w:sz w:val="24"/>
          <w:szCs w:val="24"/>
        </w:rPr>
        <w:t>G</w:t>
      </w:r>
      <w:r>
        <w:rPr>
          <w:rFonts w:ascii="Arial" w:hAnsi="Arial" w:cs="Arial"/>
          <w:sz w:val="24"/>
          <w:szCs w:val="24"/>
        </w:rPr>
        <w:t>/</w:t>
      </w:r>
      <w:r>
        <w:rPr>
          <w:rFonts w:hint="eastAsia" w:ascii="Arial" w:hAnsi="Arial" w:cs="Arial"/>
          <w:sz w:val="24"/>
          <w:szCs w:val="24"/>
        </w:rPr>
        <w:t>TJ08-2343</w:t>
      </w:r>
      <w:r>
        <w:rPr>
          <w:rFonts w:ascii="Arial" w:hAnsi="Arial" w:cs="Arial"/>
          <w:sz w:val="24"/>
          <w:szCs w:val="24"/>
        </w:rPr>
        <w:t>-20</w:t>
      </w:r>
      <w:r>
        <w:rPr>
          <w:rFonts w:hint="eastAsia" w:ascii="Arial" w:hAnsi="Arial" w:cs="Arial"/>
          <w:sz w:val="24"/>
          <w:szCs w:val="24"/>
        </w:rPr>
        <w:t>20</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黑体" w:hAnsi="黑体" w:eastAsia="黑体" w:cs="黑体"/>
          <w:kern w:val="0"/>
          <w:sz w:val="24"/>
        </w:rPr>
      </w:pPr>
      <w:r>
        <w:rPr>
          <w:rFonts w:hint="eastAsia" w:ascii="黑体" w:hAnsi="黑体" w:eastAsia="黑体" w:cs="黑体"/>
          <w:kern w:val="0"/>
          <w:sz w:val="24"/>
        </w:rPr>
        <w:t>7.2.1.4、7.2.1.5、7.2.9</w:t>
      </w:r>
    </w:p>
    <w:p>
      <w:pPr>
        <w:numPr>
          <w:ilvl w:val="0"/>
          <w:numId w:val="3"/>
        </w:numPr>
        <w:adjustRightInd w:val="0"/>
        <w:snapToGrid w:val="0"/>
        <w:spacing w:line="360" w:lineRule="auto"/>
        <w:rPr>
          <w:rFonts w:ascii="Arial" w:hAnsi="Arial" w:cs="Arial"/>
          <w:sz w:val="24"/>
          <w:szCs w:val="24"/>
        </w:rPr>
      </w:pPr>
      <w:r>
        <w:rPr>
          <w:rFonts w:hint="eastAsia" w:ascii="黑体" w:hAnsi="黑体" w:eastAsia="黑体" w:cs="Arial"/>
          <w:sz w:val="24"/>
          <w:szCs w:val="24"/>
        </w:rPr>
        <w:t>《文化和优秀历史建筑消防技术标准</w:t>
      </w:r>
      <w:r>
        <w:rPr>
          <w:rFonts w:ascii="黑体" w:hAnsi="黑体" w:eastAsia="黑体" w:cs="Arial"/>
          <w:sz w:val="24"/>
          <w:szCs w:val="24"/>
        </w:rPr>
        <w:t>》</w:t>
      </w:r>
      <w:r>
        <w:rPr>
          <w:rFonts w:ascii="Arial" w:hAnsi="Arial" w:cs="Arial"/>
          <w:sz w:val="24"/>
          <w:szCs w:val="24"/>
        </w:rPr>
        <w:t>D</w:t>
      </w:r>
      <w:r>
        <w:rPr>
          <w:rFonts w:hint="eastAsia" w:ascii="Arial" w:hAnsi="Arial" w:cs="Arial"/>
          <w:sz w:val="24"/>
          <w:szCs w:val="24"/>
        </w:rPr>
        <w:t>G</w:t>
      </w:r>
      <w:r>
        <w:rPr>
          <w:rFonts w:ascii="Arial" w:hAnsi="Arial" w:cs="Arial"/>
          <w:sz w:val="24"/>
          <w:szCs w:val="24"/>
        </w:rPr>
        <w:t>/</w:t>
      </w:r>
      <w:r>
        <w:rPr>
          <w:rFonts w:hint="eastAsia" w:ascii="Arial" w:hAnsi="Arial" w:cs="Arial"/>
          <w:sz w:val="24"/>
          <w:szCs w:val="24"/>
        </w:rPr>
        <w:t>TJ08-2410</w:t>
      </w:r>
      <w:r>
        <w:rPr>
          <w:rFonts w:ascii="Arial" w:hAnsi="Arial" w:cs="Arial"/>
          <w:sz w:val="24"/>
          <w:szCs w:val="24"/>
        </w:rPr>
        <w:t>-20</w:t>
      </w:r>
      <w:r>
        <w:rPr>
          <w:rFonts w:hint="eastAsia" w:ascii="Arial" w:hAnsi="Arial" w:cs="Arial"/>
          <w:sz w:val="24"/>
          <w:szCs w:val="24"/>
        </w:rPr>
        <w:t>22</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黑体" w:hAnsi="黑体" w:eastAsia="黑体" w:cs="黑体"/>
          <w:kern w:val="0"/>
          <w:sz w:val="24"/>
        </w:rPr>
      </w:pPr>
      <w:r>
        <w:rPr>
          <w:rFonts w:hint="eastAsia" w:ascii="黑体" w:hAnsi="黑体" w:eastAsia="黑体" w:cs="黑体"/>
          <w:kern w:val="0"/>
          <w:sz w:val="24"/>
        </w:rPr>
        <w:t>6.2.2、6.2.3</w:t>
      </w:r>
    </w:p>
    <w:p>
      <w:pPr>
        <w:numPr>
          <w:ilvl w:val="0"/>
          <w:numId w:val="3"/>
        </w:numPr>
        <w:adjustRightInd w:val="0"/>
        <w:snapToGrid w:val="0"/>
        <w:spacing w:line="360" w:lineRule="auto"/>
        <w:rPr>
          <w:rFonts w:ascii="Arial" w:hAnsi="Arial" w:cs="Arial"/>
          <w:kern w:val="0"/>
          <w:sz w:val="24"/>
          <w:szCs w:val="24"/>
        </w:rPr>
      </w:pPr>
      <w:r>
        <w:rPr>
          <w:rFonts w:hint="eastAsia" w:ascii="黑体" w:hAnsi="黑体" w:eastAsia="黑体" w:cs="Arial"/>
          <w:sz w:val="24"/>
          <w:szCs w:val="24"/>
        </w:rPr>
        <w:t>《公共建筑节能设计标准》</w:t>
      </w:r>
      <w:r>
        <w:rPr>
          <w:rFonts w:hint="eastAsia" w:ascii="Arial" w:hAnsi="Arial" w:cs="Arial"/>
          <w:kern w:val="0"/>
          <w:sz w:val="24"/>
          <w:szCs w:val="24"/>
        </w:rPr>
        <w:t>DGJ08-107-2015</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黑体" w:hAnsi="黑体" w:eastAsia="黑体" w:cs="黑体"/>
          <w:kern w:val="0"/>
          <w:sz w:val="24"/>
        </w:rPr>
      </w:pPr>
      <w:r>
        <w:rPr>
          <w:rFonts w:hint="eastAsia" w:ascii="黑体" w:hAnsi="黑体" w:eastAsia="黑体" w:cs="黑体"/>
          <w:kern w:val="0"/>
          <w:sz w:val="24"/>
        </w:rPr>
        <w:t>4.2.4、4.3.4.1、4.3.8.3、4.3.8.5、4.3.9.3、4.4.1、4.4.2.1、4.4.3.2、4.4.3.3</w:t>
      </w:r>
      <w:r>
        <w:rPr>
          <w:rFonts w:hint="eastAsia" w:ascii="黑体" w:hAnsi="黑体" w:eastAsia="黑体" w:cs="黑体"/>
          <w:kern w:val="0"/>
          <w:sz w:val="24"/>
          <w:lang w:eastAsia="zh-CN"/>
        </w:rPr>
        <w:t>、</w:t>
      </w:r>
      <w:r>
        <w:rPr>
          <w:rFonts w:hint="eastAsia" w:ascii="黑体" w:hAnsi="黑体" w:eastAsia="黑体" w:cs="黑体"/>
          <w:kern w:val="0"/>
          <w:sz w:val="24"/>
        </w:rPr>
        <w:t>4.4.4、4.4.6、4.5.17、4.6.6.2、4.6.10</w:t>
      </w:r>
    </w:p>
    <w:p>
      <w:pPr>
        <w:adjustRightInd w:val="0"/>
        <w:snapToGrid w:val="0"/>
        <w:spacing w:line="360" w:lineRule="auto"/>
        <w:ind w:firstLine="480" w:firstLineChars="200"/>
        <w:rPr>
          <w:rFonts w:ascii="Arial" w:hAnsi="Arial" w:cs="Arial"/>
          <w:kern w:val="0"/>
          <w:sz w:val="24"/>
          <w:szCs w:val="24"/>
        </w:rPr>
      </w:pPr>
    </w:p>
    <w:p>
      <w:pPr>
        <w:pStyle w:val="2"/>
        <w:adjustRightInd w:val="0"/>
        <w:snapToGrid w:val="0"/>
        <w:spacing w:before="240" w:after="240"/>
        <w:ind w:left="0" w:firstLine="0"/>
      </w:pPr>
      <w:bookmarkStart w:id="41" w:name="_Toc154331136"/>
      <w:r>
        <w:rPr>
          <w:rFonts w:hint="eastAsia"/>
        </w:rPr>
        <w:t>三、电气专业</w:t>
      </w:r>
      <w:bookmarkEnd w:id="41"/>
    </w:p>
    <w:p>
      <w:pPr>
        <w:pStyle w:val="2"/>
        <w:adjustRightInd w:val="0"/>
        <w:snapToGrid w:val="0"/>
        <w:spacing w:before="240" w:after="240" w:line="480" w:lineRule="auto"/>
        <w:rPr>
          <w:rFonts w:cs="Arial"/>
          <w:sz w:val="32"/>
          <w:szCs w:val="32"/>
        </w:rPr>
      </w:pPr>
      <w:bookmarkStart w:id="42" w:name="_Toc154331137"/>
      <w:r>
        <w:rPr>
          <w:rFonts w:cs="Arial"/>
          <w:sz w:val="32"/>
          <w:szCs w:val="32"/>
        </w:rPr>
        <w:t>3.1建筑设备</w:t>
      </w:r>
      <w:bookmarkEnd w:id="26"/>
      <w:bookmarkEnd w:id="42"/>
    </w:p>
    <w:p>
      <w:pPr>
        <w:spacing w:line="360" w:lineRule="auto"/>
        <w:rPr>
          <w:rFonts w:ascii="Arial" w:hAnsi="Arial" w:eastAsia="黑体" w:cs="Arial"/>
          <w:color w:val="000000"/>
          <w:sz w:val="24"/>
          <w:szCs w:val="24"/>
        </w:rPr>
      </w:pPr>
      <w:bookmarkStart w:id="43" w:name="_Toc154331141"/>
      <w:r>
        <w:rPr>
          <w:rFonts w:ascii="Arial" w:hAnsi="黑体" w:eastAsia="黑体" w:cs="Arial"/>
          <w:color w:val="000000"/>
          <w:sz w:val="24"/>
          <w:szCs w:val="24"/>
        </w:rPr>
        <w:t>《低压用户配电装置规程》</w:t>
      </w:r>
      <w:r>
        <w:rPr>
          <w:rFonts w:ascii="Arial" w:hAnsi="Arial" w:eastAsia="黑体" w:cs="Arial"/>
          <w:color w:val="000000"/>
          <w:sz w:val="24"/>
          <w:szCs w:val="24"/>
        </w:rPr>
        <w:t>DG/TJ 08-100-2017</w:t>
      </w:r>
    </w:p>
    <w:p>
      <w:pPr>
        <w:spacing w:line="360" w:lineRule="auto"/>
        <w:rPr>
          <w:rFonts w:ascii="Arial" w:hAnsi="Arial" w:cs="Arial" w:eastAsiaTheme="minorEastAsia"/>
          <w:color w:val="000000"/>
          <w:sz w:val="24"/>
          <w:szCs w:val="24"/>
        </w:rPr>
      </w:pPr>
      <w:r>
        <w:rPr>
          <w:rFonts w:hint="eastAsia" w:ascii="宋体" w:hAnsi="宋体"/>
          <w:b/>
          <w:bCs/>
          <w:color w:val="000000"/>
          <w:sz w:val="24"/>
        </w:rPr>
        <w:t>6.4.3</w:t>
      </w:r>
      <w:r>
        <w:rPr>
          <w:rFonts w:ascii="Arial" w:hAnsi="Arial" w:cs="Arial" w:eastAsiaTheme="minorEastAsia"/>
          <w:color w:val="000000"/>
          <w:sz w:val="24"/>
          <w:szCs w:val="24"/>
        </w:rPr>
        <w:t xml:space="preserve"> </w:t>
      </w:r>
      <w:r>
        <w:rPr>
          <w:rFonts w:ascii="Arial" w:cs="Arial" w:hAnsiTheme="minorEastAsia" w:eastAsiaTheme="minorEastAsia"/>
          <w:color w:val="000000"/>
          <w:sz w:val="24"/>
          <w:szCs w:val="24"/>
        </w:rPr>
        <w:t>接地线的截面，应符合热稳定要求。但当接地线按表</w:t>
      </w:r>
      <w:r>
        <w:rPr>
          <w:rFonts w:ascii="Arial" w:hAnsi="Arial" w:cs="Arial" w:eastAsiaTheme="minorEastAsia"/>
          <w:color w:val="000000"/>
          <w:sz w:val="24"/>
          <w:szCs w:val="24"/>
        </w:rPr>
        <w:t>6.4.3</w:t>
      </w:r>
      <w:r>
        <w:rPr>
          <w:rFonts w:ascii="Arial" w:cs="Arial" w:hAnsiTheme="minorEastAsia" w:eastAsiaTheme="minorEastAsia"/>
          <w:color w:val="000000"/>
          <w:sz w:val="24"/>
          <w:szCs w:val="24"/>
        </w:rPr>
        <w:t>的规定选择截面时，则不必再对其进行热稳定校核。</w:t>
      </w:r>
    </w:p>
    <w:p>
      <w:pPr>
        <w:spacing w:line="360" w:lineRule="auto"/>
        <w:jc w:val="center"/>
        <w:rPr>
          <w:rFonts w:ascii="Arial" w:hAnsi="Arial" w:cs="Arial" w:eastAsiaTheme="minorEastAsia"/>
          <w:bCs/>
          <w:color w:val="000000"/>
        </w:rPr>
      </w:pPr>
      <w:r>
        <w:rPr>
          <w:rFonts w:ascii="Arial" w:cs="Arial" w:hAnsiTheme="minorEastAsia" w:eastAsiaTheme="minorEastAsia"/>
          <w:bCs/>
          <w:color w:val="000000"/>
        </w:rPr>
        <w:t>表</w:t>
      </w:r>
      <w:r>
        <w:rPr>
          <w:rFonts w:ascii="Arial" w:hAnsi="Arial" w:cs="Arial" w:eastAsiaTheme="minorEastAsia"/>
          <w:bCs/>
          <w:color w:val="000000"/>
        </w:rPr>
        <w:t xml:space="preserve">6.4.3 </w:t>
      </w:r>
      <w:r>
        <w:rPr>
          <w:rFonts w:ascii="Arial" w:cs="Arial" w:hAnsiTheme="minorEastAsia" w:eastAsiaTheme="minorEastAsia"/>
          <w:bCs/>
          <w:color w:val="000000"/>
        </w:rPr>
        <w:t>接地线的最小截面（</w:t>
      </w:r>
      <w:r>
        <w:rPr>
          <w:rFonts w:ascii="Arial" w:hAnsi="Arial" w:cs="Arial" w:eastAsiaTheme="minorEastAsia"/>
          <w:bCs/>
          <w:color w:val="000000"/>
        </w:rPr>
        <w:t>mm²</w:t>
      </w:r>
      <w:r>
        <w:rPr>
          <w:rFonts w:ascii="Arial" w:cs="Arial" w:hAnsiTheme="minorEastAsia" w:eastAsiaTheme="minorEastAsia"/>
          <w:bCs/>
          <w:color w:val="000000"/>
        </w:rPr>
        <w:t>）</w:t>
      </w:r>
    </w:p>
    <w:tbl>
      <w:tblPr>
        <w:tblStyle w:val="23"/>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3869"/>
        <w:gridCol w:w="336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3869" w:type="dxa"/>
            <w:shd w:val="clear" w:color="auto" w:fill="auto"/>
          </w:tcPr>
          <w:p>
            <w:pPr>
              <w:spacing w:line="360" w:lineRule="auto"/>
              <w:jc w:val="center"/>
              <w:rPr>
                <w:rFonts w:ascii="Arial" w:hAnsi="Arial" w:cs="Arial" w:eastAsiaTheme="minorEastAsia"/>
                <w:color w:val="000000"/>
              </w:rPr>
            </w:pPr>
            <w:r>
              <w:rPr>
                <w:rFonts w:ascii="Arial" w:cs="Arial" w:hAnsiTheme="minorEastAsia" w:eastAsiaTheme="minorEastAsia"/>
                <w:color w:val="000000"/>
              </w:rPr>
              <w:t>装置的相线截面</w:t>
            </w:r>
            <w:r>
              <w:rPr>
                <w:rFonts w:ascii="Arial" w:hAnsi="Arial" w:cs="Arial" w:eastAsiaTheme="minorEastAsia"/>
                <w:color w:val="000000"/>
              </w:rPr>
              <w:t>S</w:t>
            </w:r>
          </w:p>
        </w:tc>
        <w:tc>
          <w:tcPr>
            <w:tcW w:w="3360" w:type="dxa"/>
            <w:shd w:val="clear" w:color="auto" w:fill="auto"/>
          </w:tcPr>
          <w:p>
            <w:pPr>
              <w:spacing w:line="360" w:lineRule="auto"/>
              <w:jc w:val="center"/>
              <w:rPr>
                <w:rFonts w:ascii="Arial" w:hAnsi="Arial" w:cs="Arial" w:eastAsiaTheme="minorEastAsia"/>
                <w:color w:val="000000"/>
              </w:rPr>
            </w:pPr>
            <w:r>
              <w:rPr>
                <w:rFonts w:ascii="Arial" w:cs="Arial" w:hAnsiTheme="minorEastAsia" w:eastAsiaTheme="minorEastAsia"/>
                <w:color w:val="000000"/>
              </w:rPr>
              <w:t>接地线的最小截面</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3869" w:type="dxa"/>
            <w:shd w:val="clear" w:color="auto" w:fill="auto"/>
          </w:tcPr>
          <w:p>
            <w:pPr>
              <w:spacing w:line="360" w:lineRule="auto"/>
              <w:jc w:val="center"/>
              <w:rPr>
                <w:rFonts w:ascii="Arial" w:hAnsi="Arial" w:cs="Arial" w:eastAsiaTheme="minorEastAsia"/>
                <w:color w:val="000000"/>
              </w:rPr>
            </w:pPr>
            <w:r>
              <w:rPr>
                <w:rFonts w:ascii="Arial" w:hAnsi="Arial" w:cs="Arial" w:eastAsiaTheme="minorEastAsia"/>
                <w:color w:val="000000"/>
              </w:rPr>
              <w:t>S≤16</w:t>
            </w:r>
          </w:p>
        </w:tc>
        <w:tc>
          <w:tcPr>
            <w:tcW w:w="3360" w:type="dxa"/>
            <w:shd w:val="clear" w:color="auto" w:fill="auto"/>
          </w:tcPr>
          <w:p>
            <w:pPr>
              <w:spacing w:line="360" w:lineRule="auto"/>
              <w:jc w:val="center"/>
              <w:rPr>
                <w:rFonts w:ascii="Arial" w:hAnsi="Arial" w:cs="Arial" w:eastAsiaTheme="minorEastAsia"/>
                <w:color w:val="000000"/>
              </w:rPr>
            </w:pPr>
            <w:r>
              <w:rPr>
                <w:rFonts w:ascii="Arial" w:hAnsi="Arial" w:cs="Arial" w:eastAsiaTheme="minorEastAsia"/>
                <w:color w:val="000000"/>
              </w:rPr>
              <w:t>S</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3869" w:type="dxa"/>
            <w:shd w:val="clear" w:color="auto" w:fill="auto"/>
          </w:tcPr>
          <w:p>
            <w:pPr>
              <w:spacing w:line="360" w:lineRule="auto"/>
              <w:jc w:val="center"/>
              <w:rPr>
                <w:rFonts w:ascii="Arial" w:hAnsi="Arial" w:cs="Arial" w:eastAsiaTheme="minorEastAsia"/>
                <w:color w:val="000000"/>
              </w:rPr>
            </w:pPr>
            <w:r>
              <w:rPr>
                <w:rFonts w:ascii="Arial" w:hAnsi="Arial" w:cs="Arial" w:eastAsiaTheme="minorEastAsia"/>
                <w:color w:val="000000"/>
              </w:rPr>
              <w:t>16&lt;S≤35</w:t>
            </w:r>
          </w:p>
        </w:tc>
        <w:tc>
          <w:tcPr>
            <w:tcW w:w="3360" w:type="dxa"/>
            <w:shd w:val="clear" w:color="auto" w:fill="auto"/>
          </w:tcPr>
          <w:p>
            <w:pPr>
              <w:spacing w:line="360" w:lineRule="auto"/>
              <w:jc w:val="center"/>
              <w:rPr>
                <w:rFonts w:ascii="Arial" w:hAnsi="Arial" w:cs="Arial" w:eastAsiaTheme="minorEastAsia"/>
                <w:color w:val="000000"/>
              </w:rPr>
            </w:pPr>
            <w:r>
              <w:rPr>
                <w:rFonts w:ascii="Arial" w:hAnsi="Arial" w:cs="Arial" w:eastAsiaTheme="minorEastAsia"/>
                <w:color w:val="000000"/>
              </w:rPr>
              <w:t>16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3869" w:type="dxa"/>
            <w:shd w:val="clear" w:color="auto" w:fill="auto"/>
          </w:tcPr>
          <w:p>
            <w:pPr>
              <w:spacing w:line="360" w:lineRule="auto"/>
              <w:jc w:val="center"/>
              <w:rPr>
                <w:rFonts w:ascii="Arial" w:hAnsi="Arial" w:cs="Arial" w:eastAsiaTheme="minorEastAsia"/>
                <w:color w:val="000000"/>
              </w:rPr>
            </w:pPr>
            <w:r>
              <w:rPr>
                <w:rFonts w:ascii="Arial" w:hAnsi="Arial" w:cs="Arial" w:eastAsiaTheme="minorEastAsia"/>
                <w:color w:val="000000"/>
              </w:rPr>
              <w:t>35&lt;S≤400</w:t>
            </w:r>
          </w:p>
        </w:tc>
        <w:tc>
          <w:tcPr>
            <w:tcW w:w="3360" w:type="dxa"/>
            <w:shd w:val="clear" w:color="auto" w:fill="auto"/>
          </w:tcPr>
          <w:p>
            <w:pPr>
              <w:spacing w:line="360" w:lineRule="auto"/>
              <w:jc w:val="center"/>
              <w:rPr>
                <w:rFonts w:ascii="Arial" w:hAnsi="Arial" w:cs="Arial" w:eastAsiaTheme="minorEastAsia"/>
                <w:color w:val="000000"/>
              </w:rPr>
            </w:pPr>
            <w:r>
              <w:rPr>
                <w:rFonts w:ascii="Arial" w:hAnsi="Arial" w:cs="Arial" w:eastAsiaTheme="minorEastAsia"/>
                <w:color w:val="000000"/>
              </w:rPr>
              <w:t>S/2</w:t>
            </w:r>
          </w:p>
        </w:tc>
      </w:tr>
    </w:tbl>
    <w:p>
      <w:pPr>
        <w:spacing w:line="360" w:lineRule="auto"/>
        <w:rPr>
          <w:rFonts w:ascii="Arial" w:hAnsi="Arial" w:eastAsia="黑体" w:cs="Arial"/>
          <w:sz w:val="24"/>
          <w:szCs w:val="24"/>
        </w:rPr>
      </w:pPr>
    </w:p>
    <w:p>
      <w:pPr>
        <w:adjustRightInd w:val="0"/>
        <w:snapToGrid w:val="0"/>
        <w:spacing w:line="360" w:lineRule="auto"/>
        <w:rPr>
          <w:rFonts w:ascii="Arial" w:hAnsi="Arial" w:eastAsia="黑体" w:cs="Arial"/>
          <w:sz w:val="24"/>
          <w:szCs w:val="24"/>
        </w:rPr>
      </w:pPr>
      <w:r>
        <w:rPr>
          <w:rFonts w:ascii="Arial" w:hAnsi="黑体" w:eastAsia="黑体" w:cs="Arial"/>
          <w:sz w:val="24"/>
          <w:szCs w:val="24"/>
        </w:rPr>
        <w:t>《住宅设计标准》</w:t>
      </w:r>
      <w:r>
        <w:rPr>
          <w:rFonts w:ascii="Arial" w:hAnsi="Arial" w:eastAsia="黑体" w:cs="Arial"/>
          <w:sz w:val="24"/>
          <w:szCs w:val="24"/>
        </w:rPr>
        <w:t>DGJ 08-20-2019</w:t>
      </w:r>
    </w:p>
    <w:p>
      <w:pPr>
        <w:adjustRightInd w:val="0"/>
        <w:snapToGrid w:val="0"/>
        <w:spacing w:line="360" w:lineRule="auto"/>
        <w:rPr>
          <w:rFonts w:hint="eastAsia" w:ascii="Arial" w:hAnsi="Arial" w:cs="Arial"/>
          <w:sz w:val="24"/>
          <w:szCs w:val="24"/>
        </w:rPr>
      </w:pPr>
      <w:r>
        <w:rPr>
          <w:rFonts w:hint="eastAsia" w:ascii="宋体" w:hAnsi="宋体"/>
          <w:b/>
          <w:bCs/>
          <w:color w:val="000000"/>
          <w:sz w:val="24"/>
        </w:rPr>
        <w:t>12.2.8</w:t>
      </w:r>
      <w:r>
        <w:rPr>
          <w:rFonts w:hint="eastAsia" w:ascii="Arial" w:hAnsi="Arial" w:cs="Arial"/>
          <w:sz w:val="24"/>
          <w:szCs w:val="24"/>
        </w:rPr>
        <w:t xml:space="preserve"> </w:t>
      </w:r>
      <w:r>
        <w:rPr>
          <w:rFonts w:ascii="Arial" w:hAnsi="Arial" w:cs="Arial"/>
          <w:sz w:val="24"/>
          <w:szCs w:val="24"/>
        </w:rPr>
        <w:t>供配电线路应采用符合安全和防火要求的敷设方式布线，不应采用护套线明敷。</w:t>
      </w:r>
    </w:p>
    <w:p>
      <w:pPr>
        <w:adjustRightInd w:val="0"/>
        <w:snapToGrid w:val="0"/>
        <w:spacing w:line="360" w:lineRule="auto"/>
        <w:rPr>
          <w:rFonts w:ascii="Arial" w:hAnsi="Arial" w:cs="Arial"/>
          <w:sz w:val="24"/>
          <w:szCs w:val="24"/>
        </w:rPr>
      </w:pPr>
      <w:r>
        <w:rPr>
          <w:rFonts w:hint="eastAsia" w:ascii="宋体" w:hAnsi="宋体"/>
          <w:b/>
          <w:bCs/>
          <w:color w:val="000000"/>
          <w:sz w:val="24"/>
        </w:rPr>
        <w:t>12.2.9</w:t>
      </w:r>
      <w:r>
        <w:rPr>
          <w:rFonts w:hint="eastAsia" w:ascii="宋体" w:hAnsi="宋体"/>
          <w:b/>
          <w:bCs/>
          <w:color w:val="000000"/>
          <w:sz w:val="24"/>
          <w:lang w:val="en-US" w:eastAsia="zh-CN"/>
        </w:rPr>
        <w:t xml:space="preserve"> </w:t>
      </w:r>
      <w:r>
        <w:rPr>
          <w:rFonts w:ascii="Arial" w:hAnsi="Arial" w:cs="Arial"/>
          <w:sz w:val="24"/>
          <w:szCs w:val="24"/>
        </w:rPr>
        <w:t>由电能计量箱引至住户配电箱的单相进户铜导线截面不应小于10.0mm</w:t>
      </w:r>
      <w:r>
        <w:rPr>
          <w:rFonts w:ascii="Arial" w:hAnsi="Arial" w:cs="Arial"/>
          <w:sz w:val="24"/>
          <w:szCs w:val="24"/>
          <w:vertAlign w:val="superscript"/>
        </w:rPr>
        <w:t>2</w:t>
      </w:r>
      <w:r>
        <w:rPr>
          <w:rFonts w:ascii="Arial" w:hAnsi="Arial" w:cs="Arial"/>
          <w:sz w:val="24"/>
          <w:szCs w:val="24"/>
        </w:rPr>
        <w:t>，三相进户铜导线截面不应小于6.0mm</w:t>
      </w:r>
      <w:r>
        <w:rPr>
          <w:rFonts w:ascii="Arial" w:hAnsi="Arial" w:cs="Arial"/>
          <w:sz w:val="24"/>
          <w:szCs w:val="24"/>
          <w:vertAlign w:val="superscript"/>
        </w:rPr>
        <w:t>2</w:t>
      </w:r>
      <w:r>
        <w:rPr>
          <w:rFonts w:ascii="Arial" w:hAnsi="Arial" w:cs="Arial"/>
          <w:sz w:val="24"/>
          <w:szCs w:val="24"/>
        </w:rPr>
        <w:t>；套内照明分支回路的铜导线截面不应小于1.5mm</w:t>
      </w:r>
      <w:r>
        <w:rPr>
          <w:rFonts w:ascii="Arial" w:hAnsi="Arial" w:cs="Arial"/>
          <w:sz w:val="24"/>
          <w:szCs w:val="24"/>
          <w:vertAlign w:val="superscript"/>
        </w:rPr>
        <w:t>2</w:t>
      </w:r>
      <w:r>
        <w:rPr>
          <w:rFonts w:ascii="Arial" w:hAnsi="Arial" w:cs="Arial"/>
          <w:sz w:val="24"/>
          <w:szCs w:val="24"/>
        </w:rPr>
        <w:t>，插座分支回路的铜导线截面不应小于2.5mm</w:t>
      </w:r>
      <w:r>
        <w:rPr>
          <w:rFonts w:ascii="Arial" w:hAnsi="Arial" w:cs="Arial"/>
          <w:sz w:val="24"/>
          <w:szCs w:val="24"/>
          <w:vertAlign w:val="superscript"/>
        </w:rPr>
        <w:t>2</w:t>
      </w:r>
      <w:r>
        <w:rPr>
          <w:rFonts w:hint="eastAsia" w:ascii="Arial" w:hAnsi="Arial" w:cs="Arial"/>
          <w:sz w:val="24"/>
          <w:szCs w:val="24"/>
        </w:rPr>
        <w:t>。</w:t>
      </w:r>
    </w:p>
    <w:p>
      <w:pPr>
        <w:adjustRightInd w:val="0"/>
        <w:snapToGrid w:val="0"/>
        <w:spacing w:line="360" w:lineRule="auto"/>
        <w:rPr>
          <w:rFonts w:hint="eastAsia" w:ascii="Arial" w:hAnsi="Arial" w:cs="Arial"/>
          <w:sz w:val="24"/>
          <w:szCs w:val="24"/>
        </w:rPr>
      </w:pPr>
      <w:r>
        <w:rPr>
          <w:rFonts w:hint="eastAsia" w:ascii="宋体" w:hAnsi="宋体"/>
          <w:b/>
          <w:bCs/>
          <w:color w:val="000000"/>
          <w:sz w:val="24"/>
        </w:rPr>
        <w:t>12.2.10</w:t>
      </w:r>
      <w:r>
        <w:rPr>
          <w:rFonts w:hint="eastAsia" w:ascii="Arial" w:hAnsi="Arial" w:cs="Arial"/>
          <w:sz w:val="24"/>
          <w:szCs w:val="24"/>
        </w:rPr>
        <w:t xml:space="preserve"> 住宅配电系统的设计尚应符合下列规定：</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Fonts w:hint="eastAsia" w:ascii="Arial" w:hAnsi="Arial" w:cs="Arial"/>
          <w:sz w:val="24"/>
          <w:szCs w:val="24"/>
        </w:rPr>
      </w:pPr>
      <w:r>
        <w:rPr>
          <w:rFonts w:hint="eastAsia" w:ascii="宋体" w:hAnsi="宋体"/>
          <w:b/>
          <w:bCs/>
          <w:color w:val="000000"/>
          <w:sz w:val="24"/>
        </w:rPr>
        <w:t>2</w:t>
      </w:r>
      <w:r>
        <w:rPr>
          <w:rFonts w:hint="eastAsia" w:ascii="Arial" w:hAnsi="Arial" w:cs="Arial"/>
          <w:sz w:val="24"/>
          <w:szCs w:val="24"/>
        </w:rPr>
        <w:t xml:space="preserve"> 设有洗浴设备的卫生间应做局部等电位联结。</w:t>
      </w:r>
    </w:p>
    <w:p>
      <w:pPr>
        <w:adjustRightInd w:val="0"/>
        <w:snapToGrid w:val="0"/>
        <w:spacing w:line="360" w:lineRule="auto"/>
        <w:rPr>
          <w:rFonts w:hint="eastAsia" w:ascii="Arial" w:hAnsi="Arial" w:cs="Arial"/>
          <w:sz w:val="24"/>
          <w:szCs w:val="24"/>
        </w:rPr>
      </w:pPr>
      <w:r>
        <w:rPr>
          <w:rFonts w:hint="eastAsia" w:ascii="宋体" w:hAnsi="宋体"/>
          <w:b/>
          <w:bCs/>
          <w:color w:val="000000"/>
          <w:sz w:val="24"/>
        </w:rPr>
        <w:t>13.0.7</w:t>
      </w:r>
      <w:r>
        <w:rPr>
          <w:rFonts w:hint="eastAsia" w:ascii="Arial" w:hAnsi="Arial" w:cs="Arial"/>
          <w:sz w:val="24"/>
          <w:szCs w:val="24"/>
        </w:rPr>
        <w:t xml:space="preserve"> 住宅套内的智能化系统设计应符合下列规定：</w:t>
      </w:r>
    </w:p>
    <w:p>
      <w:pPr>
        <w:adjustRightInd w:val="0"/>
        <w:snapToGrid w:val="0"/>
        <w:spacing w:line="360" w:lineRule="auto"/>
        <w:ind w:firstLine="481" w:firstLineChars="200"/>
        <w:rPr>
          <w:rFonts w:hint="eastAsia" w:ascii="Arial" w:hAnsi="Arial" w:cs="Arial"/>
          <w:sz w:val="24"/>
          <w:szCs w:val="24"/>
        </w:rPr>
      </w:pPr>
      <w:r>
        <w:rPr>
          <w:rFonts w:hint="eastAsia" w:ascii="宋体" w:hAnsi="宋体"/>
          <w:b/>
          <w:bCs/>
          <w:color w:val="000000"/>
          <w:sz w:val="24"/>
        </w:rPr>
        <w:t xml:space="preserve">3 </w:t>
      </w:r>
      <w:r>
        <w:rPr>
          <w:rFonts w:hint="eastAsia" w:ascii="Arial" w:hAnsi="Arial" w:cs="Arial"/>
          <w:sz w:val="24"/>
          <w:szCs w:val="24"/>
        </w:rPr>
        <w:t>住宅内应实现光纤到户。</w:t>
      </w:r>
    </w:p>
    <w:p>
      <w:pPr>
        <w:spacing w:line="360" w:lineRule="auto"/>
        <w:rPr>
          <w:rFonts w:hint="eastAsia" w:ascii="Arial" w:hAnsi="Arial" w:cs="Arial"/>
          <w:sz w:val="24"/>
          <w:szCs w:val="24"/>
        </w:rPr>
      </w:pPr>
    </w:p>
    <w:p>
      <w:pPr>
        <w:adjustRightInd w:val="0"/>
        <w:snapToGrid w:val="0"/>
        <w:spacing w:line="360" w:lineRule="auto"/>
        <w:rPr>
          <w:rFonts w:ascii="Arial" w:hAnsi="Arial" w:eastAsia="黑体" w:cs="Arial"/>
          <w:sz w:val="24"/>
          <w:szCs w:val="24"/>
        </w:rPr>
      </w:pPr>
      <w:r>
        <w:rPr>
          <w:rFonts w:hint="eastAsia" w:ascii="Arial" w:hAnsi="Arial" w:eastAsia="黑体" w:cs="Arial"/>
          <w:sz w:val="24"/>
          <w:szCs w:val="24"/>
        </w:rPr>
        <w:t>《养老设施建筑设计标准》</w:t>
      </w:r>
      <w:r>
        <w:rPr>
          <w:rFonts w:ascii="Arial" w:hAnsi="Arial" w:eastAsia="黑体" w:cs="Arial"/>
          <w:sz w:val="24"/>
          <w:szCs w:val="24"/>
        </w:rPr>
        <w:t>DG/TJ 08-82-2020</w:t>
      </w:r>
    </w:p>
    <w:p>
      <w:pPr>
        <w:adjustRightInd w:val="0"/>
        <w:snapToGrid w:val="0"/>
        <w:spacing w:line="360" w:lineRule="auto"/>
        <w:rPr>
          <w:rFonts w:ascii="Arial" w:hAnsi="Arial" w:cs="Arial"/>
          <w:sz w:val="24"/>
          <w:szCs w:val="24"/>
        </w:rPr>
      </w:pPr>
      <w:r>
        <w:rPr>
          <w:rFonts w:hint="eastAsia" w:ascii="宋体" w:hAnsi="宋体"/>
          <w:b/>
          <w:bCs/>
          <w:color w:val="000000"/>
          <w:sz w:val="24"/>
        </w:rPr>
        <w:t>8.2.1</w:t>
      </w:r>
      <w:r>
        <w:rPr>
          <w:rFonts w:hint="eastAsia" w:ascii="Arial" w:hAnsi="Arial" w:cs="Arial"/>
          <w:sz w:val="24"/>
          <w:szCs w:val="24"/>
        </w:rPr>
        <w:t xml:space="preserve"> 燃气使用部位，应安装燃气泄漏自动报警和安全保护装置，并配置灭火设施。</w:t>
      </w:r>
    </w:p>
    <w:p>
      <w:pPr>
        <w:adjustRightInd w:val="0"/>
        <w:snapToGrid w:val="0"/>
        <w:spacing w:line="360" w:lineRule="auto"/>
        <w:rPr>
          <w:rFonts w:hint="eastAsia" w:ascii="Arial" w:hAnsi="Arial" w:cs="Arial"/>
          <w:sz w:val="24"/>
          <w:szCs w:val="24"/>
        </w:rPr>
      </w:pPr>
      <w:r>
        <w:rPr>
          <w:rFonts w:hint="eastAsia" w:ascii="宋体" w:hAnsi="宋体"/>
          <w:b/>
          <w:bCs/>
          <w:color w:val="000000"/>
          <w:sz w:val="24"/>
        </w:rPr>
        <w:t xml:space="preserve">8.5.13 </w:t>
      </w:r>
      <w:r>
        <w:rPr>
          <w:rFonts w:hint="eastAsia" w:ascii="Arial" w:hAnsi="Arial" w:cs="Arial"/>
          <w:sz w:val="24"/>
          <w:szCs w:val="24"/>
        </w:rPr>
        <w:t>养老设施建筑的居室、公共活动区域、公用沐浴间的更衣区域应设触摸方便的紧急呼叫装置。该装置宜采用拉绳式，距地高度应为</w:t>
      </w:r>
      <w:r>
        <w:rPr>
          <w:rFonts w:ascii="Arial" w:hAnsi="Arial" w:cs="Arial"/>
          <w:sz w:val="24"/>
          <w:szCs w:val="24"/>
        </w:rPr>
        <w:t>0.9m~ 1. 20m</w:t>
      </w:r>
      <w:r>
        <w:rPr>
          <w:rFonts w:hint="eastAsia" w:ascii="Arial" w:hAnsi="Arial" w:cs="Arial"/>
          <w:sz w:val="24"/>
          <w:szCs w:val="24"/>
        </w:rPr>
        <w:t>，设在卫生间的紧急呼叫装置距地高度宜为</w:t>
      </w:r>
      <w:r>
        <w:rPr>
          <w:rFonts w:ascii="Arial" w:hAnsi="Arial" w:cs="Arial"/>
          <w:sz w:val="24"/>
          <w:szCs w:val="24"/>
        </w:rPr>
        <w:t xml:space="preserve">0.40m~0. 50m </w:t>
      </w:r>
      <w:r>
        <w:rPr>
          <w:rFonts w:hint="eastAsia" w:ascii="Arial" w:hAnsi="Arial" w:cs="Arial"/>
          <w:sz w:val="24"/>
          <w:szCs w:val="24"/>
        </w:rPr>
        <w:t>。</w:t>
      </w:r>
    </w:p>
    <w:p>
      <w:pPr>
        <w:adjustRightInd w:val="0"/>
        <w:snapToGrid w:val="0"/>
        <w:spacing w:line="360" w:lineRule="auto"/>
        <w:rPr>
          <w:rFonts w:ascii="Arial" w:hAnsi="Arial" w:eastAsia="黑体" w:cs="Arial"/>
          <w:sz w:val="24"/>
          <w:szCs w:val="24"/>
        </w:rPr>
      </w:pPr>
      <w:r>
        <w:rPr>
          <w:rFonts w:hint="eastAsia" w:ascii="Arial" w:hAnsi="Arial" w:eastAsia="黑体" w:cs="Arial"/>
          <w:sz w:val="24"/>
          <w:szCs w:val="24"/>
        </w:rPr>
        <w:t>《保障性住房设计标准》（保障性租赁住房新建分册）</w:t>
      </w:r>
      <w:r>
        <w:rPr>
          <w:rFonts w:ascii="Arial" w:hAnsi="Arial" w:eastAsia="黑体" w:cs="Arial"/>
          <w:sz w:val="24"/>
          <w:szCs w:val="24"/>
        </w:rPr>
        <w:t>DG/TJ 08-2291B-2022</w:t>
      </w:r>
    </w:p>
    <w:p>
      <w:pPr>
        <w:adjustRightInd w:val="0"/>
        <w:snapToGrid w:val="0"/>
        <w:spacing w:line="360" w:lineRule="auto"/>
        <w:rPr>
          <w:rFonts w:hint="eastAsia" w:ascii="Arial" w:hAnsi="Arial" w:cs="Arial"/>
          <w:color w:val="000000"/>
          <w:sz w:val="24"/>
          <w:szCs w:val="24"/>
        </w:rPr>
      </w:pPr>
      <w:r>
        <w:rPr>
          <w:rFonts w:hint="eastAsia" w:ascii="宋体" w:hAnsi="宋体"/>
          <w:b/>
          <w:bCs/>
          <w:color w:val="000000"/>
          <w:sz w:val="24"/>
        </w:rPr>
        <w:t xml:space="preserve">8.5.3 </w:t>
      </w:r>
      <w:r>
        <w:rPr>
          <w:rFonts w:hint="eastAsia" w:ascii="Arial" w:hAnsi="Arial" w:cs="Arial"/>
          <w:color w:val="000000"/>
          <w:sz w:val="24"/>
          <w:szCs w:val="24"/>
        </w:rPr>
        <w:t>保障性租赁住房用电负荷计算功率应满足实际使用需求，且应符合下列要求：</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Fonts w:ascii="Arial" w:hAnsi="Arial" w:cs="Arial"/>
          <w:color w:val="000000"/>
          <w:sz w:val="24"/>
          <w:szCs w:val="24"/>
        </w:rPr>
      </w:pPr>
      <w:r>
        <w:rPr>
          <w:rFonts w:hint="eastAsia" w:ascii="宋体" w:hAnsi="宋体"/>
          <w:b/>
          <w:bCs/>
          <w:color w:val="000000"/>
          <w:sz w:val="24"/>
        </w:rPr>
        <w:t>1</w:t>
      </w:r>
      <w:r>
        <w:rPr>
          <w:rFonts w:hint="eastAsia" w:ascii="Arial" w:hAnsi="Arial" w:cs="Arial"/>
          <w:color w:val="000000"/>
          <w:sz w:val="24"/>
          <w:szCs w:val="24"/>
        </w:rPr>
        <w:t xml:space="preserve"> 每套住宅型租赁住房用电负荷计算功率：</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Arial" w:hAnsi="Arial" w:cs="Arial"/>
          <w:color w:val="000000"/>
          <w:sz w:val="24"/>
          <w:szCs w:val="24"/>
        </w:rPr>
      </w:pPr>
      <w:r>
        <w:rPr>
          <w:rFonts w:ascii="Arial" w:hAnsi="Arial" w:cs="Arial"/>
          <w:color w:val="000000"/>
          <w:sz w:val="24"/>
          <w:szCs w:val="24"/>
        </w:rPr>
        <w:t>1</w:t>
      </w:r>
      <w:r>
        <w:rPr>
          <w:rFonts w:hint="eastAsia" w:ascii="Arial" w:hAnsi="Arial" w:cs="Arial"/>
          <w:color w:val="000000"/>
          <w:sz w:val="24"/>
          <w:szCs w:val="24"/>
        </w:rPr>
        <w:t>）建筑面积小于等于6</w:t>
      </w:r>
      <w:r>
        <w:rPr>
          <w:rFonts w:ascii="Arial" w:hAnsi="Arial" w:cs="Arial"/>
          <w:color w:val="000000"/>
          <w:sz w:val="24"/>
          <w:szCs w:val="24"/>
        </w:rPr>
        <w:t>0</w:t>
      </w:r>
      <w:r>
        <w:rPr>
          <w:rFonts w:hint="eastAsia" w:ascii="Arial" w:hAnsi="Arial" w:cs="Arial"/>
          <w:color w:val="000000"/>
          <w:sz w:val="24"/>
          <w:szCs w:val="24"/>
        </w:rPr>
        <w:t>m</w:t>
      </w:r>
      <w:r>
        <w:rPr>
          <w:rFonts w:ascii="Arial" w:hAnsi="Arial" w:cs="Arial"/>
          <w:color w:val="000000"/>
          <w:sz w:val="24"/>
          <w:szCs w:val="24"/>
          <w:vertAlign w:val="superscript"/>
        </w:rPr>
        <w:t>2</w:t>
      </w:r>
      <w:r>
        <w:rPr>
          <w:rFonts w:hint="eastAsia" w:ascii="Arial" w:hAnsi="Arial" w:cs="Arial"/>
          <w:color w:val="000000"/>
          <w:sz w:val="24"/>
          <w:szCs w:val="24"/>
        </w:rPr>
        <w:t>的套型，用电负荷计算功率不应小于6</w:t>
      </w:r>
      <w:r>
        <w:rPr>
          <w:rFonts w:ascii="Arial" w:hAnsi="Arial" w:cs="Arial"/>
          <w:color w:val="000000"/>
          <w:sz w:val="24"/>
          <w:szCs w:val="24"/>
        </w:rPr>
        <w:t>kW</w:t>
      </w:r>
      <w:r>
        <w:rPr>
          <w:rFonts w:hint="eastAsia" w:ascii="Arial" w:hAnsi="Arial" w:cs="Arial"/>
          <w:color w:val="000000"/>
          <w:sz w:val="24"/>
          <w:szCs w:val="24"/>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Arial" w:hAnsi="Arial" w:cs="Arial"/>
          <w:color w:val="000000"/>
          <w:sz w:val="24"/>
          <w:szCs w:val="24"/>
        </w:rPr>
      </w:pPr>
      <w:r>
        <w:rPr>
          <w:rFonts w:ascii="Arial" w:hAnsi="Arial" w:cs="Arial"/>
          <w:color w:val="000000"/>
          <w:sz w:val="24"/>
          <w:szCs w:val="24"/>
        </w:rPr>
        <w:t>2</w:t>
      </w:r>
      <w:r>
        <w:rPr>
          <w:rFonts w:hint="eastAsia" w:ascii="Arial" w:hAnsi="Arial" w:cs="Arial"/>
          <w:color w:val="000000"/>
          <w:sz w:val="24"/>
          <w:szCs w:val="24"/>
        </w:rPr>
        <w:t>）建筑面积大于6</w:t>
      </w:r>
      <w:r>
        <w:rPr>
          <w:rFonts w:ascii="Arial" w:hAnsi="Arial" w:cs="Arial"/>
          <w:color w:val="000000"/>
          <w:sz w:val="24"/>
          <w:szCs w:val="24"/>
        </w:rPr>
        <w:t>0</w:t>
      </w:r>
      <w:r>
        <w:rPr>
          <w:rFonts w:hint="eastAsia" w:ascii="Arial" w:hAnsi="Arial" w:cs="Arial"/>
          <w:color w:val="000000"/>
          <w:sz w:val="24"/>
          <w:szCs w:val="24"/>
        </w:rPr>
        <w:t>m</w:t>
      </w:r>
      <w:r>
        <w:rPr>
          <w:rFonts w:ascii="Arial" w:hAnsi="Arial" w:cs="Arial"/>
          <w:color w:val="000000"/>
          <w:sz w:val="24"/>
          <w:szCs w:val="24"/>
          <w:vertAlign w:val="superscript"/>
        </w:rPr>
        <w:t>2</w:t>
      </w:r>
      <w:r>
        <w:rPr>
          <w:rFonts w:hint="eastAsia" w:ascii="Arial" w:hAnsi="Arial" w:cs="Arial"/>
          <w:color w:val="000000"/>
          <w:sz w:val="24"/>
          <w:szCs w:val="24"/>
        </w:rPr>
        <w:t>的套型，用电负荷计算功率应符合现行上海市工程建设规范《住宅设计标准》D</w:t>
      </w:r>
      <w:r>
        <w:rPr>
          <w:rFonts w:ascii="Arial" w:hAnsi="Arial" w:cs="Arial"/>
          <w:color w:val="000000"/>
          <w:sz w:val="24"/>
          <w:szCs w:val="24"/>
        </w:rPr>
        <w:t>GJ 08-20</w:t>
      </w:r>
      <w:r>
        <w:rPr>
          <w:rFonts w:hint="eastAsia" w:ascii="Arial" w:hAnsi="Arial" w:cs="Arial"/>
          <w:color w:val="000000"/>
          <w:sz w:val="24"/>
          <w:szCs w:val="24"/>
        </w:rPr>
        <w:t>的相关规定。</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Fonts w:hint="eastAsia" w:ascii="Arial" w:hAnsi="Arial" w:cs="Arial"/>
          <w:color w:val="000000"/>
          <w:sz w:val="24"/>
          <w:szCs w:val="24"/>
        </w:rPr>
      </w:pPr>
      <w:r>
        <w:rPr>
          <w:rFonts w:hint="eastAsia" w:ascii="宋体" w:hAnsi="宋体"/>
          <w:b/>
          <w:bCs/>
          <w:color w:val="000000"/>
          <w:sz w:val="24"/>
        </w:rPr>
        <w:t xml:space="preserve">2 </w:t>
      </w:r>
      <w:r>
        <w:rPr>
          <w:rFonts w:hint="eastAsia" w:ascii="Arial" w:hAnsi="Arial" w:cs="Arial"/>
          <w:color w:val="000000"/>
          <w:sz w:val="24"/>
          <w:szCs w:val="24"/>
        </w:rPr>
        <w:t>每套宿舍型租赁住房用电负荷计算功率不应小于5kW。</w:t>
      </w:r>
    </w:p>
    <w:p>
      <w:pPr>
        <w:adjustRightInd w:val="0"/>
        <w:snapToGrid w:val="0"/>
        <w:spacing w:line="360" w:lineRule="auto"/>
        <w:rPr>
          <w:rFonts w:hint="eastAsia" w:ascii="Arial" w:hAnsi="Arial" w:cs="Arial"/>
          <w:color w:val="000000"/>
          <w:sz w:val="24"/>
          <w:szCs w:val="24"/>
        </w:rPr>
      </w:pPr>
      <w:r>
        <w:rPr>
          <w:rFonts w:hint="eastAsia" w:ascii="宋体" w:hAnsi="宋体"/>
          <w:b/>
          <w:bCs/>
          <w:color w:val="000000"/>
          <w:sz w:val="24"/>
        </w:rPr>
        <w:t xml:space="preserve">9.0.8 </w:t>
      </w:r>
      <w:r>
        <w:rPr>
          <w:rFonts w:hint="eastAsia" w:ascii="Arial" w:hAnsi="Arial" w:cs="Arial"/>
          <w:color w:val="000000"/>
          <w:sz w:val="24"/>
          <w:szCs w:val="24"/>
        </w:rPr>
        <w:t>保障性租赁住房的火灾自动报警系统应符合下列规定：</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Fonts w:hint="eastAsia" w:ascii="Arial" w:hAnsi="Arial" w:cs="Arial"/>
          <w:color w:val="000000"/>
          <w:sz w:val="24"/>
          <w:szCs w:val="24"/>
        </w:rPr>
      </w:pPr>
      <w:r>
        <w:rPr>
          <w:rFonts w:hint="eastAsia" w:ascii="宋体" w:hAnsi="宋体"/>
          <w:b/>
          <w:bCs/>
          <w:color w:val="000000"/>
          <w:sz w:val="24"/>
        </w:rPr>
        <w:t xml:space="preserve">1 </w:t>
      </w:r>
      <w:r>
        <w:rPr>
          <w:rFonts w:hint="eastAsia" w:ascii="Arial" w:hAnsi="Arial" w:cs="Arial"/>
          <w:color w:val="000000"/>
          <w:sz w:val="24"/>
          <w:szCs w:val="24"/>
        </w:rPr>
        <w:t>高层住宅型租赁住房的公共部位、套内应设置火灾自动报警系统；套内的家用火灾探测器宜直接接入火灾报警系统控制器。</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Fonts w:hint="eastAsia" w:ascii="Arial" w:hAnsi="Arial" w:cs="Arial"/>
          <w:color w:val="000000"/>
          <w:sz w:val="24"/>
          <w:szCs w:val="24"/>
        </w:rPr>
      </w:pPr>
      <w:r>
        <w:rPr>
          <w:rFonts w:hint="eastAsia" w:ascii="宋体" w:hAnsi="宋体"/>
          <w:b/>
          <w:bCs/>
          <w:color w:val="000000"/>
          <w:sz w:val="24"/>
        </w:rPr>
        <w:t>2</w:t>
      </w:r>
      <w:r>
        <w:rPr>
          <w:rFonts w:hint="eastAsia" w:ascii="Arial" w:hAnsi="Arial" w:cs="Arial"/>
          <w:color w:val="000000"/>
          <w:sz w:val="24"/>
          <w:szCs w:val="24"/>
        </w:rPr>
        <w:t xml:space="preserve"> 宿舍型租赁住房的火灾自动报警系统应符合现行国家标准《建筑设计防火规范》GB</w:t>
      </w:r>
      <w:r>
        <w:rPr>
          <w:rFonts w:ascii="Arial" w:hAnsi="Arial" w:cs="Arial"/>
          <w:color w:val="000000"/>
          <w:sz w:val="24"/>
          <w:szCs w:val="24"/>
        </w:rPr>
        <w:t xml:space="preserve"> 50016</w:t>
      </w:r>
      <w:r>
        <w:rPr>
          <w:rFonts w:hint="eastAsia" w:ascii="Arial" w:hAnsi="Arial" w:cs="Arial"/>
          <w:color w:val="000000"/>
          <w:sz w:val="24"/>
          <w:szCs w:val="24"/>
        </w:rPr>
        <w:t>中有关旅馆建筑的要求。</w:t>
      </w:r>
    </w:p>
    <w:p>
      <w:pPr>
        <w:spacing w:line="360" w:lineRule="auto"/>
        <w:rPr>
          <w:rFonts w:hint="eastAsia" w:ascii="Arial" w:hAnsi="Arial" w:cs="Arial"/>
          <w:sz w:val="24"/>
          <w:szCs w:val="24"/>
        </w:rPr>
      </w:pPr>
    </w:p>
    <w:p>
      <w:pPr>
        <w:adjustRightInd w:val="0"/>
        <w:snapToGrid w:val="0"/>
        <w:spacing w:line="360" w:lineRule="auto"/>
        <w:rPr>
          <w:rFonts w:hint="eastAsia" w:ascii="Arial" w:hAnsi="Arial" w:eastAsia="黑体" w:cs="Arial"/>
          <w:sz w:val="24"/>
          <w:szCs w:val="24"/>
        </w:rPr>
      </w:pPr>
      <w:r>
        <w:rPr>
          <w:rFonts w:hint="eastAsia" w:ascii="Arial" w:hAnsi="Arial" w:eastAsia="黑体" w:cs="Arial"/>
          <w:sz w:val="24"/>
          <w:szCs w:val="24"/>
        </w:rPr>
        <w:t>《保障性住房设计标准》（保障性租赁住房改建分册）</w:t>
      </w:r>
      <w:r>
        <w:rPr>
          <w:rFonts w:ascii="Arial" w:hAnsi="Arial" w:eastAsia="黑体" w:cs="Arial"/>
          <w:sz w:val="24"/>
          <w:szCs w:val="24"/>
        </w:rPr>
        <w:t>DG/TJ 08-2291C-2022</w:t>
      </w:r>
    </w:p>
    <w:p>
      <w:pPr>
        <w:adjustRightInd w:val="0"/>
        <w:snapToGrid w:val="0"/>
        <w:spacing w:line="360" w:lineRule="auto"/>
        <w:rPr>
          <w:rFonts w:hint="eastAsia" w:ascii="Arial" w:hAnsi="Arial" w:cs="Arial"/>
          <w:color w:val="000000"/>
          <w:sz w:val="24"/>
          <w:szCs w:val="24"/>
        </w:rPr>
      </w:pPr>
      <w:r>
        <w:rPr>
          <w:rFonts w:hint="eastAsia" w:ascii="宋体" w:hAnsi="宋体"/>
          <w:b/>
          <w:bCs/>
          <w:color w:val="000000"/>
          <w:sz w:val="24"/>
        </w:rPr>
        <w:t xml:space="preserve">9.4.3 </w:t>
      </w:r>
      <w:r>
        <w:rPr>
          <w:rFonts w:hint="eastAsia" w:ascii="Arial" w:hAnsi="Arial" w:cs="Arial"/>
          <w:color w:val="000000"/>
          <w:sz w:val="24"/>
          <w:szCs w:val="24"/>
        </w:rPr>
        <w:t>整体或局部改建为宿舍型租赁住房的建筑或场所应设置火灾自动报警系统，公共部位应设置声光报警装置。</w:t>
      </w:r>
    </w:p>
    <w:p>
      <w:pPr>
        <w:spacing w:line="360" w:lineRule="auto"/>
        <w:rPr>
          <w:rFonts w:hint="eastAsia" w:ascii="Arial" w:hAnsi="Arial" w:cs="Arial"/>
          <w:sz w:val="24"/>
          <w:szCs w:val="24"/>
        </w:rPr>
      </w:pPr>
    </w:p>
    <w:p>
      <w:pPr>
        <w:spacing w:line="360" w:lineRule="auto"/>
        <w:rPr>
          <w:rFonts w:hint="eastAsia" w:ascii="Arial" w:hAnsi="Arial" w:cs="Arial"/>
          <w:sz w:val="24"/>
          <w:szCs w:val="24"/>
        </w:rPr>
      </w:pPr>
    </w:p>
    <w:p>
      <w:pPr>
        <w:spacing w:line="360" w:lineRule="auto"/>
        <w:rPr>
          <w:rFonts w:hint="eastAsia" w:ascii="Arial" w:hAnsi="Arial" w:cs="Arial"/>
          <w:sz w:val="24"/>
          <w:szCs w:val="24"/>
        </w:rPr>
      </w:pPr>
    </w:p>
    <w:p>
      <w:pPr>
        <w:spacing w:line="360" w:lineRule="auto"/>
        <w:rPr>
          <w:rFonts w:hint="eastAsia" w:ascii="Arial" w:hAnsi="Arial" w:cs="Arial"/>
          <w:sz w:val="24"/>
          <w:szCs w:val="24"/>
        </w:rPr>
      </w:pPr>
    </w:p>
    <w:p>
      <w:pPr>
        <w:spacing w:line="360" w:lineRule="auto"/>
        <w:rPr>
          <w:rFonts w:ascii="Arial" w:hAnsi="Arial" w:cs="Arial"/>
          <w:sz w:val="24"/>
          <w:szCs w:val="24"/>
        </w:rPr>
      </w:pPr>
    </w:p>
    <w:p>
      <w:pPr>
        <w:spacing w:line="360" w:lineRule="auto"/>
        <w:rPr>
          <w:rFonts w:hint="eastAsia" w:ascii="Arial" w:hAnsi="Arial" w:cs="Arial"/>
          <w:sz w:val="24"/>
          <w:szCs w:val="24"/>
        </w:rPr>
      </w:pPr>
    </w:p>
    <w:p>
      <w:pPr>
        <w:spacing w:line="360" w:lineRule="auto"/>
        <w:rPr>
          <w:rFonts w:ascii="Arial" w:hAnsi="Arial" w:cs="Arial"/>
          <w:sz w:val="24"/>
          <w:szCs w:val="24"/>
        </w:rPr>
      </w:pPr>
    </w:p>
    <w:p>
      <w:pPr>
        <w:spacing w:line="360" w:lineRule="auto"/>
        <w:rPr>
          <w:rFonts w:hint="eastAsia" w:ascii="Arial" w:hAnsi="Arial" w:cs="Arial"/>
          <w:sz w:val="24"/>
          <w:szCs w:val="24"/>
        </w:rPr>
      </w:pPr>
    </w:p>
    <w:p>
      <w:pPr>
        <w:pStyle w:val="2"/>
        <w:adjustRightInd w:val="0"/>
        <w:snapToGrid w:val="0"/>
        <w:spacing w:before="240" w:after="240" w:line="480" w:lineRule="auto"/>
        <w:rPr>
          <w:rFonts w:cs="Arial"/>
          <w:sz w:val="32"/>
          <w:szCs w:val="32"/>
        </w:rPr>
      </w:pPr>
      <w:bookmarkStart w:id="44" w:name="_Toc532460059"/>
      <w:bookmarkStart w:id="45" w:name="_Toc436312674"/>
      <w:r>
        <w:rPr>
          <w:rFonts w:eastAsia="Arial Unicode MS" w:cs="Arial"/>
        </w:rPr>
        <w:br w:type="page"/>
      </w:r>
      <w:r>
        <w:rPr>
          <w:rFonts w:cs="Arial"/>
          <w:sz w:val="32"/>
          <w:szCs w:val="32"/>
        </w:rPr>
        <w:t xml:space="preserve">3.2 </w:t>
      </w:r>
      <w:r>
        <w:rPr>
          <w:rFonts w:hAnsi="黑体" w:cs="Arial"/>
          <w:sz w:val="32"/>
          <w:szCs w:val="32"/>
        </w:rPr>
        <w:t>建筑防火</w:t>
      </w:r>
      <w:bookmarkEnd w:id="44"/>
      <w:bookmarkEnd w:id="45"/>
    </w:p>
    <w:p>
      <w:pPr>
        <w:adjustRightInd w:val="0"/>
        <w:snapToGrid w:val="0"/>
        <w:spacing w:line="360" w:lineRule="auto"/>
        <w:rPr>
          <w:rFonts w:hint="eastAsia" w:ascii="Arial" w:hAnsi="Arial" w:eastAsia="黑体" w:cs="Arial"/>
          <w:sz w:val="24"/>
          <w:szCs w:val="24"/>
        </w:rPr>
      </w:pPr>
      <w:r>
        <w:rPr>
          <w:rFonts w:hint="eastAsia" w:ascii="Arial" w:hAnsi="Arial" w:eastAsia="黑体" w:cs="Arial"/>
          <w:sz w:val="24"/>
          <w:szCs w:val="24"/>
        </w:rPr>
        <w:t>《民用建筑电气防火设计规程》DGJ08-2048-2016</w:t>
      </w:r>
    </w:p>
    <w:p>
      <w:pPr>
        <w:adjustRightInd w:val="0"/>
        <w:snapToGrid w:val="0"/>
        <w:spacing w:line="360" w:lineRule="auto"/>
        <w:rPr>
          <w:rFonts w:hint="eastAsia" w:ascii="Arial" w:hAnsi="Arial" w:cs="Arial"/>
          <w:sz w:val="24"/>
          <w:szCs w:val="24"/>
        </w:rPr>
      </w:pPr>
      <w:r>
        <w:rPr>
          <w:rFonts w:hint="eastAsia" w:ascii="宋体" w:hAnsi="宋体"/>
          <w:b/>
          <w:bCs/>
          <w:color w:val="000000"/>
          <w:sz w:val="24"/>
        </w:rPr>
        <w:t>8.1.6</w:t>
      </w:r>
      <w:r>
        <w:rPr>
          <w:rFonts w:hint="eastAsia" w:ascii="Arial" w:hAnsi="Arial" w:cs="Arial"/>
          <w:sz w:val="24"/>
          <w:szCs w:val="24"/>
        </w:rPr>
        <w:t xml:space="preserve"> 用于下列场所的配电线路应采用无卤低烟型;</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Fonts w:hint="eastAsia" w:ascii="Arial" w:hAnsi="Arial" w:cs="Arial"/>
          <w:sz w:val="24"/>
          <w:szCs w:val="24"/>
        </w:rPr>
      </w:pPr>
      <w:r>
        <w:rPr>
          <w:rFonts w:hint="eastAsia" w:ascii="宋体" w:hAnsi="宋体"/>
          <w:b/>
          <w:bCs/>
          <w:color w:val="000000"/>
          <w:sz w:val="24"/>
        </w:rPr>
        <w:t>1</w:t>
      </w:r>
      <w:r>
        <w:rPr>
          <w:rFonts w:hint="eastAsia" w:ascii="Arial" w:hAnsi="Arial" w:cs="Arial"/>
          <w:sz w:val="24"/>
          <w:szCs w:val="24"/>
        </w:rPr>
        <w:t xml:space="preserve"> 电气防火等级为一级的建筑。</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Fonts w:hint="eastAsia" w:ascii="Arial" w:hAnsi="Arial" w:cs="Arial"/>
          <w:sz w:val="24"/>
          <w:szCs w:val="24"/>
        </w:rPr>
      </w:pPr>
      <w:r>
        <w:rPr>
          <w:rFonts w:hint="eastAsia" w:ascii="宋体" w:hAnsi="宋体"/>
          <w:b/>
          <w:bCs/>
          <w:color w:val="000000"/>
          <w:sz w:val="24"/>
        </w:rPr>
        <w:t>2</w:t>
      </w:r>
      <w:r>
        <w:rPr>
          <w:rFonts w:hint="eastAsia" w:ascii="Arial" w:hAnsi="Arial" w:cs="Arial"/>
          <w:sz w:val="24"/>
          <w:szCs w:val="24"/>
        </w:rPr>
        <w:t xml:space="preserve"> 公共娱乐场所、学校、幼儿园、医院、老年人建筑。</w:t>
      </w:r>
    </w:p>
    <w:p>
      <w:pPr>
        <w:adjustRightInd w:val="0"/>
        <w:snapToGrid w:val="0"/>
        <w:spacing w:line="360" w:lineRule="auto"/>
        <w:rPr>
          <w:rFonts w:hint="eastAsia" w:ascii="Arial" w:hAnsi="Arial" w:cs="Arial"/>
          <w:sz w:val="24"/>
          <w:szCs w:val="24"/>
        </w:rPr>
      </w:pPr>
      <w:r>
        <w:rPr>
          <w:rFonts w:hint="eastAsia" w:ascii="宋体" w:hAnsi="宋体"/>
          <w:b/>
          <w:bCs/>
          <w:color w:val="000000"/>
          <w:sz w:val="24"/>
        </w:rPr>
        <w:t>8.4.9</w:t>
      </w:r>
      <w:r>
        <w:rPr>
          <w:rFonts w:hint="eastAsia" w:ascii="Arial" w:hAnsi="Arial" w:cs="Arial"/>
          <w:sz w:val="24"/>
          <w:szCs w:val="24"/>
        </w:rPr>
        <w:t xml:space="preserve"> 电线暗敷时，宜采用金属管或阻燃型硬质塑料管敷设，并应敷设在不燃性结构内。消防用电设备线路暗敷时，其保护层厚度不应小于30mm。</w:t>
      </w:r>
    </w:p>
    <w:p>
      <w:pPr>
        <w:spacing w:line="360" w:lineRule="auto"/>
        <w:rPr>
          <w:rFonts w:ascii="Arial" w:hAnsi="Arial" w:cs="Arial"/>
          <w:color w:val="FF0000"/>
          <w:sz w:val="24"/>
          <w:szCs w:val="24"/>
        </w:rPr>
      </w:pPr>
    </w:p>
    <w:p>
      <w:pPr>
        <w:adjustRightInd w:val="0"/>
        <w:snapToGrid w:val="0"/>
        <w:spacing w:line="360" w:lineRule="auto"/>
        <w:rPr>
          <w:rFonts w:hint="eastAsia" w:ascii="Arial" w:hAnsi="Arial" w:eastAsia="黑体" w:cs="Arial"/>
          <w:sz w:val="24"/>
          <w:szCs w:val="24"/>
        </w:rPr>
      </w:pPr>
      <w:r>
        <w:rPr>
          <w:rFonts w:hint="eastAsia" w:ascii="Arial" w:hAnsi="Arial" w:eastAsia="黑体" w:cs="Arial"/>
          <w:sz w:val="24"/>
          <w:szCs w:val="24"/>
        </w:rPr>
        <w:t>《大型物流建筑消防设计标准》DG</w:t>
      </w:r>
      <w:r>
        <w:rPr>
          <w:rFonts w:ascii="Arial" w:hAnsi="Arial" w:eastAsia="黑体" w:cs="Arial"/>
          <w:sz w:val="24"/>
          <w:szCs w:val="24"/>
        </w:rPr>
        <w:t>/T</w:t>
      </w:r>
      <w:r>
        <w:rPr>
          <w:rFonts w:hint="eastAsia" w:ascii="Arial" w:hAnsi="Arial" w:eastAsia="黑体" w:cs="Arial"/>
          <w:sz w:val="24"/>
          <w:szCs w:val="24"/>
        </w:rPr>
        <w:t>J</w:t>
      </w:r>
      <w:r>
        <w:rPr>
          <w:rFonts w:ascii="Arial" w:hAnsi="Arial" w:eastAsia="黑体" w:cs="Arial"/>
          <w:sz w:val="24"/>
          <w:szCs w:val="24"/>
        </w:rPr>
        <w:t xml:space="preserve"> </w:t>
      </w:r>
      <w:r>
        <w:rPr>
          <w:rFonts w:hint="eastAsia" w:ascii="Arial" w:hAnsi="Arial" w:eastAsia="黑体" w:cs="Arial"/>
          <w:sz w:val="24"/>
          <w:szCs w:val="24"/>
        </w:rPr>
        <w:t>08-2</w:t>
      </w:r>
      <w:r>
        <w:rPr>
          <w:rFonts w:ascii="Arial" w:hAnsi="Arial" w:eastAsia="黑体" w:cs="Arial"/>
          <w:sz w:val="24"/>
          <w:szCs w:val="24"/>
        </w:rPr>
        <w:t>343</w:t>
      </w:r>
      <w:r>
        <w:rPr>
          <w:rFonts w:hint="eastAsia" w:ascii="Arial" w:hAnsi="Arial" w:eastAsia="黑体" w:cs="Arial"/>
          <w:sz w:val="24"/>
          <w:szCs w:val="24"/>
        </w:rPr>
        <w:t>-20</w:t>
      </w:r>
      <w:r>
        <w:rPr>
          <w:rFonts w:ascii="Arial" w:hAnsi="Arial" w:eastAsia="黑体" w:cs="Arial"/>
          <w:sz w:val="24"/>
          <w:szCs w:val="24"/>
        </w:rPr>
        <w:t>20</w:t>
      </w:r>
    </w:p>
    <w:p>
      <w:pPr>
        <w:adjustRightInd w:val="0"/>
        <w:snapToGrid w:val="0"/>
        <w:spacing w:line="360" w:lineRule="auto"/>
        <w:rPr>
          <w:rFonts w:hint="eastAsia" w:ascii="Arial" w:hAnsi="Arial" w:cs="Arial"/>
          <w:sz w:val="24"/>
          <w:szCs w:val="24"/>
        </w:rPr>
      </w:pPr>
      <w:r>
        <w:rPr>
          <w:rFonts w:hint="eastAsia" w:ascii="宋体" w:hAnsi="宋体"/>
          <w:b/>
          <w:bCs/>
          <w:color w:val="000000"/>
          <w:sz w:val="24"/>
        </w:rPr>
        <w:t xml:space="preserve">6.1.1 </w:t>
      </w:r>
      <w:r>
        <w:rPr>
          <w:rFonts w:hint="eastAsia" w:ascii="Arial" w:hAnsi="Arial" w:cs="Arial"/>
          <w:sz w:val="24"/>
          <w:szCs w:val="24"/>
        </w:rPr>
        <w:t>大型物流建筑的消防用电设备，其供电电源应符合下列规定：</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Fonts w:hint="eastAsia" w:ascii="Arial" w:hAnsi="Arial" w:cs="Arial"/>
          <w:sz w:val="24"/>
          <w:szCs w:val="24"/>
        </w:rPr>
      </w:pPr>
      <w:r>
        <w:rPr>
          <w:rFonts w:hint="eastAsia" w:ascii="宋体" w:hAnsi="宋体"/>
          <w:b/>
          <w:bCs/>
          <w:color w:val="000000"/>
          <w:sz w:val="24"/>
        </w:rPr>
        <w:t xml:space="preserve">1 </w:t>
      </w:r>
      <w:r>
        <w:rPr>
          <w:rFonts w:hint="eastAsia" w:ascii="Arial" w:hAnsi="Arial" w:cs="Arial"/>
          <w:sz w:val="24"/>
          <w:szCs w:val="24"/>
        </w:rPr>
        <w:t>建筑高度大于2</w:t>
      </w:r>
      <w:r>
        <w:rPr>
          <w:rFonts w:ascii="Arial" w:hAnsi="Arial" w:cs="Arial"/>
          <w:sz w:val="24"/>
          <w:szCs w:val="24"/>
        </w:rPr>
        <w:t>4</w:t>
      </w:r>
      <w:r>
        <w:rPr>
          <w:rFonts w:hint="eastAsia" w:ascii="Arial" w:hAnsi="Arial" w:cs="Arial"/>
          <w:sz w:val="24"/>
          <w:szCs w:val="24"/>
        </w:rPr>
        <w:t>m的大型物流建筑，应按不低于一级负荷供电；其他大型物流建筑，应按不低于二级负荷供电。</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Fonts w:hint="eastAsia" w:ascii="Arial" w:hAnsi="Arial" w:cs="Arial"/>
          <w:sz w:val="24"/>
          <w:szCs w:val="24"/>
        </w:rPr>
      </w:pPr>
      <w:r>
        <w:rPr>
          <w:rFonts w:hint="eastAsia" w:ascii="宋体" w:hAnsi="宋体"/>
          <w:b/>
          <w:bCs/>
          <w:color w:val="000000"/>
          <w:sz w:val="24"/>
        </w:rPr>
        <w:t xml:space="preserve">2 </w:t>
      </w:r>
      <w:r>
        <w:rPr>
          <w:rFonts w:hint="eastAsia" w:ascii="Arial" w:hAnsi="Arial" w:cs="Arial"/>
          <w:sz w:val="24"/>
          <w:szCs w:val="24"/>
        </w:rPr>
        <w:t>应符合现行国家标准《供配电系统设计规范》G</w:t>
      </w:r>
      <w:r>
        <w:rPr>
          <w:rFonts w:ascii="Arial" w:hAnsi="Arial" w:cs="Arial"/>
          <w:sz w:val="24"/>
          <w:szCs w:val="24"/>
        </w:rPr>
        <w:t>B 50052</w:t>
      </w:r>
      <w:r>
        <w:rPr>
          <w:rFonts w:hint="eastAsia" w:ascii="Arial" w:hAnsi="Arial" w:cs="Arial"/>
          <w:sz w:val="24"/>
          <w:szCs w:val="24"/>
        </w:rPr>
        <w:t>的规定。</w:t>
      </w:r>
    </w:p>
    <w:p>
      <w:pPr>
        <w:adjustRightInd w:val="0"/>
        <w:snapToGrid w:val="0"/>
        <w:spacing w:line="360" w:lineRule="auto"/>
        <w:rPr>
          <w:rFonts w:hint="eastAsia" w:ascii="Arial" w:hAnsi="Arial" w:cs="Arial"/>
          <w:sz w:val="24"/>
          <w:szCs w:val="24"/>
        </w:rPr>
      </w:pPr>
      <w:r>
        <w:rPr>
          <w:rFonts w:hint="eastAsia" w:ascii="宋体" w:hAnsi="宋体"/>
          <w:b/>
          <w:bCs/>
          <w:color w:val="000000"/>
          <w:sz w:val="24"/>
        </w:rPr>
        <w:t>6.1.3</w:t>
      </w:r>
      <w:r>
        <w:rPr>
          <w:rFonts w:hint="eastAsia" w:ascii="Arial" w:hAnsi="Arial" w:cs="Arial"/>
          <w:sz w:val="24"/>
          <w:szCs w:val="24"/>
        </w:rPr>
        <w:t xml:space="preserve"> 消防用电设备应采用专用的供电回路。备用消防电源的供电时间和容量，应满足该大型物流建筑火灾延续时间内消防用电设备的要求。</w:t>
      </w:r>
    </w:p>
    <w:p>
      <w:pPr>
        <w:adjustRightInd w:val="0"/>
        <w:snapToGrid w:val="0"/>
        <w:spacing w:line="360" w:lineRule="auto"/>
        <w:rPr>
          <w:rFonts w:hint="eastAsia" w:ascii="Arial" w:hAnsi="Arial" w:cs="Arial"/>
          <w:sz w:val="24"/>
          <w:szCs w:val="24"/>
        </w:rPr>
      </w:pPr>
      <w:r>
        <w:rPr>
          <w:rFonts w:hint="eastAsia" w:ascii="宋体" w:hAnsi="宋体"/>
          <w:b/>
          <w:bCs/>
          <w:color w:val="000000"/>
          <w:sz w:val="24"/>
        </w:rPr>
        <w:t>6.4.4</w:t>
      </w:r>
      <w:r>
        <w:rPr>
          <w:rFonts w:hint="eastAsia" w:ascii="宋体" w:hAnsi="宋体"/>
          <w:b/>
          <w:bCs/>
          <w:color w:val="000000"/>
          <w:sz w:val="24"/>
          <w:lang w:val="en-US" w:eastAsia="zh-CN"/>
        </w:rPr>
        <w:t xml:space="preserve"> </w:t>
      </w:r>
      <w:r>
        <w:rPr>
          <w:rFonts w:hint="eastAsia" w:ascii="Arial" w:hAnsi="Arial" w:cs="Arial"/>
          <w:sz w:val="24"/>
          <w:szCs w:val="24"/>
        </w:rPr>
        <w:t>大型物流建筑的非消防负荷的配电回路应设置电气火灾监控系统。电气火灾监控系统的设置应符合现行国家标准《民用建筑电气设计规范》G</w:t>
      </w:r>
      <w:r>
        <w:rPr>
          <w:rFonts w:ascii="Arial" w:hAnsi="Arial" w:cs="Arial"/>
          <w:sz w:val="24"/>
          <w:szCs w:val="24"/>
        </w:rPr>
        <w:t>B 51348</w:t>
      </w:r>
      <w:r>
        <w:rPr>
          <w:rFonts w:hint="eastAsia" w:ascii="Arial" w:hAnsi="Arial" w:cs="Arial"/>
          <w:sz w:val="24"/>
          <w:szCs w:val="24"/>
        </w:rPr>
        <w:t>中“电气火灾监控系统设计”章节的有关规定。</w:t>
      </w:r>
    </w:p>
    <w:p>
      <w:pPr>
        <w:adjustRightInd w:val="0"/>
        <w:snapToGrid w:val="0"/>
        <w:spacing w:line="360" w:lineRule="auto"/>
        <w:rPr>
          <w:rFonts w:hint="eastAsia" w:ascii="Arial" w:hAnsi="Arial" w:cs="Arial"/>
          <w:sz w:val="24"/>
          <w:szCs w:val="24"/>
        </w:rPr>
      </w:pPr>
      <w:r>
        <w:rPr>
          <w:rFonts w:hint="eastAsia" w:ascii="宋体" w:hAnsi="宋体"/>
          <w:b/>
          <w:bCs/>
          <w:color w:val="000000"/>
          <w:sz w:val="24"/>
        </w:rPr>
        <w:t xml:space="preserve">6.4.5 </w:t>
      </w:r>
      <w:r>
        <w:rPr>
          <w:rFonts w:hint="eastAsia" w:ascii="Arial" w:hAnsi="Arial" w:cs="Arial"/>
          <w:sz w:val="24"/>
          <w:szCs w:val="24"/>
        </w:rPr>
        <w:t>疏散走道内应设置火灾报警探测器和手动火灾报警按钮。</w:t>
      </w:r>
    </w:p>
    <w:p>
      <w:pPr>
        <w:spacing w:line="360" w:lineRule="auto"/>
        <w:rPr>
          <w:rFonts w:hint="eastAsia" w:ascii="Arial" w:hAnsi="Arial" w:cs="Arial"/>
          <w:color w:val="FF0000"/>
          <w:sz w:val="24"/>
          <w:szCs w:val="24"/>
        </w:rPr>
      </w:pPr>
    </w:p>
    <w:p>
      <w:pPr>
        <w:adjustRightInd w:val="0"/>
        <w:snapToGrid w:val="0"/>
        <w:spacing w:line="360" w:lineRule="auto"/>
        <w:rPr>
          <w:rFonts w:ascii="Arial" w:hAnsi="Arial" w:eastAsia="黑体" w:cs="Arial"/>
          <w:sz w:val="24"/>
          <w:szCs w:val="24"/>
        </w:rPr>
      </w:pPr>
      <w:r>
        <w:rPr>
          <w:rFonts w:hint="eastAsia" w:ascii="Arial" w:hAnsi="Arial" w:eastAsia="黑体" w:cs="Arial"/>
          <w:sz w:val="24"/>
          <w:szCs w:val="24"/>
        </w:rPr>
        <w:t>《城市综合体消防技术标准》DG/TJ 08-2408-2022</w:t>
      </w:r>
    </w:p>
    <w:p>
      <w:pPr>
        <w:adjustRightInd w:val="0"/>
        <w:snapToGrid w:val="0"/>
        <w:spacing w:line="360" w:lineRule="auto"/>
        <w:rPr>
          <w:rFonts w:hint="eastAsia" w:ascii="Arial" w:hAnsi="Arial" w:cs="Arial"/>
          <w:sz w:val="24"/>
          <w:szCs w:val="24"/>
        </w:rPr>
      </w:pPr>
      <w:r>
        <w:rPr>
          <w:rFonts w:hint="eastAsia" w:ascii="宋体" w:hAnsi="宋体"/>
          <w:b/>
          <w:bCs/>
          <w:color w:val="000000"/>
          <w:sz w:val="24"/>
        </w:rPr>
        <w:t xml:space="preserve">8.3.1 </w:t>
      </w:r>
      <w:r>
        <w:rPr>
          <w:rFonts w:hint="eastAsia" w:ascii="宋体" w:cs="宋体"/>
          <w:kern w:val="0"/>
          <w:sz w:val="24"/>
          <w:szCs w:val="24"/>
        </w:rPr>
        <w:t>城市综合体的消防设备供电电源负荷等级不应低于一级负荷供电。</w:t>
      </w:r>
    </w:p>
    <w:p>
      <w:pPr>
        <w:adjustRightInd w:val="0"/>
        <w:snapToGrid w:val="0"/>
        <w:spacing w:line="360" w:lineRule="auto"/>
        <w:rPr>
          <w:rFonts w:ascii="Arial" w:hAnsi="Arial" w:cs="Arial"/>
          <w:sz w:val="24"/>
          <w:szCs w:val="24"/>
        </w:rPr>
      </w:pPr>
      <w:r>
        <w:rPr>
          <w:rFonts w:hint="eastAsia" w:ascii="宋体" w:hAnsi="宋体"/>
          <w:b/>
          <w:bCs/>
          <w:color w:val="000000"/>
          <w:sz w:val="24"/>
        </w:rPr>
        <w:t xml:space="preserve">8.3.2 </w:t>
      </w:r>
      <w:r>
        <w:rPr>
          <w:rFonts w:hint="eastAsia" w:ascii="Arial" w:hAnsi="Arial" w:cs="Arial"/>
          <w:sz w:val="24"/>
          <w:szCs w:val="24"/>
        </w:rPr>
        <w:t>城市综合体中建筑高度</w:t>
      </w:r>
      <w:r>
        <w:rPr>
          <w:rFonts w:ascii="Arial" w:hAnsi="Arial" w:cs="Arial"/>
          <w:sz w:val="24"/>
          <w:szCs w:val="24"/>
        </w:rPr>
        <w:t xml:space="preserve">150m </w:t>
      </w:r>
      <w:r>
        <w:rPr>
          <w:rFonts w:hint="eastAsia" w:ascii="Arial" w:hAnsi="Arial" w:cs="Arial"/>
          <w:sz w:val="24"/>
          <w:szCs w:val="24"/>
        </w:rPr>
        <w:t>及以上的一类高层建筑的消防系统、安防系统、应急照明和航空障碍灯用电负荷应由</w:t>
      </w:r>
      <w:r>
        <w:rPr>
          <w:rFonts w:ascii="Arial" w:hAnsi="Arial" w:cs="Arial"/>
          <w:sz w:val="24"/>
          <w:szCs w:val="24"/>
        </w:rPr>
        <w:t xml:space="preserve">3 </w:t>
      </w:r>
      <w:r>
        <w:rPr>
          <w:rFonts w:hint="eastAsia" w:ascii="Arial" w:hAnsi="Arial" w:cs="Arial"/>
          <w:sz w:val="24"/>
          <w:szCs w:val="24"/>
        </w:rPr>
        <w:t>个电源供电，并应符合下列规定：</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Fonts w:ascii="Arial" w:hAnsi="Arial" w:cs="Arial"/>
          <w:sz w:val="24"/>
          <w:szCs w:val="24"/>
        </w:rPr>
      </w:pPr>
      <w:r>
        <w:rPr>
          <w:rFonts w:hint="eastAsia" w:ascii="宋体" w:hAnsi="宋体"/>
          <w:b/>
          <w:bCs/>
          <w:color w:val="000000"/>
          <w:sz w:val="24"/>
        </w:rPr>
        <w:t>1</w:t>
      </w:r>
      <w:r>
        <w:rPr>
          <w:rFonts w:hint="eastAsia" w:ascii="宋体" w:hAnsi="宋体"/>
          <w:b/>
          <w:bCs/>
          <w:color w:val="000000"/>
          <w:sz w:val="24"/>
          <w:lang w:val="en-US" w:eastAsia="zh-CN"/>
        </w:rPr>
        <w:t xml:space="preserve"> </w:t>
      </w:r>
      <w:r>
        <w:rPr>
          <w:rFonts w:hint="eastAsia" w:ascii="Arial" w:hAnsi="Arial" w:cs="Arial"/>
          <w:sz w:val="24"/>
          <w:szCs w:val="24"/>
        </w:rPr>
        <w:t>应由满足一级负荷要求的双重电源和一个应急电源组成。</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Fonts w:hint="eastAsia" w:ascii="Arial" w:hAnsi="Arial" w:cs="Arial"/>
          <w:sz w:val="24"/>
          <w:szCs w:val="24"/>
        </w:rPr>
      </w:pPr>
      <w:r>
        <w:rPr>
          <w:rFonts w:hint="eastAsia" w:ascii="宋体" w:hAnsi="宋体"/>
          <w:b/>
          <w:bCs/>
          <w:color w:val="000000"/>
          <w:sz w:val="24"/>
        </w:rPr>
        <w:t>2</w:t>
      </w:r>
      <w:r>
        <w:rPr>
          <w:rFonts w:hint="eastAsia" w:ascii="宋体" w:hAnsi="宋体"/>
          <w:b/>
          <w:bCs/>
          <w:color w:val="000000"/>
          <w:sz w:val="24"/>
          <w:lang w:val="en-US" w:eastAsia="zh-CN"/>
        </w:rPr>
        <w:t xml:space="preserve"> </w:t>
      </w:r>
      <w:r>
        <w:rPr>
          <w:rFonts w:hint="eastAsia" w:ascii="Arial" w:hAnsi="Arial" w:cs="Arial"/>
          <w:sz w:val="24"/>
          <w:szCs w:val="24"/>
        </w:rPr>
        <w:t>应急电源的容量应同时满足最大用电负荷的供电要求。</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Fonts w:ascii="Arial" w:hAnsi="Arial" w:cs="Arial"/>
          <w:sz w:val="24"/>
          <w:szCs w:val="24"/>
        </w:rPr>
      </w:pPr>
      <w:r>
        <w:rPr>
          <w:rFonts w:hint="eastAsia" w:ascii="宋体" w:hAnsi="宋体"/>
          <w:b/>
          <w:bCs/>
          <w:color w:val="000000"/>
          <w:sz w:val="24"/>
        </w:rPr>
        <w:t>3</w:t>
      </w:r>
      <w:r>
        <w:rPr>
          <w:rFonts w:hint="eastAsia" w:ascii="宋体" w:hAnsi="宋体"/>
          <w:b/>
          <w:bCs/>
          <w:color w:val="000000"/>
          <w:sz w:val="24"/>
          <w:lang w:val="en-US" w:eastAsia="zh-CN"/>
        </w:rPr>
        <w:t xml:space="preserve"> </w:t>
      </w:r>
      <w:r>
        <w:rPr>
          <w:rFonts w:hint="eastAsia" w:ascii="Arial" w:hAnsi="Arial" w:cs="Arial"/>
          <w:sz w:val="24"/>
          <w:szCs w:val="24"/>
        </w:rPr>
        <w:t>应急电源的切换时间，应满足用电负荷允许最短中断供电时间的要求。</w:t>
      </w: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Fonts w:hint="eastAsia" w:ascii="Arial" w:hAnsi="Arial" w:cs="Arial"/>
          <w:sz w:val="24"/>
          <w:szCs w:val="24"/>
        </w:rPr>
      </w:pPr>
      <w:r>
        <w:rPr>
          <w:rFonts w:hint="eastAsia" w:ascii="宋体" w:hAnsi="宋体"/>
          <w:b/>
          <w:bCs/>
          <w:color w:val="000000"/>
          <w:sz w:val="24"/>
        </w:rPr>
        <w:t>4</w:t>
      </w:r>
      <w:r>
        <w:rPr>
          <w:rFonts w:hint="eastAsia" w:ascii="宋体" w:hAnsi="宋体"/>
          <w:b/>
          <w:bCs/>
          <w:color w:val="000000"/>
          <w:sz w:val="24"/>
          <w:lang w:val="en-US" w:eastAsia="zh-CN"/>
        </w:rPr>
        <w:t xml:space="preserve"> </w:t>
      </w:r>
      <w:r>
        <w:rPr>
          <w:rFonts w:hint="eastAsia" w:ascii="Arial" w:hAnsi="Arial" w:cs="Arial"/>
          <w:sz w:val="24"/>
          <w:szCs w:val="24"/>
        </w:rPr>
        <w:t>应急电源的供电时间，应满足用电负荷最长持续运行时间的要求。</w:t>
      </w:r>
    </w:p>
    <w:p>
      <w:pPr>
        <w:adjustRightInd w:val="0"/>
        <w:snapToGrid w:val="0"/>
        <w:spacing w:line="360" w:lineRule="auto"/>
        <w:rPr>
          <w:rFonts w:ascii="Arial" w:hAnsi="Arial" w:cs="Arial"/>
          <w:sz w:val="24"/>
          <w:szCs w:val="24"/>
        </w:rPr>
      </w:pPr>
      <w:r>
        <w:rPr>
          <w:rFonts w:hint="eastAsia" w:ascii="宋体" w:hAnsi="宋体"/>
          <w:b/>
          <w:bCs/>
          <w:color w:val="000000"/>
          <w:sz w:val="24"/>
        </w:rPr>
        <w:t xml:space="preserve">8.3.3 </w:t>
      </w:r>
      <w:r>
        <w:rPr>
          <w:rFonts w:hint="eastAsia" w:ascii="Arial" w:hAnsi="Arial" w:cs="Arial"/>
          <w:sz w:val="24"/>
          <w:szCs w:val="24"/>
        </w:rPr>
        <w:t>建筑面积大于</w:t>
      </w:r>
      <w:r>
        <w:rPr>
          <w:rFonts w:ascii="Arial" w:hAnsi="Arial" w:cs="Arial"/>
          <w:sz w:val="24"/>
          <w:szCs w:val="24"/>
        </w:rPr>
        <w:t xml:space="preserve">250000 </w:t>
      </w:r>
      <w:r>
        <w:rPr>
          <w:rFonts w:hint="eastAsia" w:ascii="Arial" w:hAnsi="Arial" w:cs="Arial"/>
          <w:sz w:val="24"/>
          <w:szCs w:val="24"/>
        </w:rPr>
        <w:t>㎡的高层城市综合体、建筑面积大于</w:t>
      </w:r>
      <w:r>
        <w:rPr>
          <w:rFonts w:ascii="Arial" w:hAnsi="Arial" w:cs="Arial"/>
          <w:sz w:val="24"/>
          <w:szCs w:val="24"/>
        </w:rPr>
        <w:t xml:space="preserve">40000 </w:t>
      </w:r>
      <w:r>
        <w:rPr>
          <w:rFonts w:hint="eastAsia" w:ascii="Arial" w:hAnsi="Arial" w:cs="Arial"/>
          <w:sz w:val="24"/>
          <w:szCs w:val="24"/>
        </w:rPr>
        <w:t>㎡的地下或半地下商店应设自备应急柴油发电机组或第三重市电作为消防用电设备的应急电源。</w:t>
      </w:r>
    </w:p>
    <w:p>
      <w:pPr>
        <w:adjustRightInd w:val="0"/>
        <w:snapToGrid w:val="0"/>
        <w:spacing w:line="360" w:lineRule="auto"/>
        <w:rPr>
          <w:rFonts w:ascii="Arial" w:hAnsi="Arial" w:cs="Arial"/>
          <w:sz w:val="24"/>
          <w:szCs w:val="24"/>
        </w:rPr>
      </w:pPr>
      <w:r>
        <w:rPr>
          <w:rFonts w:hint="eastAsia" w:ascii="宋体" w:hAnsi="宋体"/>
          <w:b/>
          <w:bCs/>
          <w:color w:val="000000"/>
          <w:sz w:val="24"/>
        </w:rPr>
        <w:t xml:space="preserve">8.3.5 </w:t>
      </w:r>
      <w:r>
        <w:rPr>
          <w:rFonts w:hint="eastAsia" w:ascii="Arial" w:hAnsi="Arial" w:cs="Arial"/>
          <w:sz w:val="24"/>
          <w:szCs w:val="24"/>
        </w:rPr>
        <w:t>除应符合现行国家标准《消防应急照明和疏散指示系统技术规范》</w:t>
      </w:r>
      <w:r>
        <w:rPr>
          <w:rFonts w:ascii="Arial" w:hAnsi="Arial" w:cs="Arial"/>
          <w:sz w:val="24"/>
          <w:szCs w:val="24"/>
        </w:rPr>
        <w:t>GB51309</w:t>
      </w:r>
      <w:r>
        <w:rPr>
          <w:rFonts w:hint="eastAsia" w:ascii="Arial" w:hAnsi="Arial" w:cs="Arial"/>
          <w:sz w:val="24"/>
          <w:szCs w:val="24"/>
        </w:rPr>
        <w:t>中的相关规定外，城市综合体应采用集中控制型应急照明及疏散指示系统。消防应急照明和灯光疏散指示标志的备用电源连续供电时间不应小于</w:t>
      </w:r>
      <w:r>
        <w:rPr>
          <w:rFonts w:ascii="Arial" w:hAnsi="Arial" w:cs="Arial"/>
          <w:sz w:val="24"/>
          <w:szCs w:val="24"/>
        </w:rPr>
        <w:t>1.5h</w:t>
      </w:r>
      <w:r>
        <w:rPr>
          <w:rFonts w:hint="eastAsia" w:ascii="Arial" w:hAnsi="Arial" w:cs="Arial"/>
          <w:sz w:val="24"/>
          <w:szCs w:val="24"/>
        </w:rPr>
        <w:t>。</w:t>
      </w:r>
    </w:p>
    <w:p>
      <w:pPr>
        <w:adjustRightInd w:val="0"/>
        <w:snapToGrid w:val="0"/>
        <w:spacing w:line="360" w:lineRule="auto"/>
        <w:rPr>
          <w:rFonts w:ascii="Arial" w:hAnsi="Arial" w:cs="Arial"/>
          <w:sz w:val="24"/>
          <w:szCs w:val="24"/>
        </w:rPr>
      </w:pPr>
      <w:r>
        <w:rPr>
          <w:rFonts w:hint="eastAsia" w:ascii="宋体" w:hAnsi="宋体"/>
          <w:b/>
          <w:bCs/>
          <w:color w:val="000000"/>
          <w:sz w:val="24"/>
        </w:rPr>
        <w:t xml:space="preserve">8.3.9 </w:t>
      </w:r>
      <w:r>
        <w:rPr>
          <w:rFonts w:hint="eastAsia" w:ascii="Arial" w:hAnsi="Arial" w:cs="Arial"/>
          <w:sz w:val="24"/>
          <w:szCs w:val="24"/>
        </w:rPr>
        <w:t>城市综合体应按照现行上海市工程建设规范《消防设施物联网系统技术标准》</w:t>
      </w:r>
      <w:r>
        <w:rPr>
          <w:rFonts w:ascii="Arial" w:hAnsi="Arial" w:cs="Arial"/>
          <w:sz w:val="24"/>
          <w:szCs w:val="24"/>
        </w:rPr>
        <w:t xml:space="preserve">DG/TJ 08-2251 </w:t>
      </w:r>
      <w:r>
        <w:rPr>
          <w:rFonts w:hint="eastAsia" w:ascii="Arial" w:hAnsi="Arial" w:cs="Arial"/>
          <w:sz w:val="24"/>
          <w:szCs w:val="24"/>
        </w:rPr>
        <w:t>的要求设置消防物联网系统，并将监控信息实时传输至上海市消防大数据应用平台。</w:t>
      </w:r>
    </w:p>
    <w:p>
      <w:pPr>
        <w:adjustRightInd w:val="0"/>
        <w:snapToGrid w:val="0"/>
        <w:spacing w:line="360" w:lineRule="auto"/>
        <w:rPr>
          <w:rFonts w:ascii="Arial" w:hAnsi="Arial" w:cs="Arial"/>
          <w:sz w:val="24"/>
          <w:szCs w:val="24"/>
        </w:rPr>
      </w:pPr>
      <w:r>
        <w:rPr>
          <w:rFonts w:hint="eastAsia" w:ascii="宋体" w:hAnsi="宋体"/>
          <w:b/>
          <w:bCs/>
          <w:color w:val="000000"/>
          <w:sz w:val="24"/>
        </w:rPr>
        <w:t xml:space="preserve">8.3.11 </w:t>
      </w:r>
      <w:r>
        <w:rPr>
          <w:rFonts w:hint="eastAsia" w:ascii="Arial" w:hAnsi="Arial" w:cs="Arial"/>
          <w:sz w:val="24"/>
          <w:szCs w:val="24"/>
        </w:rPr>
        <w:t>敷设在地下空间、垂直井道内带有消防负荷的</w:t>
      </w:r>
      <w:r>
        <w:rPr>
          <w:rFonts w:ascii="Arial" w:hAnsi="Arial" w:cs="Arial"/>
          <w:sz w:val="24"/>
          <w:szCs w:val="24"/>
        </w:rPr>
        <w:t xml:space="preserve">10KV-35KV </w:t>
      </w:r>
      <w:r>
        <w:rPr>
          <w:rFonts w:hint="eastAsia" w:ascii="Arial" w:hAnsi="Arial" w:cs="Arial"/>
          <w:sz w:val="24"/>
          <w:szCs w:val="24"/>
        </w:rPr>
        <w:t>供电电源应采用阻燃耐火电缆，并满足持续供电时间</w:t>
      </w:r>
      <w:r>
        <w:rPr>
          <w:rFonts w:ascii="Arial" w:hAnsi="Arial" w:cs="Arial"/>
          <w:sz w:val="24"/>
          <w:szCs w:val="24"/>
        </w:rPr>
        <w:t>3</w:t>
      </w:r>
      <w:r>
        <w:rPr>
          <w:rFonts w:hint="eastAsia" w:ascii="Arial" w:hAnsi="Arial" w:cs="Arial"/>
          <w:sz w:val="24"/>
          <w:szCs w:val="24"/>
        </w:rPr>
        <w:t>h的要求。</w:t>
      </w:r>
    </w:p>
    <w:p>
      <w:pPr>
        <w:spacing w:line="360" w:lineRule="auto"/>
        <w:rPr>
          <w:rFonts w:ascii="Arial" w:hAnsi="Arial" w:eastAsia="黑体" w:cs="Arial"/>
          <w:sz w:val="24"/>
          <w:szCs w:val="24"/>
        </w:rPr>
      </w:pPr>
    </w:p>
    <w:p>
      <w:pPr>
        <w:adjustRightInd w:val="0"/>
        <w:snapToGrid w:val="0"/>
        <w:spacing w:line="360" w:lineRule="auto"/>
        <w:rPr>
          <w:rFonts w:ascii="Arial" w:hAnsi="Arial" w:eastAsia="黑体" w:cs="Arial"/>
          <w:sz w:val="24"/>
          <w:szCs w:val="24"/>
        </w:rPr>
      </w:pPr>
      <w:r>
        <w:rPr>
          <w:rFonts w:hint="eastAsia" w:ascii="Arial" w:hAnsi="Arial" w:eastAsia="黑体" w:cs="Arial"/>
          <w:sz w:val="24"/>
          <w:szCs w:val="24"/>
        </w:rPr>
        <w:t>《文物和优秀历史建筑消防技术标准》DG/TJ 08-2410-2022</w:t>
      </w:r>
    </w:p>
    <w:p>
      <w:pPr>
        <w:adjustRightInd w:val="0"/>
        <w:snapToGrid w:val="0"/>
        <w:spacing w:line="360" w:lineRule="auto"/>
        <w:rPr>
          <w:rFonts w:ascii="Arial" w:hAnsi="Arial" w:cs="Arial"/>
          <w:sz w:val="24"/>
          <w:szCs w:val="24"/>
        </w:rPr>
      </w:pPr>
      <w:r>
        <w:rPr>
          <w:rFonts w:hint="eastAsia" w:ascii="宋体" w:hAnsi="宋体"/>
          <w:b/>
          <w:bCs/>
          <w:color w:val="000000"/>
          <w:sz w:val="24"/>
        </w:rPr>
        <w:t>6.3.3</w:t>
      </w:r>
      <w:r>
        <w:rPr>
          <w:rFonts w:ascii="Arial" w:hAnsi="Arial" w:cs="Arial"/>
          <w:sz w:val="24"/>
          <w:szCs w:val="24"/>
        </w:rPr>
        <w:t xml:space="preserve"> </w:t>
      </w:r>
      <w:r>
        <w:rPr>
          <w:rFonts w:hint="eastAsia" w:ascii="Arial" w:hAnsi="Arial" w:cs="Arial"/>
          <w:sz w:val="24"/>
          <w:szCs w:val="24"/>
        </w:rPr>
        <w:t>保护建筑内开关、插座和照明灯具，不应靠近可燃或难燃物体敷设和安装。当不可避免时，应采取相应的隔热、散热等防火保护措施，与窗帘、帷幕、幕布、软包等装修材料的距离不应小于0</w:t>
      </w:r>
      <w:r>
        <w:rPr>
          <w:rFonts w:ascii="Arial" w:hAnsi="Arial" w:cs="Arial"/>
          <w:sz w:val="24"/>
          <w:szCs w:val="24"/>
        </w:rPr>
        <w:t>.5</w:t>
      </w:r>
      <w:r>
        <w:rPr>
          <w:rFonts w:hint="eastAsia" w:ascii="Arial" w:hAnsi="Arial" w:cs="Arial"/>
          <w:sz w:val="24"/>
          <w:szCs w:val="24"/>
        </w:rPr>
        <w:t>m。</w:t>
      </w:r>
    </w:p>
    <w:p>
      <w:pPr>
        <w:adjustRightInd w:val="0"/>
        <w:snapToGrid w:val="0"/>
        <w:spacing w:line="360" w:lineRule="auto"/>
        <w:rPr>
          <w:rFonts w:ascii="Arial" w:hAnsi="Arial" w:cs="Arial"/>
          <w:sz w:val="24"/>
          <w:szCs w:val="24"/>
        </w:rPr>
      </w:pPr>
      <w:r>
        <w:rPr>
          <w:rFonts w:hint="eastAsia" w:ascii="宋体" w:hAnsi="宋体"/>
          <w:b/>
          <w:bCs/>
          <w:color w:val="000000"/>
          <w:sz w:val="24"/>
        </w:rPr>
        <w:t>6.3.8</w:t>
      </w:r>
      <w:r>
        <w:rPr>
          <w:rFonts w:ascii="Arial" w:hAnsi="Arial" w:cs="Arial"/>
          <w:sz w:val="24"/>
          <w:szCs w:val="24"/>
        </w:rPr>
        <w:t xml:space="preserve"> </w:t>
      </w:r>
      <w:r>
        <w:rPr>
          <w:rFonts w:hint="eastAsia" w:ascii="Arial" w:hAnsi="Arial" w:cs="Arial"/>
          <w:sz w:val="24"/>
          <w:szCs w:val="24"/>
        </w:rPr>
        <w:t>保护建筑应设置电气火灾监控系统和消防设备电源监控系统，无消防控制室且电气火灾监控探测器或消防设备电源监控探测器设置数量不超过8只时，可采用独立式电气火灾监控探测器或消防设备电源监控探测器。</w:t>
      </w:r>
    </w:p>
    <w:p>
      <w:pPr>
        <w:adjustRightInd w:val="0"/>
        <w:snapToGrid w:val="0"/>
        <w:spacing w:line="360" w:lineRule="auto"/>
        <w:rPr>
          <w:rFonts w:hint="eastAsia" w:ascii="Arial" w:hAnsi="Arial" w:cs="Arial"/>
          <w:sz w:val="24"/>
          <w:szCs w:val="24"/>
        </w:rPr>
      </w:pPr>
      <w:r>
        <w:rPr>
          <w:rFonts w:hint="eastAsia" w:ascii="宋体" w:hAnsi="宋体"/>
          <w:b/>
          <w:bCs/>
          <w:color w:val="000000"/>
          <w:sz w:val="24"/>
        </w:rPr>
        <w:t>6.3.16</w:t>
      </w:r>
      <w:r>
        <w:rPr>
          <w:rFonts w:hint="eastAsia" w:ascii="宋体" w:hAnsi="宋体"/>
          <w:b/>
          <w:bCs/>
          <w:color w:val="000000"/>
          <w:sz w:val="24"/>
          <w:lang w:val="en-US" w:eastAsia="zh-CN"/>
        </w:rPr>
        <w:t xml:space="preserve"> </w:t>
      </w:r>
      <w:r>
        <w:rPr>
          <w:rFonts w:hint="eastAsia" w:ascii="Arial" w:hAnsi="Arial" w:cs="Arial"/>
          <w:sz w:val="24"/>
          <w:szCs w:val="24"/>
        </w:rPr>
        <w:t>消防物联网系统的主机应设置在保护建筑的消防控制室内；当保护建筑未设置消防控制室时，应设置在有人值守的场所内。</w:t>
      </w:r>
    </w:p>
    <w:p>
      <w:pPr>
        <w:pStyle w:val="2"/>
        <w:adjustRightInd w:val="0"/>
        <w:snapToGrid w:val="0"/>
        <w:spacing w:before="240" w:after="240" w:line="480" w:lineRule="auto"/>
        <w:rPr>
          <w:rFonts w:cs="Arial"/>
          <w:sz w:val="32"/>
          <w:szCs w:val="32"/>
        </w:rPr>
      </w:pPr>
      <w:r>
        <w:br w:type="page"/>
      </w:r>
      <w:bookmarkStart w:id="46" w:name="_Toc532460060"/>
      <w:r>
        <w:rPr>
          <w:rFonts w:cs="Arial"/>
          <w:sz w:val="32"/>
          <w:szCs w:val="32"/>
        </w:rPr>
        <w:t xml:space="preserve">3.3 </w:t>
      </w:r>
      <w:r>
        <w:rPr>
          <w:rFonts w:hAnsi="黑体" w:cs="Arial"/>
          <w:sz w:val="32"/>
          <w:szCs w:val="32"/>
        </w:rPr>
        <w:t>建筑节能</w:t>
      </w:r>
      <w:bookmarkEnd w:id="46"/>
    </w:p>
    <w:p>
      <w:pPr>
        <w:adjustRightInd w:val="0"/>
        <w:snapToGrid w:val="0"/>
        <w:spacing w:line="360" w:lineRule="auto"/>
        <w:rPr>
          <w:rFonts w:hint="eastAsia" w:ascii="Arial" w:hAnsi="Arial" w:eastAsia="黑体" w:cs="Arial"/>
          <w:sz w:val="24"/>
          <w:szCs w:val="24"/>
        </w:rPr>
      </w:pPr>
      <w:r>
        <w:rPr>
          <w:rFonts w:hint="eastAsia" w:ascii="Arial" w:hAnsi="Arial" w:eastAsia="黑体" w:cs="Arial"/>
          <w:sz w:val="24"/>
          <w:szCs w:val="24"/>
        </w:rPr>
        <w:t>《住宅设计标准》DGJ08-20-201</w:t>
      </w:r>
      <w:r>
        <w:rPr>
          <w:rFonts w:ascii="Arial" w:hAnsi="Arial" w:eastAsia="黑体" w:cs="Arial"/>
          <w:sz w:val="24"/>
          <w:szCs w:val="24"/>
        </w:rPr>
        <w:t>9</w:t>
      </w:r>
    </w:p>
    <w:p>
      <w:pPr>
        <w:adjustRightInd w:val="0"/>
        <w:snapToGrid w:val="0"/>
        <w:spacing w:line="360" w:lineRule="auto"/>
        <w:rPr>
          <w:rFonts w:hint="eastAsia" w:ascii="Arial" w:hAnsi="Arial" w:cs="Arial"/>
          <w:sz w:val="24"/>
          <w:szCs w:val="24"/>
        </w:rPr>
      </w:pPr>
      <w:r>
        <w:rPr>
          <w:rFonts w:hint="eastAsia" w:ascii="宋体" w:hAnsi="宋体"/>
          <w:b/>
          <w:bCs/>
          <w:color w:val="000000"/>
          <w:sz w:val="24"/>
        </w:rPr>
        <w:t>12.5.1</w:t>
      </w:r>
      <w:r>
        <w:rPr>
          <w:rFonts w:hint="eastAsia" w:ascii="Arial" w:hAnsi="Arial" w:cs="Arial"/>
          <w:sz w:val="24"/>
          <w:szCs w:val="24"/>
        </w:rPr>
        <w:t xml:space="preserve"> 住宅建筑公共部位照明应采用长寿命节能型灯具。</w:t>
      </w:r>
    </w:p>
    <w:p>
      <w:pPr>
        <w:adjustRightInd w:val="0"/>
        <w:snapToGrid w:val="0"/>
        <w:spacing w:line="360" w:lineRule="auto"/>
        <w:rPr>
          <w:rFonts w:hint="eastAsia" w:ascii="Arial" w:hAnsi="Arial" w:cs="Arial"/>
          <w:sz w:val="24"/>
          <w:szCs w:val="24"/>
        </w:rPr>
      </w:pPr>
    </w:p>
    <w:p>
      <w:pPr>
        <w:adjustRightInd w:val="0"/>
        <w:snapToGrid w:val="0"/>
        <w:spacing w:line="360" w:lineRule="auto"/>
        <w:rPr>
          <w:rFonts w:hint="eastAsia" w:ascii="Arial" w:hAnsi="Arial" w:eastAsia="黑体" w:cs="Arial"/>
          <w:sz w:val="24"/>
          <w:szCs w:val="24"/>
        </w:rPr>
      </w:pPr>
      <w:r>
        <w:rPr>
          <w:rFonts w:hint="eastAsia" w:ascii="Arial" w:hAnsi="Arial" w:eastAsia="黑体" w:cs="Arial"/>
          <w:sz w:val="24"/>
          <w:szCs w:val="24"/>
        </w:rPr>
        <w:t>《公共建筑节能设计标准》DGJ08-107-2015</w:t>
      </w:r>
    </w:p>
    <w:p>
      <w:pPr>
        <w:adjustRightInd w:val="0"/>
        <w:snapToGrid w:val="0"/>
        <w:spacing w:line="360" w:lineRule="auto"/>
        <w:rPr>
          <w:rFonts w:ascii="Arial" w:hAnsi="Arial" w:cs="Arial"/>
          <w:sz w:val="24"/>
          <w:szCs w:val="24"/>
        </w:rPr>
      </w:pPr>
      <w:r>
        <w:rPr>
          <w:rFonts w:hint="eastAsia" w:ascii="宋体" w:hAnsi="宋体"/>
          <w:b/>
          <w:bCs/>
          <w:color w:val="000000"/>
          <w:sz w:val="24"/>
        </w:rPr>
        <w:t>6.2.1</w:t>
      </w:r>
      <w:r>
        <w:rPr>
          <w:rFonts w:hint="eastAsia" w:ascii="Arial" w:hAnsi="Arial" w:cs="Arial"/>
          <w:sz w:val="24"/>
          <w:szCs w:val="24"/>
        </w:rPr>
        <w:t xml:space="preserve"> 应选择高效、节能、长寿光源。当需要时，应配用电子整流器或节能型电感镇流器。</w:t>
      </w:r>
    </w:p>
    <w:p>
      <w:pPr>
        <w:adjustRightInd w:val="0"/>
        <w:snapToGrid w:val="0"/>
        <w:spacing w:line="360" w:lineRule="auto"/>
        <w:rPr>
          <w:rFonts w:ascii="Arial" w:hAnsi="Arial" w:cs="Arial"/>
          <w:sz w:val="24"/>
          <w:szCs w:val="24"/>
        </w:rPr>
      </w:pPr>
    </w:p>
    <w:p>
      <w:pPr>
        <w:adjustRightInd w:val="0"/>
        <w:snapToGrid w:val="0"/>
        <w:spacing w:line="360" w:lineRule="auto"/>
        <w:rPr>
          <w:rFonts w:hint="eastAsia" w:ascii="Arial" w:hAnsi="Arial" w:eastAsia="黑体" w:cs="Arial"/>
          <w:sz w:val="24"/>
          <w:szCs w:val="24"/>
        </w:rPr>
      </w:pPr>
      <w:r>
        <w:rPr>
          <w:rFonts w:hint="eastAsia" w:ascii="Arial" w:hAnsi="Arial" w:eastAsia="黑体" w:cs="Arial"/>
          <w:sz w:val="24"/>
          <w:szCs w:val="24"/>
        </w:rPr>
        <w:t>《公共建筑用能监测系统工程技术标准》</w:t>
      </w:r>
      <w:r>
        <w:rPr>
          <w:rFonts w:ascii="Arial" w:hAnsi="Arial" w:eastAsia="黑体" w:cs="Arial"/>
          <w:sz w:val="24"/>
          <w:szCs w:val="24"/>
        </w:rPr>
        <w:t>DGJ08-2068-2017</w:t>
      </w:r>
    </w:p>
    <w:p>
      <w:pPr>
        <w:adjustRightInd w:val="0"/>
        <w:snapToGrid w:val="0"/>
        <w:spacing w:line="360" w:lineRule="auto"/>
        <w:rPr>
          <w:rFonts w:ascii="Arial" w:hAnsi="Arial" w:cs="Arial"/>
          <w:sz w:val="24"/>
          <w:szCs w:val="24"/>
        </w:rPr>
      </w:pPr>
      <w:r>
        <w:rPr>
          <w:rFonts w:hint="eastAsia" w:ascii="宋体" w:hAnsi="宋体"/>
          <w:b/>
          <w:bCs/>
          <w:color w:val="000000"/>
          <w:sz w:val="24"/>
        </w:rPr>
        <w:t>4.2.2</w:t>
      </w:r>
      <w:r>
        <w:rPr>
          <w:rFonts w:hint="eastAsia" w:ascii="宋体" w:hAnsi="宋体"/>
          <w:b/>
          <w:bCs/>
          <w:color w:val="000000"/>
          <w:sz w:val="24"/>
          <w:lang w:val="en-US" w:eastAsia="zh-CN"/>
        </w:rPr>
        <w:t xml:space="preserve"> </w:t>
      </w:r>
      <w:r>
        <w:rPr>
          <w:rFonts w:hint="eastAsia" w:ascii="Arial" w:hAnsi="Arial" w:cs="Arial"/>
          <w:sz w:val="24"/>
          <w:szCs w:val="24"/>
        </w:rPr>
        <w:t>公共建筑用能监测系统中各分类能耗的分项能耗设置应符合下列规定：</w:t>
      </w:r>
    </w:p>
    <w:p>
      <w:pPr>
        <w:adjustRightInd w:val="0"/>
        <w:snapToGrid w:val="0"/>
        <w:spacing w:line="360" w:lineRule="auto"/>
        <w:ind w:firstLine="481" w:firstLineChars="200"/>
        <w:rPr>
          <w:rFonts w:ascii="Arial" w:hAnsi="Arial" w:cs="Arial"/>
          <w:sz w:val="24"/>
          <w:szCs w:val="24"/>
        </w:rPr>
      </w:pPr>
      <w:r>
        <w:rPr>
          <w:rFonts w:hint="eastAsia" w:ascii="宋体" w:hAnsi="宋体"/>
          <w:b/>
          <w:bCs/>
          <w:color w:val="000000"/>
          <w:sz w:val="24"/>
        </w:rPr>
        <w:t>1</w:t>
      </w:r>
      <w:r>
        <w:rPr>
          <w:rFonts w:hint="eastAsia" w:ascii="Arial" w:hAnsi="Arial" w:cs="Arial"/>
          <w:sz w:val="24"/>
          <w:szCs w:val="24"/>
        </w:rPr>
        <w:t xml:space="preserve"> 市政给水可按用途不同区分为 9 个分项，其设置宜符合表 4.2.2-1 的规定。</w:t>
      </w:r>
    </w:p>
    <w:p>
      <w:pPr>
        <w:spacing w:line="360" w:lineRule="auto"/>
        <w:ind w:firstLine="420" w:firstLineChars="200"/>
        <w:jc w:val="center"/>
        <w:rPr>
          <w:rFonts w:ascii="Arial" w:hAnsi="Arial" w:cs="Arial"/>
          <w:szCs w:val="21"/>
        </w:rPr>
      </w:pPr>
      <w:r>
        <w:rPr>
          <w:rFonts w:hint="eastAsia" w:ascii="Arial" w:hAnsi="Arial" w:cs="Arial"/>
          <w:szCs w:val="21"/>
        </w:rPr>
        <w:t>表4.2.2</w:t>
      </w:r>
      <w:r>
        <w:rPr>
          <w:rFonts w:ascii="Arial" w:hAnsi="Arial" w:cs="Arial"/>
          <w:szCs w:val="21"/>
        </w:rPr>
        <w:t>-</w:t>
      </w:r>
      <w:r>
        <w:rPr>
          <w:rFonts w:hint="eastAsia" w:ascii="Arial" w:hAnsi="Arial" w:cs="Arial"/>
          <w:szCs w:val="21"/>
        </w:rPr>
        <w:t>1市政给水分项</w:t>
      </w:r>
    </w:p>
    <w:tbl>
      <w:tblPr>
        <w:tblStyle w:val="23"/>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011"/>
        <w:gridCol w:w="42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011" w:type="dxa"/>
            <w:shd w:val="clear" w:color="auto" w:fill="auto"/>
            <w:vAlign w:val="center"/>
          </w:tcPr>
          <w:p>
            <w:pPr>
              <w:spacing w:line="360" w:lineRule="auto"/>
              <w:ind w:firstLine="420" w:firstLineChars="200"/>
              <w:jc w:val="center"/>
              <w:rPr>
                <w:rFonts w:ascii="宋体" w:hAnsi="宋体" w:cs="Arial"/>
                <w:szCs w:val="21"/>
              </w:rPr>
            </w:pPr>
            <w:r>
              <w:rPr>
                <w:rFonts w:hint="eastAsia" w:ascii="宋体" w:hAnsi="宋体" w:cs="Arial"/>
                <w:szCs w:val="21"/>
              </w:rPr>
              <w:t>能耗类别</w:t>
            </w:r>
          </w:p>
        </w:tc>
        <w:tc>
          <w:tcPr>
            <w:tcW w:w="4262" w:type="dxa"/>
            <w:shd w:val="clear" w:color="auto" w:fill="auto"/>
            <w:vAlign w:val="center"/>
          </w:tcPr>
          <w:p>
            <w:pPr>
              <w:spacing w:line="360" w:lineRule="auto"/>
              <w:ind w:firstLine="420" w:firstLineChars="200"/>
              <w:jc w:val="center"/>
              <w:rPr>
                <w:rFonts w:ascii="宋体" w:hAnsi="宋体" w:cs="Arial"/>
                <w:szCs w:val="21"/>
              </w:rPr>
            </w:pPr>
            <w:r>
              <w:rPr>
                <w:rFonts w:hint="eastAsia" w:ascii="宋体" w:hAnsi="宋体" w:cs="Arial"/>
                <w:szCs w:val="21"/>
              </w:rPr>
              <w:t>分项名称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011" w:type="dxa"/>
            <w:vMerge w:val="restart"/>
            <w:shd w:val="clear" w:color="auto" w:fill="auto"/>
            <w:vAlign w:val="center"/>
          </w:tcPr>
          <w:p>
            <w:pPr>
              <w:spacing w:line="360" w:lineRule="auto"/>
              <w:ind w:firstLine="420" w:firstLineChars="200"/>
              <w:jc w:val="center"/>
              <w:rPr>
                <w:rFonts w:ascii="宋体" w:hAnsi="宋体" w:cs="Arial"/>
                <w:szCs w:val="21"/>
              </w:rPr>
            </w:pPr>
            <w:r>
              <w:rPr>
                <w:rFonts w:hint="eastAsia" w:ascii="宋体" w:hAnsi="宋体" w:cs="Arial"/>
                <w:szCs w:val="21"/>
              </w:rPr>
              <w:t>市政给水</w:t>
            </w:r>
          </w:p>
        </w:tc>
        <w:tc>
          <w:tcPr>
            <w:tcW w:w="4262" w:type="dxa"/>
            <w:shd w:val="clear" w:color="auto" w:fill="auto"/>
            <w:vAlign w:val="center"/>
          </w:tcPr>
          <w:p>
            <w:pPr>
              <w:spacing w:line="360" w:lineRule="auto"/>
              <w:ind w:firstLine="420" w:firstLineChars="200"/>
              <w:jc w:val="center"/>
              <w:rPr>
                <w:rFonts w:ascii="宋体" w:hAnsi="宋体" w:cs="Arial"/>
                <w:szCs w:val="21"/>
              </w:rPr>
            </w:pPr>
            <w:r>
              <w:rPr>
                <w:rFonts w:hint="eastAsia" w:ascii="宋体" w:hAnsi="宋体" w:cs="Arial"/>
                <w:szCs w:val="21"/>
              </w:rPr>
              <w:t>厨房餐厅用水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011" w:type="dxa"/>
            <w:vMerge w:val="continue"/>
            <w:shd w:val="clear" w:color="auto" w:fill="auto"/>
            <w:vAlign w:val="center"/>
          </w:tcPr>
          <w:p>
            <w:pPr>
              <w:spacing w:line="360" w:lineRule="auto"/>
              <w:ind w:firstLine="420" w:firstLineChars="200"/>
              <w:jc w:val="center"/>
              <w:rPr>
                <w:rFonts w:ascii="宋体" w:hAnsi="宋体" w:cs="Arial"/>
                <w:szCs w:val="21"/>
              </w:rPr>
            </w:pPr>
          </w:p>
        </w:tc>
        <w:tc>
          <w:tcPr>
            <w:tcW w:w="4262" w:type="dxa"/>
            <w:shd w:val="clear" w:color="auto" w:fill="auto"/>
            <w:vAlign w:val="center"/>
          </w:tcPr>
          <w:p>
            <w:pPr>
              <w:spacing w:line="360" w:lineRule="auto"/>
              <w:ind w:firstLine="420" w:firstLineChars="200"/>
              <w:jc w:val="center"/>
              <w:rPr>
                <w:rFonts w:ascii="宋体" w:hAnsi="宋体" w:cs="Arial"/>
                <w:szCs w:val="21"/>
              </w:rPr>
            </w:pPr>
            <w:r>
              <w:rPr>
                <w:rFonts w:hint="eastAsia" w:ascii="宋体" w:hAnsi="宋体" w:cs="Arial"/>
                <w:szCs w:val="21"/>
              </w:rPr>
              <w:t>公共浴室用水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4011" w:type="dxa"/>
            <w:vMerge w:val="continue"/>
            <w:shd w:val="clear" w:color="auto" w:fill="auto"/>
            <w:vAlign w:val="center"/>
          </w:tcPr>
          <w:p>
            <w:pPr>
              <w:spacing w:line="360" w:lineRule="auto"/>
              <w:ind w:firstLine="420" w:firstLineChars="200"/>
              <w:jc w:val="center"/>
              <w:rPr>
                <w:rFonts w:ascii="宋体" w:hAnsi="宋体" w:cs="Arial"/>
                <w:szCs w:val="21"/>
              </w:rPr>
            </w:pPr>
          </w:p>
        </w:tc>
        <w:tc>
          <w:tcPr>
            <w:tcW w:w="4262" w:type="dxa"/>
            <w:shd w:val="clear" w:color="auto" w:fill="auto"/>
            <w:vAlign w:val="center"/>
          </w:tcPr>
          <w:p>
            <w:pPr>
              <w:spacing w:line="360" w:lineRule="auto"/>
              <w:ind w:firstLine="420" w:firstLineChars="200"/>
              <w:jc w:val="center"/>
              <w:rPr>
                <w:rFonts w:ascii="宋体" w:hAnsi="宋体" w:cs="Arial"/>
                <w:szCs w:val="21"/>
              </w:rPr>
            </w:pPr>
            <w:r>
              <w:rPr>
                <w:rFonts w:hint="eastAsia" w:ascii="宋体" w:hAnsi="宋体" w:cs="Arial"/>
                <w:szCs w:val="21"/>
              </w:rPr>
              <w:t>洗衣房用水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011" w:type="dxa"/>
            <w:vMerge w:val="continue"/>
            <w:shd w:val="clear" w:color="auto" w:fill="auto"/>
            <w:vAlign w:val="center"/>
          </w:tcPr>
          <w:p>
            <w:pPr>
              <w:spacing w:line="360" w:lineRule="auto"/>
              <w:ind w:firstLine="420" w:firstLineChars="200"/>
              <w:jc w:val="center"/>
              <w:rPr>
                <w:rFonts w:ascii="宋体" w:hAnsi="宋体" w:cs="Arial"/>
                <w:szCs w:val="21"/>
              </w:rPr>
            </w:pPr>
          </w:p>
        </w:tc>
        <w:tc>
          <w:tcPr>
            <w:tcW w:w="4262" w:type="dxa"/>
            <w:shd w:val="clear" w:color="auto" w:fill="auto"/>
            <w:vAlign w:val="center"/>
          </w:tcPr>
          <w:p>
            <w:pPr>
              <w:spacing w:line="360" w:lineRule="auto"/>
              <w:ind w:firstLine="420" w:firstLineChars="200"/>
              <w:jc w:val="center"/>
              <w:rPr>
                <w:rFonts w:ascii="宋体" w:hAnsi="宋体" w:cs="Arial"/>
                <w:szCs w:val="21"/>
              </w:rPr>
            </w:pPr>
            <w:r>
              <w:rPr>
                <w:rFonts w:hint="eastAsia" w:ascii="宋体" w:hAnsi="宋体" w:cs="Arial"/>
                <w:szCs w:val="21"/>
              </w:rPr>
              <w:t>太阳能用水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011" w:type="dxa"/>
            <w:vMerge w:val="continue"/>
            <w:shd w:val="clear" w:color="auto" w:fill="auto"/>
            <w:vAlign w:val="center"/>
          </w:tcPr>
          <w:p>
            <w:pPr>
              <w:spacing w:line="360" w:lineRule="auto"/>
              <w:ind w:firstLine="420" w:firstLineChars="200"/>
              <w:jc w:val="center"/>
              <w:rPr>
                <w:rFonts w:ascii="宋体" w:hAnsi="宋体" w:cs="Arial"/>
                <w:szCs w:val="21"/>
              </w:rPr>
            </w:pPr>
          </w:p>
        </w:tc>
        <w:tc>
          <w:tcPr>
            <w:tcW w:w="4262" w:type="dxa"/>
            <w:shd w:val="clear" w:color="auto" w:fill="auto"/>
            <w:vAlign w:val="center"/>
          </w:tcPr>
          <w:p>
            <w:pPr>
              <w:spacing w:line="360" w:lineRule="auto"/>
              <w:ind w:firstLine="420" w:firstLineChars="200"/>
              <w:jc w:val="center"/>
              <w:rPr>
                <w:rFonts w:ascii="宋体" w:hAnsi="宋体" w:cs="Arial"/>
                <w:szCs w:val="21"/>
              </w:rPr>
            </w:pPr>
            <w:r>
              <w:rPr>
                <w:rFonts w:hint="eastAsia" w:ascii="宋体" w:hAnsi="宋体" w:cs="Arial"/>
                <w:szCs w:val="21"/>
              </w:rPr>
              <w:t>空调补水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011" w:type="dxa"/>
            <w:vMerge w:val="continue"/>
            <w:shd w:val="clear" w:color="auto" w:fill="auto"/>
            <w:vAlign w:val="center"/>
          </w:tcPr>
          <w:p>
            <w:pPr>
              <w:spacing w:line="360" w:lineRule="auto"/>
              <w:ind w:firstLine="420" w:firstLineChars="200"/>
              <w:jc w:val="center"/>
              <w:rPr>
                <w:rFonts w:ascii="宋体" w:hAnsi="宋体" w:cs="Arial"/>
                <w:szCs w:val="21"/>
              </w:rPr>
            </w:pPr>
          </w:p>
        </w:tc>
        <w:tc>
          <w:tcPr>
            <w:tcW w:w="4262" w:type="dxa"/>
            <w:shd w:val="clear" w:color="auto" w:fill="auto"/>
            <w:vAlign w:val="center"/>
          </w:tcPr>
          <w:p>
            <w:pPr>
              <w:spacing w:line="360" w:lineRule="auto"/>
              <w:ind w:firstLine="420" w:firstLineChars="200"/>
              <w:jc w:val="center"/>
              <w:rPr>
                <w:rFonts w:ascii="宋体" w:hAnsi="宋体" w:cs="Arial"/>
                <w:szCs w:val="21"/>
              </w:rPr>
            </w:pPr>
            <w:r>
              <w:rPr>
                <w:rFonts w:hint="eastAsia" w:ascii="宋体" w:hAnsi="宋体" w:cs="Arial"/>
                <w:szCs w:val="21"/>
              </w:rPr>
              <w:t>游泳池用水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4011" w:type="dxa"/>
            <w:vMerge w:val="continue"/>
            <w:shd w:val="clear" w:color="auto" w:fill="auto"/>
            <w:vAlign w:val="center"/>
          </w:tcPr>
          <w:p>
            <w:pPr>
              <w:spacing w:line="360" w:lineRule="auto"/>
              <w:ind w:firstLine="420" w:firstLineChars="200"/>
              <w:jc w:val="center"/>
              <w:rPr>
                <w:rFonts w:ascii="宋体" w:hAnsi="宋体" w:cs="Arial"/>
                <w:szCs w:val="21"/>
              </w:rPr>
            </w:pPr>
          </w:p>
        </w:tc>
        <w:tc>
          <w:tcPr>
            <w:tcW w:w="4262" w:type="dxa"/>
            <w:shd w:val="clear" w:color="auto" w:fill="auto"/>
            <w:vAlign w:val="center"/>
          </w:tcPr>
          <w:p>
            <w:pPr>
              <w:spacing w:line="360" w:lineRule="auto"/>
              <w:ind w:firstLine="420" w:firstLineChars="200"/>
              <w:jc w:val="center"/>
              <w:rPr>
                <w:rFonts w:ascii="宋体" w:hAnsi="宋体" w:cs="Arial"/>
                <w:szCs w:val="21"/>
              </w:rPr>
            </w:pPr>
            <w:r>
              <w:rPr>
                <w:rFonts w:hint="eastAsia" w:ascii="宋体" w:hAnsi="宋体" w:cs="Arial"/>
                <w:szCs w:val="21"/>
              </w:rPr>
              <w:t>机动车清洗用水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011" w:type="dxa"/>
            <w:vMerge w:val="continue"/>
            <w:shd w:val="clear" w:color="auto" w:fill="auto"/>
            <w:vAlign w:val="center"/>
          </w:tcPr>
          <w:p>
            <w:pPr>
              <w:spacing w:line="360" w:lineRule="auto"/>
              <w:ind w:firstLine="420" w:firstLineChars="200"/>
              <w:jc w:val="center"/>
              <w:rPr>
                <w:rFonts w:ascii="宋体" w:hAnsi="宋体" w:cs="Arial"/>
                <w:szCs w:val="21"/>
              </w:rPr>
            </w:pPr>
          </w:p>
        </w:tc>
        <w:tc>
          <w:tcPr>
            <w:tcW w:w="4262" w:type="dxa"/>
            <w:shd w:val="clear" w:color="auto" w:fill="auto"/>
            <w:vAlign w:val="center"/>
          </w:tcPr>
          <w:p>
            <w:pPr>
              <w:spacing w:line="360" w:lineRule="auto"/>
              <w:ind w:firstLine="420" w:firstLineChars="200"/>
              <w:jc w:val="center"/>
              <w:rPr>
                <w:rFonts w:ascii="宋体" w:hAnsi="宋体" w:cs="Arial"/>
                <w:szCs w:val="21"/>
              </w:rPr>
            </w:pPr>
            <w:r>
              <w:rPr>
                <w:rFonts w:hint="eastAsia" w:ascii="宋体" w:hAnsi="宋体" w:cs="Arial"/>
                <w:szCs w:val="21"/>
              </w:rPr>
              <w:t>锅炉房补水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011" w:type="dxa"/>
            <w:vMerge w:val="continue"/>
            <w:shd w:val="clear" w:color="auto" w:fill="auto"/>
            <w:vAlign w:val="center"/>
          </w:tcPr>
          <w:p>
            <w:pPr>
              <w:spacing w:line="360" w:lineRule="auto"/>
              <w:ind w:firstLine="420" w:firstLineChars="200"/>
              <w:jc w:val="center"/>
              <w:rPr>
                <w:rFonts w:ascii="宋体" w:hAnsi="宋体" w:cs="Arial"/>
                <w:szCs w:val="21"/>
              </w:rPr>
            </w:pPr>
          </w:p>
        </w:tc>
        <w:tc>
          <w:tcPr>
            <w:tcW w:w="4262" w:type="dxa"/>
            <w:shd w:val="clear" w:color="auto" w:fill="auto"/>
            <w:vAlign w:val="center"/>
          </w:tcPr>
          <w:p>
            <w:pPr>
              <w:spacing w:line="360" w:lineRule="auto"/>
              <w:ind w:firstLine="420" w:firstLineChars="200"/>
              <w:jc w:val="center"/>
              <w:rPr>
                <w:rFonts w:ascii="宋体" w:hAnsi="宋体" w:cs="Arial"/>
                <w:szCs w:val="21"/>
              </w:rPr>
            </w:pPr>
            <w:r>
              <w:rPr>
                <w:rFonts w:hint="eastAsia" w:ascii="宋体" w:hAnsi="宋体" w:cs="Arial"/>
                <w:szCs w:val="21"/>
              </w:rPr>
              <w:t>其他</w:t>
            </w:r>
          </w:p>
        </w:tc>
      </w:tr>
    </w:tbl>
    <w:p>
      <w:pPr>
        <w:spacing w:line="360" w:lineRule="auto"/>
        <w:ind w:firstLine="480" w:firstLineChars="200"/>
        <w:rPr>
          <w:rFonts w:ascii="Arial" w:hAnsi="Arial" w:cs="Arial"/>
          <w:sz w:val="24"/>
          <w:szCs w:val="24"/>
        </w:rPr>
      </w:pPr>
    </w:p>
    <w:p>
      <w:pPr>
        <w:keepNext w:val="0"/>
        <w:keepLines w:val="0"/>
        <w:pageBreakBefore w:val="0"/>
        <w:widowControl w:val="0"/>
        <w:kinsoku/>
        <w:wordWrap/>
        <w:overflowPunct/>
        <w:topLinePunct w:val="0"/>
        <w:autoSpaceDE/>
        <w:autoSpaceDN/>
        <w:bidi w:val="0"/>
        <w:adjustRightInd w:val="0"/>
        <w:snapToGrid w:val="0"/>
        <w:spacing w:line="360" w:lineRule="auto"/>
        <w:ind w:firstLine="481" w:firstLineChars="200"/>
        <w:textAlignment w:val="auto"/>
        <w:rPr>
          <w:rFonts w:ascii="Arial" w:hAnsi="Arial" w:cs="Arial"/>
          <w:sz w:val="24"/>
          <w:szCs w:val="24"/>
        </w:rPr>
      </w:pPr>
      <w:r>
        <w:rPr>
          <w:rFonts w:hint="eastAsia" w:ascii="宋体" w:hAnsi="宋体"/>
          <w:b/>
          <w:bCs/>
          <w:color w:val="000000"/>
          <w:sz w:val="24"/>
        </w:rPr>
        <w:t>2</w:t>
      </w:r>
      <w:r>
        <w:rPr>
          <w:rFonts w:ascii="Arial" w:hAnsi="Arial" w:cs="Arial"/>
          <w:sz w:val="24"/>
          <w:szCs w:val="24"/>
        </w:rPr>
        <w:t xml:space="preserve"> </w:t>
      </w:r>
      <w:r>
        <w:rPr>
          <w:rFonts w:hint="eastAsia" w:ascii="Arial" w:hAnsi="Arial" w:cs="Arial"/>
          <w:sz w:val="24"/>
          <w:szCs w:val="24"/>
        </w:rPr>
        <w:t>电耗应按用途不同区分为</w:t>
      </w:r>
      <w:r>
        <w:rPr>
          <w:rFonts w:ascii="Arial" w:hAnsi="Arial" w:cs="Arial"/>
          <w:sz w:val="24"/>
          <w:szCs w:val="24"/>
        </w:rPr>
        <w:t xml:space="preserve">4 </w:t>
      </w:r>
      <w:r>
        <w:rPr>
          <w:rFonts w:hint="eastAsia" w:ascii="Arial" w:hAnsi="Arial" w:cs="Arial"/>
          <w:sz w:val="24"/>
          <w:szCs w:val="24"/>
        </w:rPr>
        <w:t>个分项，各分项可根据建筑能耗系统的实际情况细分为一级子项和二级子项，其设置宜符合表</w:t>
      </w:r>
      <w:r>
        <w:rPr>
          <w:rFonts w:ascii="Arial" w:hAnsi="Arial" w:cs="Arial"/>
          <w:sz w:val="24"/>
          <w:szCs w:val="24"/>
        </w:rPr>
        <w:t xml:space="preserve">4. 2. 2-2 </w:t>
      </w:r>
      <w:r>
        <w:rPr>
          <w:rFonts w:hint="eastAsia" w:ascii="Arial" w:hAnsi="Arial" w:cs="Arial"/>
          <w:sz w:val="24"/>
          <w:szCs w:val="24"/>
        </w:rPr>
        <w:t>的规定。</w:t>
      </w:r>
    </w:p>
    <w:p>
      <w:pPr>
        <w:spacing w:line="360" w:lineRule="auto"/>
        <w:rPr>
          <w:rFonts w:hint="eastAsia" w:ascii="宋体" w:hAnsi="宋体" w:cs="Arial"/>
          <w:sz w:val="24"/>
          <w:szCs w:val="24"/>
        </w:rPr>
      </w:pPr>
    </w:p>
    <w:p>
      <w:pPr>
        <w:spacing w:line="360" w:lineRule="auto"/>
        <w:rPr>
          <w:rFonts w:hint="eastAsia" w:ascii="宋体" w:hAnsi="宋体" w:cs="Arial"/>
          <w:sz w:val="24"/>
          <w:szCs w:val="24"/>
        </w:rPr>
      </w:pPr>
    </w:p>
    <w:p>
      <w:pPr>
        <w:spacing w:line="360" w:lineRule="auto"/>
        <w:ind w:firstLine="480" w:firstLineChars="200"/>
        <w:jc w:val="center"/>
        <w:rPr>
          <w:rFonts w:hint="eastAsia" w:ascii="Arial" w:hAnsi="Arial" w:cs="Arial"/>
          <w:sz w:val="24"/>
          <w:szCs w:val="24"/>
        </w:rPr>
      </w:pPr>
    </w:p>
    <w:p>
      <w:pPr>
        <w:spacing w:line="360" w:lineRule="auto"/>
        <w:ind w:firstLine="480" w:firstLineChars="200"/>
        <w:jc w:val="center"/>
        <w:rPr>
          <w:rFonts w:ascii="Arial" w:hAnsi="Arial" w:cs="Arial"/>
          <w:sz w:val="24"/>
          <w:szCs w:val="24"/>
        </w:rPr>
      </w:pPr>
    </w:p>
    <w:p>
      <w:pPr>
        <w:spacing w:line="360" w:lineRule="auto"/>
        <w:ind w:firstLine="420" w:firstLineChars="200"/>
        <w:jc w:val="center"/>
        <w:rPr>
          <w:rFonts w:ascii="Arial" w:hAnsi="Arial" w:cs="Arial"/>
          <w:szCs w:val="21"/>
        </w:rPr>
      </w:pPr>
      <w:r>
        <w:rPr>
          <w:rFonts w:hint="eastAsia" w:ascii="Arial" w:hAnsi="Arial" w:cs="Arial"/>
          <w:szCs w:val="21"/>
        </w:rPr>
        <w:t>表</w:t>
      </w:r>
      <w:r>
        <w:rPr>
          <w:rFonts w:ascii="Arial" w:hAnsi="Arial" w:cs="Arial"/>
          <w:szCs w:val="21"/>
        </w:rPr>
        <w:t xml:space="preserve">4. 2. 2-2 </w:t>
      </w:r>
      <w:r>
        <w:rPr>
          <w:rFonts w:hint="eastAsia" w:ascii="Arial" w:hAnsi="Arial" w:cs="Arial"/>
          <w:szCs w:val="21"/>
        </w:rPr>
        <w:t>电耗分项</w:t>
      </w:r>
    </w:p>
    <w:tbl>
      <w:tblPr>
        <w:tblStyle w:val="23"/>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242"/>
        <w:gridCol w:w="1843"/>
        <w:gridCol w:w="2835"/>
        <w:gridCol w:w="26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2" w:type="dxa"/>
            <w:shd w:val="clear" w:color="auto" w:fill="auto"/>
            <w:vAlign w:val="center"/>
          </w:tcPr>
          <w:p>
            <w:pPr>
              <w:spacing w:line="360" w:lineRule="auto"/>
              <w:jc w:val="center"/>
              <w:rPr>
                <w:rFonts w:ascii="Arial" w:hAnsi="Arial" w:cs="Arial" w:eastAsiaTheme="minorEastAsia"/>
                <w:szCs w:val="21"/>
              </w:rPr>
            </w:pPr>
            <w:r>
              <w:rPr>
                <w:rFonts w:ascii="Arial" w:cs="Arial" w:hAnsiTheme="minorEastAsia" w:eastAsiaTheme="minorEastAsia"/>
                <w:szCs w:val="21"/>
              </w:rPr>
              <w:t>分项用途</w:t>
            </w:r>
          </w:p>
        </w:tc>
        <w:tc>
          <w:tcPr>
            <w:tcW w:w="1843" w:type="dxa"/>
            <w:shd w:val="clear" w:color="auto" w:fill="auto"/>
            <w:vAlign w:val="center"/>
          </w:tcPr>
          <w:p>
            <w:pPr>
              <w:spacing w:line="360" w:lineRule="auto"/>
              <w:jc w:val="center"/>
              <w:rPr>
                <w:rFonts w:ascii="Arial" w:hAnsi="Arial" w:cs="Arial" w:eastAsiaTheme="minorEastAsia"/>
                <w:szCs w:val="21"/>
              </w:rPr>
            </w:pPr>
            <w:r>
              <w:rPr>
                <w:rFonts w:ascii="Arial" w:cs="Arial" w:hAnsiTheme="minorEastAsia" w:eastAsiaTheme="minorEastAsia"/>
                <w:szCs w:val="21"/>
              </w:rPr>
              <w:t>分项名称</w:t>
            </w:r>
          </w:p>
        </w:tc>
        <w:tc>
          <w:tcPr>
            <w:tcW w:w="2835" w:type="dxa"/>
            <w:shd w:val="clear" w:color="auto" w:fill="auto"/>
            <w:vAlign w:val="center"/>
          </w:tcPr>
          <w:p>
            <w:pPr>
              <w:spacing w:line="360" w:lineRule="auto"/>
              <w:jc w:val="center"/>
              <w:rPr>
                <w:rFonts w:ascii="Arial" w:hAnsi="Arial" w:cs="Arial" w:eastAsiaTheme="minorEastAsia"/>
                <w:szCs w:val="21"/>
              </w:rPr>
            </w:pPr>
            <w:r>
              <w:rPr>
                <w:rFonts w:ascii="Arial" w:cs="Arial" w:hAnsiTheme="minorEastAsia" w:eastAsiaTheme="minorEastAsia"/>
                <w:szCs w:val="21"/>
              </w:rPr>
              <w:t>一级子项</w:t>
            </w:r>
          </w:p>
        </w:tc>
        <w:tc>
          <w:tcPr>
            <w:tcW w:w="2603" w:type="dxa"/>
            <w:shd w:val="clear" w:color="auto" w:fill="auto"/>
            <w:vAlign w:val="center"/>
          </w:tcPr>
          <w:p>
            <w:pPr>
              <w:spacing w:line="360" w:lineRule="auto"/>
              <w:jc w:val="center"/>
              <w:rPr>
                <w:rFonts w:ascii="Arial" w:hAnsi="Arial" w:cs="Arial" w:eastAsiaTheme="minorEastAsia"/>
                <w:szCs w:val="21"/>
              </w:rPr>
            </w:pPr>
            <w:r>
              <w:rPr>
                <w:rFonts w:ascii="Arial" w:cs="Arial" w:hAnsiTheme="minorEastAsia" w:eastAsiaTheme="minorEastAsia"/>
                <w:szCs w:val="21"/>
              </w:rPr>
              <w:t>二级子项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2" w:type="dxa"/>
            <w:vMerge w:val="restart"/>
            <w:shd w:val="clear" w:color="auto" w:fill="auto"/>
            <w:vAlign w:val="center"/>
          </w:tcPr>
          <w:p>
            <w:pPr>
              <w:spacing w:line="360" w:lineRule="auto"/>
              <w:jc w:val="center"/>
              <w:rPr>
                <w:rFonts w:ascii="Arial" w:hAnsi="Arial" w:cs="Arial" w:eastAsiaTheme="minorEastAsia"/>
                <w:szCs w:val="21"/>
              </w:rPr>
            </w:pPr>
            <w:r>
              <w:rPr>
                <w:rFonts w:ascii="Arial" w:cs="Arial" w:hAnsiTheme="minorEastAsia" w:eastAsiaTheme="minorEastAsia"/>
                <w:szCs w:val="21"/>
              </w:rPr>
              <w:t>常规用电</w:t>
            </w:r>
          </w:p>
        </w:tc>
        <w:tc>
          <w:tcPr>
            <w:tcW w:w="1843" w:type="dxa"/>
            <w:vMerge w:val="restart"/>
            <w:shd w:val="clear" w:color="auto" w:fill="auto"/>
            <w:vAlign w:val="center"/>
          </w:tcPr>
          <w:p>
            <w:pPr>
              <w:spacing w:line="360" w:lineRule="auto"/>
              <w:jc w:val="center"/>
              <w:rPr>
                <w:rFonts w:ascii="Arial" w:hAnsi="Arial" w:cs="Arial" w:eastAsiaTheme="minorEastAsia"/>
                <w:szCs w:val="21"/>
              </w:rPr>
            </w:pPr>
            <w:r>
              <w:rPr>
                <w:rFonts w:ascii="Arial" w:cs="Arial" w:hAnsiTheme="minorEastAsia" w:eastAsiaTheme="minorEastAsia"/>
                <w:szCs w:val="21"/>
              </w:rPr>
              <w:t>照明、插座用电</w:t>
            </w:r>
          </w:p>
        </w:tc>
        <w:tc>
          <w:tcPr>
            <w:tcW w:w="2835" w:type="dxa"/>
            <w:vMerge w:val="restart"/>
            <w:shd w:val="clear" w:color="auto" w:fill="auto"/>
            <w:vAlign w:val="center"/>
          </w:tcPr>
          <w:p>
            <w:pPr>
              <w:spacing w:line="360" w:lineRule="auto"/>
              <w:jc w:val="center"/>
              <w:rPr>
                <w:rFonts w:ascii="Arial" w:hAnsi="Arial" w:cs="Arial" w:eastAsiaTheme="minorEastAsia"/>
                <w:szCs w:val="21"/>
              </w:rPr>
            </w:pPr>
            <w:r>
              <w:rPr>
                <w:rFonts w:ascii="Arial" w:cs="Arial" w:hAnsiTheme="minorEastAsia" w:eastAsiaTheme="minorEastAsia"/>
                <w:szCs w:val="21"/>
              </w:rPr>
              <w:t>室内照明与插座</w:t>
            </w:r>
          </w:p>
        </w:tc>
        <w:tc>
          <w:tcPr>
            <w:tcW w:w="2603" w:type="dxa"/>
            <w:shd w:val="clear" w:color="auto" w:fill="auto"/>
            <w:vAlign w:val="center"/>
          </w:tcPr>
          <w:p>
            <w:pPr>
              <w:spacing w:line="360" w:lineRule="auto"/>
              <w:jc w:val="center"/>
              <w:rPr>
                <w:rFonts w:ascii="Arial" w:hAnsi="Arial" w:cs="Arial" w:eastAsiaTheme="minorEastAsia"/>
                <w:szCs w:val="21"/>
              </w:rPr>
            </w:pPr>
            <w:r>
              <w:rPr>
                <w:rFonts w:ascii="Arial" w:cs="Arial" w:hAnsiTheme="minorEastAsia" w:eastAsiaTheme="minorEastAsia"/>
                <w:szCs w:val="21"/>
              </w:rPr>
              <w:t>室内照明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2" w:type="dxa"/>
            <w:vMerge w:val="continue"/>
            <w:shd w:val="clear" w:color="auto" w:fill="auto"/>
            <w:vAlign w:val="center"/>
          </w:tcPr>
          <w:p>
            <w:pPr>
              <w:spacing w:line="360" w:lineRule="auto"/>
              <w:jc w:val="center"/>
              <w:rPr>
                <w:rFonts w:ascii="Arial" w:hAnsi="Arial" w:cs="Arial" w:eastAsiaTheme="minorEastAsia"/>
                <w:szCs w:val="21"/>
              </w:rPr>
            </w:pPr>
          </w:p>
        </w:tc>
        <w:tc>
          <w:tcPr>
            <w:tcW w:w="1843" w:type="dxa"/>
            <w:vMerge w:val="continue"/>
            <w:shd w:val="clear" w:color="auto" w:fill="auto"/>
            <w:vAlign w:val="center"/>
          </w:tcPr>
          <w:p>
            <w:pPr>
              <w:spacing w:line="360" w:lineRule="auto"/>
              <w:jc w:val="center"/>
              <w:rPr>
                <w:rFonts w:ascii="Arial" w:hAnsi="Arial" w:cs="Arial" w:eastAsiaTheme="minorEastAsia"/>
                <w:szCs w:val="21"/>
              </w:rPr>
            </w:pPr>
          </w:p>
        </w:tc>
        <w:tc>
          <w:tcPr>
            <w:tcW w:w="2835" w:type="dxa"/>
            <w:vMerge w:val="continue"/>
            <w:shd w:val="clear" w:color="auto" w:fill="auto"/>
            <w:vAlign w:val="center"/>
          </w:tcPr>
          <w:p>
            <w:pPr>
              <w:spacing w:line="360" w:lineRule="auto"/>
              <w:jc w:val="center"/>
              <w:rPr>
                <w:rFonts w:ascii="Arial" w:hAnsi="Arial" w:cs="Arial" w:eastAsiaTheme="minorEastAsia"/>
                <w:szCs w:val="21"/>
              </w:rPr>
            </w:pPr>
          </w:p>
        </w:tc>
        <w:tc>
          <w:tcPr>
            <w:tcW w:w="2603" w:type="dxa"/>
            <w:shd w:val="clear" w:color="auto" w:fill="auto"/>
            <w:vAlign w:val="center"/>
          </w:tcPr>
          <w:p>
            <w:pPr>
              <w:spacing w:line="360" w:lineRule="auto"/>
              <w:jc w:val="center"/>
              <w:rPr>
                <w:rFonts w:ascii="Arial" w:hAnsi="Arial" w:cs="Arial" w:eastAsiaTheme="minorEastAsia"/>
                <w:szCs w:val="21"/>
              </w:rPr>
            </w:pPr>
            <w:r>
              <w:rPr>
                <w:rFonts w:ascii="Arial" w:cs="Arial" w:hAnsiTheme="minorEastAsia" w:eastAsiaTheme="minorEastAsia"/>
                <w:szCs w:val="21"/>
              </w:rPr>
              <w:t>室内插座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1242" w:type="dxa"/>
            <w:vMerge w:val="continue"/>
            <w:shd w:val="clear" w:color="auto" w:fill="auto"/>
            <w:vAlign w:val="center"/>
          </w:tcPr>
          <w:p>
            <w:pPr>
              <w:spacing w:line="360" w:lineRule="auto"/>
              <w:jc w:val="center"/>
              <w:rPr>
                <w:rFonts w:ascii="Arial" w:hAnsi="Arial" w:cs="Arial" w:eastAsiaTheme="minorEastAsia"/>
                <w:szCs w:val="21"/>
              </w:rPr>
            </w:pPr>
          </w:p>
        </w:tc>
        <w:tc>
          <w:tcPr>
            <w:tcW w:w="1843" w:type="dxa"/>
            <w:vMerge w:val="continue"/>
            <w:shd w:val="clear" w:color="auto" w:fill="auto"/>
            <w:vAlign w:val="center"/>
          </w:tcPr>
          <w:p>
            <w:pPr>
              <w:spacing w:line="360" w:lineRule="auto"/>
              <w:jc w:val="center"/>
              <w:rPr>
                <w:rFonts w:ascii="Arial" w:hAnsi="Arial" w:cs="Arial" w:eastAsiaTheme="minorEastAsia"/>
                <w:szCs w:val="21"/>
              </w:rPr>
            </w:pPr>
          </w:p>
        </w:tc>
        <w:tc>
          <w:tcPr>
            <w:tcW w:w="2835" w:type="dxa"/>
            <w:vMerge w:val="restart"/>
            <w:shd w:val="clear" w:color="auto" w:fill="auto"/>
            <w:vAlign w:val="center"/>
          </w:tcPr>
          <w:p>
            <w:pPr>
              <w:spacing w:line="360" w:lineRule="auto"/>
              <w:jc w:val="center"/>
              <w:rPr>
                <w:rFonts w:ascii="Arial" w:hAnsi="Arial" w:cs="Arial" w:eastAsiaTheme="minorEastAsia"/>
                <w:szCs w:val="21"/>
              </w:rPr>
            </w:pPr>
            <w:r>
              <w:rPr>
                <w:rFonts w:ascii="Arial" w:cs="Arial" w:hAnsiTheme="minorEastAsia" w:eastAsiaTheme="minorEastAsia"/>
                <w:szCs w:val="21"/>
              </w:rPr>
              <w:t>公共区域照明和应急照明</w:t>
            </w:r>
          </w:p>
        </w:tc>
        <w:tc>
          <w:tcPr>
            <w:tcW w:w="2603" w:type="dxa"/>
            <w:shd w:val="clear" w:color="auto" w:fill="auto"/>
            <w:vAlign w:val="center"/>
          </w:tcPr>
          <w:p>
            <w:pPr>
              <w:spacing w:line="360" w:lineRule="auto"/>
              <w:jc w:val="center"/>
              <w:rPr>
                <w:rFonts w:ascii="Arial" w:hAnsi="Arial" w:cs="Arial" w:eastAsiaTheme="minorEastAsia"/>
                <w:szCs w:val="21"/>
              </w:rPr>
            </w:pPr>
            <w:r>
              <w:rPr>
                <w:rFonts w:ascii="Arial" w:cs="Arial" w:hAnsiTheme="minorEastAsia" w:eastAsiaTheme="minorEastAsia"/>
                <w:szCs w:val="21"/>
              </w:rPr>
              <w:t>公共区域照明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2" w:type="dxa"/>
            <w:vMerge w:val="continue"/>
            <w:shd w:val="clear" w:color="auto" w:fill="auto"/>
            <w:vAlign w:val="center"/>
          </w:tcPr>
          <w:p>
            <w:pPr>
              <w:spacing w:line="360" w:lineRule="auto"/>
              <w:jc w:val="center"/>
              <w:rPr>
                <w:rFonts w:ascii="Arial" w:hAnsi="Arial" w:cs="Arial" w:eastAsiaTheme="minorEastAsia"/>
                <w:szCs w:val="21"/>
              </w:rPr>
            </w:pPr>
          </w:p>
        </w:tc>
        <w:tc>
          <w:tcPr>
            <w:tcW w:w="1843" w:type="dxa"/>
            <w:vMerge w:val="continue"/>
            <w:shd w:val="clear" w:color="auto" w:fill="auto"/>
            <w:vAlign w:val="center"/>
          </w:tcPr>
          <w:p>
            <w:pPr>
              <w:spacing w:line="360" w:lineRule="auto"/>
              <w:jc w:val="center"/>
              <w:rPr>
                <w:rFonts w:ascii="Arial" w:hAnsi="Arial" w:cs="Arial" w:eastAsiaTheme="minorEastAsia"/>
                <w:szCs w:val="21"/>
              </w:rPr>
            </w:pPr>
          </w:p>
        </w:tc>
        <w:tc>
          <w:tcPr>
            <w:tcW w:w="2835" w:type="dxa"/>
            <w:vMerge w:val="continue"/>
            <w:shd w:val="clear" w:color="auto" w:fill="auto"/>
            <w:vAlign w:val="center"/>
          </w:tcPr>
          <w:p>
            <w:pPr>
              <w:spacing w:line="360" w:lineRule="auto"/>
              <w:jc w:val="center"/>
              <w:rPr>
                <w:rFonts w:ascii="Arial" w:hAnsi="Arial" w:cs="Arial" w:eastAsiaTheme="minorEastAsia"/>
                <w:szCs w:val="21"/>
              </w:rPr>
            </w:pPr>
          </w:p>
        </w:tc>
        <w:tc>
          <w:tcPr>
            <w:tcW w:w="2603" w:type="dxa"/>
            <w:shd w:val="clear" w:color="auto" w:fill="auto"/>
            <w:vAlign w:val="center"/>
          </w:tcPr>
          <w:p>
            <w:pPr>
              <w:spacing w:line="360" w:lineRule="auto"/>
              <w:jc w:val="center"/>
              <w:rPr>
                <w:rFonts w:ascii="Arial" w:hAnsi="Arial" w:cs="Arial" w:eastAsiaTheme="minorEastAsia"/>
                <w:szCs w:val="21"/>
              </w:rPr>
            </w:pPr>
            <w:r>
              <w:rPr>
                <w:rFonts w:ascii="Arial" w:cs="Arial" w:hAnsiTheme="minorEastAsia" w:eastAsiaTheme="minorEastAsia"/>
                <w:szCs w:val="21"/>
              </w:rPr>
              <w:t>应急照明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2" w:type="dxa"/>
            <w:vMerge w:val="continue"/>
            <w:shd w:val="clear" w:color="auto" w:fill="auto"/>
            <w:vAlign w:val="center"/>
          </w:tcPr>
          <w:p>
            <w:pPr>
              <w:spacing w:line="360" w:lineRule="auto"/>
              <w:jc w:val="center"/>
              <w:rPr>
                <w:rFonts w:ascii="Arial" w:hAnsi="Arial" w:cs="Arial" w:eastAsiaTheme="minorEastAsia"/>
                <w:szCs w:val="21"/>
              </w:rPr>
            </w:pPr>
          </w:p>
        </w:tc>
        <w:tc>
          <w:tcPr>
            <w:tcW w:w="1843" w:type="dxa"/>
            <w:vMerge w:val="continue"/>
            <w:shd w:val="clear" w:color="auto" w:fill="auto"/>
            <w:vAlign w:val="center"/>
          </w:tcPr>
          <w:p>
            <w:pPr>
              <w:spacing w:line="360" w:lineRule="auto"/>
              <w:jc w:val="center"/>
              <w:rPr>
                <w:rFonts w:ascii="Arial" w:hAnsi="Arial" w:cs="Arial" w:eastAsiaTheme="minorEastAsia"/>
                <w:szCs w:val="21"/>
              </w:rPr>
            </w:pPr>
          </w:p>
        </w:tc>
        <w:tc>
          <w:tcPr>
            <w:tcW w:w="2835" w:type="dxa"/>
            <w:shd w:val="clear" w:color="auto" w:fill="auto"/>
            <w:vAlign w:val="center"/>
          </w:tcPr>
          <w:p>
            <w:pPr>
              <w:spacing w:line="360" w:lineRule="auto"/>
              <w:jc w:val="center"/>
              <w:rPr>
                <w:rFonts w:ascii="Arial" w:hAnsi="Arial" w:cs="Arial" w:eastAsiaTheme="minorEastAsia"/>
                <w:szCs w:val="21"/>
              </w:rPr>
            </w:pPr>
            <w:r>
              <w:rPr>
                <w:rFonts w:ascii="Arial" w:cs="Arial" w:hAnsiTheme="minorEastAsia" w:eastAsiaTheme="minorEastAsia"/>
                <w:szCs w:val="21"/>
              </w:rPr>
              <w:t>室外景观照明</w:t>
            </w:r>
          </w:p>
        </w:tc>
        <w:tc>
          <w:tcPr>
            <w:tcW w:w="2603" w:type="dxa"/>
            <w:shd w:val="clear" w:color="auto" w:fill="auto"/>
            <w:vAlign w:val="center"/>
          </w:tcPr>
          <w:p>
            <w:pPr>
              <w:spacing w:line="360" w:lineRule="auto"/>
              <w:jc w:val="center"/>
              <w:rPr>
                <w:rFonts w:ascii="Arial" w:hAnsi="Arial" w:cs="Arial" w:eastAsiaTheme="minorEastAsia"/>
                <w:szCs w:val="21"/>
              </w:rPr>
            </w:pPr>
            <w:r>
              <w:rPr>
                <w:rFonts w:ascii="Arial" w:hAnsi="Arial" w:cs="Arial" w:eastAsiaTheme="minorEastAsia"/>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2" w:type="dxa"/>
            <w:vMerge w:val="continue"/>
            <w:shd w:val="clear" w:color="auto" w:fill="auto"/>
            <w:vAlign w:val="center"/>
          </w:tcPr>
          <w:p>
            <w:pPr>
              <w:spacing w:line="360" w:lineRule="auto"/>
              <w:jc w:val="center"/>
              <w:rPr>
                <w:rFonts w:ascii="Arial" w:hAnsi="Arial" w:cs="Arial" w:eastAsiaTheme="minorEastAsia"/>
                <w:szCs w:val="21"/>
              </w:rPr>
            </w:pPr>
          </w:p>
        </w:tc>
        <w:tc>
          <w:tcPr>
            <w:tcW w:w="1843" w:type="dxa"/>
            <w:vMerge w:val="restart"/>
            <w:shd w:val="clear" w:color="auto" w:fill="auto"/>
            <w:vAlign w:val="center"/>
          </w:tcPr>
          <w:p>
            <w:pPr>
              <w:spacing w:line="360" w:lineRule="auto"/>
              <w:jc w:val="center"/>
              <w:rPr>
                <w:rFonts w:ascii="Arial" w:hAnsi="Arial" w:cs="Arial" w:eastAsiaTheme="minorEastAsia"/>
                <w:szCs w:val="21"/>
              </w:rPr>
            </w:pPr>
            <w:r>
              <w:rPr>
                <w:rFonts w:ascii="Arial" w:cs="Arial" w:hAnsiTheme="minorEastAsia" w:eastAsiaTheme="minorEastAsia"/>
                <w:szCs w:val="21"/>
              </w:rPr>
              <w:t>空调用电</w:t>
            </w:r>
          </w:p>
        </w:tc>
        <w:tc>
          <w:tcPr>
            <w:tcW w:w="2835" w:type="dxa"/>
            <w:vMerge w:val="restart"/>
            <w:shd w:val="clear" w:color="auto" w:fill="auto"/>
            <w:vAlign w:val="center"/>
          </w:tcPr>
          <w:p>
            <w:pPr>
              <w:spacing w:line="360" w:lineRule="auto"/>
              <w:jc w:val="center"/>
              <w:rPr>
                <w:rFonts w:ascii="Arial" w:hAnsi="Arial" w:cs="Arial" w:eastAsiaTheme="minorEastAsia"/>
                <w:szCs w:val="21"/>
              </w:rPr>
            </w:pPr>
            <w:r>
              <w:rPr>
                <w:rFonts w:ascii="Arial" w:cs="Arial" w:hAnsiTheme="minorEastAsia" w:eastAsiaTheme="minorEastAsia"/>
                <w:szCs w:val="21"/>
              </w:rPr>
              <w:t>冷热站</w:t>
            </w:r>
          </w:p>
        </w:tc>
        <w:tc>
          <w:tcPr>
            <w:tcW w:w="2603" w:type="dxa"/>
            <w:shd w:val="clear" w:color="auto" w:fill="auto"/>
          </w:tcPr>
          <w:p>
            <w:pPr>
              <w:spacing w:line="360" w:lineRule="auto"/>
              <w:jc w:val="center"/>
              <w:rPr>
                <w:rFonts w:ascii="Arial" w:hAnsi="Arial" w:cs="Arial" w:eastAsiaTheme="minorEastAsia"/>
                <w:szCs w:val="21"/>
              </w:rPr>
            </w:pPr>
            <w:r>
              <w:rPr>
                <w:rFonts w:ascii="Arial" w:cs="Arial" w:hAnsiTheme="minorEastAsia" w:eastAsiaTheme="minorEastAsia"/>
                <w:szCs w:val="21"/>
              </w:rPr>
              <w:t>冷水循环泵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1242" w:type="dxa"/>
            <w:vMerge w:val="continue"/>
            <w:shd w:val="clear" w:color="auto" w:fill="auto"/>
            <w:vAlign w:val="center"/>
          </w:tcPr>
          <w:p>
            <w:pPr>
              <w:spacing w:line="360" w:lineRule="auto"/>
              <w:jc w:val="center"/>
              <w:rPr>
                <w:rFonts w:ascii="Arial" w:hAnsi="Arial" w:cs="Arial" w:eastAsiaTheme="minorEastAsia"/>
                <w:szCs w:val="21"/>
              </w:rPr>
            </w:pPr>
          </w:p>
        </w:tc>
        <w:tc>
          <w:tcPr>
            <w:tcW w:w="1843" w:type="dxa"/>
            <w:vMerge w:val="continue"/>
            <w:shd w:val="clear" w:color="auto" w:fill="auto"/>
            <w:vAlign w:val="center"/>
          </w:tcPr>
          <w:p>
            <w:pPr>
              <w:spacing w:line="360" w:lineRule="auto"/>
              <w:jc w:val="center"/>
              <w:rPr>
                <w:rFonts w:ascii="Arial" w:hAnsi="Arial" w:cs="Arial" w:eastAsiaTheme="minorEastAsia"/>
                <w:szCs w:val="21"/>
              </w:rPr>
            </w:pPr>
          </w:p>
        </w:tc>
        <w:tc>
          <w:tcPr>
            <w:tcW w:w="2835" w:type="dxa"/>
            <w:vMerge w:val="continue"/>
            <w:shd w:val="clear" w:color="auto" w:fill="auto"/>
            <w:vAlign w:val="center"/>
          </w:tcPr>
          <w:p>
            <w:pPr>
              <w:spacing w:line="360" w:lineRule="auto"/>
              <w:jc w:val="center"/>
              <w:rPr>
                <w:rFonts w:ascii="Arial" w:hAnsi="Arial" w:cs="Arial" w:eastAsiaTheme="minorEastAsia"/>
                <w:szCs w:val="21"/>
              </w:rPr>
            </w:pPr>
          </w:p>
        </w:tc>
        <w:tc>
          <w:tcPr>
            <w:tcW w:w="2603" w:type="dxa"/>
            <w:shd w:val="clear" w:color="auto" w:fill="auto"/>
          </w:tcPr>
          <w:p>
            <w:pPr>
              <w:spacing w:line="360" w:lineRule="auto"/>
              <w:jc w:val="center"/>
              <w:rPr>
                <w:rFonts w:ascii="Arial" w:hAnsi="Arial" w:cs="Arial" w:eastAsiaTheme="minorEastAsia"/>
                <w:szCs w:val="21"/>
              </w:rPr>
            </w:pPr>
            <w:r>
              <w:rPr>
                <w:rFonts w:ascii="Arial" w:cs="Arial" w:hAnsiTheme="minorEastAsia" w:eastAsiaTheme="minorEastAsia"/>
                <w:szCs w:val="21"/>
              </w:rPr>
              <w:t>冷却水循环泵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2" w:type="dxa"/>
            <w:vMerge w:val="continue"/>
            <w:shd w:val="clear" w:color="auto" w:fill="auto"/>
            <w:vAlign w:val="center"/>
          </w:tcPr>
          <w:p>
            <w:pPr>
              <w:spacing w:line="360" w:lineRule="auto"/>
              <w:jc w:val="center"/>
              <w:rPr>
                <w:rFonts w:ascii="Arial" w:hAnsi="Arial" w:cs="Arial" w:eastAsiaTheme="minorEastAsia"/>
                <w:szCs w:val="21"/>
              </w:rPr>
            </w:pPr>
          </w:p>
        </w:tc>
        <w:tc>
          <w:tcPr>
            <w:tcW w:w="1843" w:type="dxa"/>
            <w:vMerge w:val="continue"/>
            <w:shd w:val="clear" w:color="auto" w:fill="auto"/>
            <w:vAlign w:val="center"/>
          </w:tcPr>
          <w:p>
            <w:pPr>
              <w:spacing w:line="360" w:lineRule="auto"/>
              <w:jc w:val="center"/>
              <w:rPr>
                <w:rFonts w:ascii="Arial" w:hAnsi="Arial" w:cs="Arial" w:eastAsiaTheme="minorEastAsia"/>
                <w:szCs w:val="21"/>
              </w:rPr>
            </w:pPr>
          </w:p>
        </w:tc>
        <w:tc>
          <w:tcPr>
            <w:tcW w:w="2835" w:type="dxa"/>
            <w:vMerge w:val="continue"/>
            <w:shd w:val="clear" w:color="auto" w:fill="auto"/>
            <w:vAlign w:val="center"/>
          </w:tcPr>
          <w:p>
            <w:pPr>
              <w:spacing w:line="360" w:lineRule="auto"/>
              <w:jc w:val="center"/>
              <w:rPr>
                <w:rFonts w:ascii="Arial" w:hAnsi="Arial" w:cs="Arial" w:eastAsiaTheme="minorEastAsia"/>
                <w:szCs w:val="21"/>
              </w:rPr>
            </w:pPr>
          </w:p>
        </w:tc>
        <w:tc>
          <w:tcPr>
            <w:tcW w:w="2603" w:type="dxa"/>
            <w:shd w:val="clear" w:color="auto" w:fill="auto"/>
          </w:tcPr>
          <w:p>
            <w:pPr>
              <w:spacing w:line="360" w:lineRule="auto"/>
              <w:jc w:val="center"/>
              <w:rPr>
                <w:rFonts w:ascii="Arial" w:hAnsi="Arial" w:cs="Arial" w:eastAsiaTheme="minorEastAsia"/>
                <w:szCs w:val="21"/>
              </w:rPr>
            </w:pPr>
            <w:r>
              <w:rPr>
                <w:rFonts w:ascii="Arial" w:cs="Arial" w:hAnsiTheme="minorEastAsia" w:eastAsiaTheme="minorEastAsia"/>
                <w:szCs w:val="21"/>
              </w:rPr>
              <w:t>冷水机组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2" w:type="dxa"/>
            <w:vMerge w:val="continue"/>
            <w:shd w:val="clear" w:color="auto" w:fill="auto"/>
            <w:vAlign w:val="center"/>
          </w:tcPr>
          <w:p>
            <w:pPr>
              <w:spacing w:line="360" w:lineRule="auto"/>
              <w:jc w:val="center"/>
              <w:rPr>
                <w:rFonts w:ascii="Arial" w:hAnsi="Arial" w:cs="Arial" w:eastAsiaTheme="minorEastAsia"/>
                <w:szCs w:val="21"/>
              </w:rPr>
            </w:pPr>
          </w:p>
        </w:tc>
        <w:tc>
          <w:tcPr>
            <w:tcW w:w="1843" w:type="dxa"/>
            <w:vMerge w:val="continue"/>
            <w:shd w:val="clear" w:color="auto" w:fill="auto"/>
            <w:vAlign w:val="center"/>
          </w:tcPr>
          <w:p>
            <w:pPr>
              <w:spacing w:line="360" w:lineRule="auto"/>
              <w:jc w:val="center"/>
              <w:rPr>
                <w:rFonts w:ascii="Arial" w:hAnsi="Arial" w:cs="Arial" w:eastAsiaTheme="minorEastAsia"/>
                <w:szCs w:val="21"/>
              </w:rPr>
            </w:pPr>
          </w:p>
        </w:tc>
        <w:tc>
          <w:tcPr>
            <w:tcW w:w="2835" w:type="dxa"/>
            <w:vMerge w:val="continue"/>
            <w:shd w:val="clear" w:color="auto" w:fill="auto"/>
            <w:vAlign w:val="center"/>
          </w:tcPr>
          <w:p>
            <w:pPr>
              <w:spacing w:line="360" w:lineRule="auto"/>
              <w:jc w:val="center"/>
              <w:rPr>
                <w:rFonts w:ascii="Arial" w:hAnsi="Arial" w:cs="Arial" w:eastAsiaTheme="minorEastAsia"/>
                <w:szCs w:val="21"/>
              </w:rPr>
            </w:pPr>
          </w:p>
        </w:tc>
        <w:tc>
          <w:tcPr>
            <w:tcW w:w="2603" w:type="dxa"/>
            <w:shd w:val="clear" w:color="auto" w:fill="auto"/>
          </w:tcPr>
          <w:p>
            <w:pPr>
              <w:spacing w:line="360" w:lineRule="auto"/>
              <w:jc w:val="center"/>
              <w:rPr>
                <w:rFonts w:ascii="Arial" w:hAnsi="Arial" w:cs="Arial" w:eastAsiaTheme="minorEastAsia"/>
                <w:szCs w:val="21"/>
              </w:rPr>
            </w:pPr>
            <w:r>
              <w:rPr>
                <w:rFonts w:ascii="Arial" w:cs="Arial" w:hAnsiTheme="minorEastAsia" w:eastAsiaTheme="minorEastAsia"/>
                <w:szCs w:val="21"/>
              </w:rPr>
              <w:t>冷却塔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2" w:type="dxa"/>
            <w:vMerge w:val="continue"/>
            <w:shd w:val="clear" w:color="auto" w:fill="auto"/>
            <w:vAlign w:val="center"/>
          </w:tcPr>
          <w:p>
            <w:pPr>
              <w:spacing w:line="360" w:lineRule="auto"/>
              <w:jc w:val="center"/>
              <w:rPr>
                <w:rFonts w:ascii="Arial" w:hAnsi="Arial" w:cs="Arial" w:eastAsiaTheme="minorEastAsia"/>
                <w:szCs w:val="21"/>
              </w:rPr>
            </w:pPr>
          </w:p>
        </w:tc>
        <w:tc>
          <w:tcPr>
            <w:tcW w:w="1843" w:type="dxa"/>
            <w:vMerge w:val="continue"/>
            <w:shd w:val="clear" w:color="auto" w:fill="auto"/>
            <w:vAlign w:val="center"/>
          </w:tcPr>
          <w:p>
            <w:pPr>
              <w:spacing w:line="360" w:lineRule="auto"/>
              <w:jc w:val="center"/>
              <w:rPr>
                <w:rFonts w:ascii="Arial" w:hAnsi="Arial" w:cs="Arial" w:eastAsiaTheme="minorEastAsia"/>
                <w:szCs w:val="21"/>
              </w:rPr>
            </w:pPr>
          </w:p>
        </w:tc>
        <w:tc>
          <w:tcPr>
            <w:tcW w:w="2835" w:type="dxa"/>
            <w:vMerge w:val="continue"/>
            <w:shd w:val="clear" w:color="auto" w:fill="auto"/>
            <w:vAlign w:val="center"/>
          </w:tcPr>
          <w:p>
            <w:pPr>
              <w:spacing w:line="360" w:lineRule="auto"/>
              <w:jc w:val="center"/>
              <w:rPr>
                <w:rFonts w:ascii="Arial" w:hAnsi="Arial" w:cs="Arial" w:eastAsiaTheme="minorEastAsia"/>
                <w:szCs w:val="21"/>
              </w:rPr>
            </w:pPr>
          </w:p>
        </w:tc>
        <w:tc>
          <w:tcPr>
            <w:tcW w:w="2603" w:type="dxa"/>
            <w:shd w:val="clear" w:color="auto" w:fill="auto"/>
          </w:tcPr>
          <w:p>
            <w:pPr>
              <w:spacing w:line="360" w:lineRule="auto"/>
              <w:jc w:val="center"/>
              <w:rPr>
                <w:rFonts w:ascii="Arial" w:hAnsi="Arial" w:cs="Arial" w:eastAsiaTheme="minorEastAsia"/>
                <w:szCs w:val="21"/>
              </w:rPr>
            </w:pPr>
            <w:r>
              <w:rPr>
                <w:rFonts w:ascii="Arial" w:cs="Arial" w:hAnsiTheme="minorEastAsia" w:eastAsiaTheme="minorEastAsia"/>
                <w:szCs w:val="21"/>
              </w:rPr>
              <w:t>热水循环泵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1242" w:type="dxa"/>
            <w:vMerge w:val="continue"/>
            <w:shd w:val="clear" w:color="auto" w:fill="auto"/>
            <w:vAlign w:val="center"/>
          </w:tcPr>
          <w:p>
            <w:pPr>
              <w:spacing w:line="360" w:lineRule="auto"/>
              <w:jc w:val="center"/>
              <w:rPr>
                <w:rFonts w:ascii="Arial" w:hAnsi="Arial" w:cs="Arial" w:eastAsiaTheme="minorEastAsia"/>
                <w:szCs w:val="21"/>
              </w:rPr>
            </w:pPr>
          </w:p>
        </w:tc>
        <w:tc>
          <w:tcPr>
            <w:tcW w:w="1843" w:type="dxa"/>
            <w:vMerge w:val="continue"/>
            <w:shd w:val="clear" w:color="auto" w:fill="auto"/>
            <w:vAlign w:val="center"/>
          </w:tcPr>
          <w:p>
            <w:pPr>
              <w:spacing w:line="360" w:lineRule="auto"/>
              <w:jc w:val="center"/>
              <w:rPr>
                <w:rFonts w:ascii="Arial" w:hAnsi="Arial" w:cs="Arial" w:eastAsiaTheme="minorEastAsia"/>
                <w:szCs w:val="21"/>
              </w:rPr>
            </w:pPr>
          </w:p>
        </w:tc>
        <w:tc>
          <w:tcPr>
            <w:tcW w:w="2835" w:type="dxa"/>
            <w:vMerge w:val="continue"/>
            <w:shd w:val="clear" w:color="auto" w:fill="auto"/>
            <w:vAlign w:val="center"/>
          </w:tcPr>
          <w:p>
            <w:pPr>
              <w:spacing w:line="360" w:lineRule="auto"/>
              <w:jc w:val="center"/>
              <w:rPr>
                <w:rFonts w:ascii="Arial" w:hAnsi="Arial" w:cs="Arial" w:eastAsiaTheme="minorEastAsia"/>
                <w:szCs w:val="21"/>
              </w:rPr>
            </w:pPr>
          </w:p>
        </w:tc>
        <w:tc>
          <w:tcPr>
            <w:tcW w:w="2603" w:type="dxa"/>
            <w:shd w:val="clear" w:color="auto" w:fill="auto"/>
            <w:vAlign w:val="center"/>
          </w:tcPr>
          <w:p>
            <w:pPr>
              <w:spacing w:line="360" w:lineRule="auto"/>
              <w:jc w:val="center"/>
              <w:rPr>
                <w:rFonts w:ascii="Arial" w:hAnsi="Arial" w:cs="Arial" w:eastAsiaTheme="minorEastAsia"/>
                <w:szCs w:val="21"/>
              </w:rPr>
            </w:pPr>
            <w:r>
              <w:rPr>
                <w:rFonts w:ascii="Arial" w:cs="Arial" w:hAnsiTheme="minorEastAsia" w:eastAsiaTheme="minorEastAsia"/>
                <w:szCs w:val="21"/>
              </w:rPr>
              <w:t>锅炉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2" w:type="dxa"/>
            <w:vMerge w:val="continue"/>
            <w:shd w:val="clear" w:color="auto" w:fill="auto"/>
            <w:vAlign w:val="center"/>
          </w:tcPr>
          <w:p>
            <w:pPr>
              <w:spacing w:line="360" w:lineRule="auto"/>
              <w:jc w:val="center"/>
              <w:rPr>
                <w:rFonts w:ascii="Arial" w:hAnsi="Arial" w:cs="Arial" w:eastAsiaTheme="minorEastAsia"/>
                <w:szCs w:val="21"/>
              </w:rPr>
            </w:pPr>
          </w:p>
        </w:tc>
        <w:tc>
          <w:tcPr>
            <w:tcW w:w="1843" w:type="dxa"/>
            <w:vMerge w:val="continue"/>
            <w:shd w:val="clear" w:color="auto" w:fill="auto"/>
            <w:vAlign w:val="center"/>
          </w:tcPr>
          <w:p>
            <w:pPr>
              <w:spacing w:line="360" w:lineRule="auto"/>
              <w:jc w:val="center"/>
              <w:rPr>
                <w:rFonts w:ascii="Arial" w:hAnsi="Arial" w:cs="Arial" w:eastAsiaTheme="minorEastAsia"/>
                <w:szCs w:val="21"/>
              </w:rPr>
            </w:pPr>
          </w:p>
        </w:tc>
        <w:tc>
          <w:tcPr>
            <w:tcW w:w="2835" w:type="dxa"/>
            <w:vMerge w:val="restart"/>
            <w:shd w:val="clear" w:color="auto" w:fill="auto"/>
            <w:vAlign w:val="center"/>
          </w:tcPr>
          <w:p>
            <w:pPr>
              <w:spacing w:line="360" w:lineRule="auto"/>
              <w:jc w:val="center"/>
              <w:rPr>
                <w:rFonts w:ascii="Arial" w:hAnsi="Arial" w:cs="Arial" w:eastAsiaTheme="minorEastAsia"/>
                <w:szCs w:val="21"/>
              </w:rPr>
            </w:pPr>
            <w:r>
              <w:rPr>
                <w:rFonts w:ascii="Arial" w:cs="Arial" w:hAnsiTheme="minorEastAsia" w:eastAsiaTheme="minorEastAsia"/>
                <w:szCs w:val="21"/>
              </w:rPr>
              <w:t>空调末端</w:t>
            </w:r>
          </w:p>
        </w:tc>
        <w:tc>
          <w:tcPr>
            <w:tcW w:w="2603" w:type="dxa"/>
            <w:shd w:val="clear" w:color="auto" w:fill="auto"/>
            <w:vAlign w:val="center"/>
          </w:tcPr>
          <w:p>
            <w:pPr>
              <w:spacing w:line="360" w:lineRule="auto"/>
              <w:jc w:val="center"/>
              <w:rPr>
                <w:rFonts w:ascii="Arial" w:hAnsi="Arial" w:cs="Arial" w:eastAsiaTheme="minorEastAsia"/>
                <w:szCs w:val="21"/>
              </w:rPr>
            </w:pPr>
            <w:r>
              <w:rPr>
                <w:rFonts w:ascii="Arial" w:cs="Arial" w:hAnsiTheme="minorEastAsia" w:eastAsiaTheme="minorEastAsia"/>
                <w:szCs w:val="21"/>
              </w:rPr>
              <w:t>空调箱、新风机组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2" w:type="dxa"/>
            <w:vMerge w:val="continue"/>
            <w:shd w:val="clear" w:color="auto" w:fill="auto"/>
            <w:vAlign w:val="center"/>
          </w:tcPr>
          <w:p>
            <w:pPr>
              <w:spacing w:line="360" w:lineRule="auto"/>
              <w:jc w:val="center"/>
              <w:rPr>
                <w:rFonts w:ascii="Arial" w:hAnsi="Arial" w:cs="Arial" w:eastAsiaTheme="minorEastAsia"/>
                <w:szCs w:val="21"/>
              </w:rPr>
            </w:pPr>
          </w:p>
        </w:tc>
        <w:tc>
          <w:tcPr>
            <w:tcW w:w="1843" w:type="dxa"/>
            <w:vMerge w:val="continue"/>
            <w:shd w:val="clear" w:color="auto" w:fill="auto"/>
            <w:vAlign w:val="center"/>
          </w:tcPr>
          <w:p>
            <w:pPr>
              <w:spacing w:line="360" w:lineRule="auto"/>
              <w:jc w:val="center"/>
              <w:rPr>
                <w:rFonts w:ascii="Arial" w:hAnsi="Arial" w:cs="Arial" w:eastAsiaTheme="minorEastAsia"/>
                <w:szCs w:val="21"/>
              </w:rPr>
            </w:pPr>
          </w:p>
        </w:tc>
        <w:tc>
          <w:tcPr>
            <w:tcW w:w="2835" w:type="dxa"/>
            <w:vMerge w:val="continue"/>
            <w:shd w:val="clear" w:color="auto" w:fill="auto"/>
            <w:vAlign w:val="center"/>
          </w:tcPr>
          <w:p>
            <w:pPr>
              <w:spacing w:line="360" w:lineRule="auto"/>
              <w:jc w:val="center"/>
              <w:rPr>
                <w:rFonts w:ascii="Arial" w:hAnsi="Arial" w:cs="Arial" w:eastAsiaTheme="minorEastAsia"/>
                <w:szCs w:val="21"/>
              </w:rPr>
            </w:pPr>
          </w:p>
        </w:tc>
        <w:tc>
          <w:tcPr>
            <w:tcW w:w="2603" w:type="dxa"/>
            <w:shd w:val="clear" w:color="auto" w:fill="auto"/>
            <w:vAlign w:val="center"/>
          </w:tcPr>
          <w:p>
            <w:pPr>
              <w:spacing w:line="360" w:lineRule="auto"/>
              <w:jc w:val="center"/>
              <w:rPr>
                <w:rFonts w:ascii="Arial" w:hAnsi="Arial" w:cs="Arial" w:eastAsiaTheme="minorEastAsia"/>
                <w:szCs w:val="21"/>
              </w:rPr>
            </w:pPr>
            <w:r>
              <w:rPr>
                <w:rFonts w:ascii="Arial" w:cs="Arial" w:hAnsiTheme="minorEastAsia" w:eastAsiaTheme="minorEastAsia"/>
                <w:szCs w:val="21"/>
              </w:rPr>
              <w:t>风机盘管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2" w:type="dxa"/>
            <w:vMerge w:val="continue"/>
            <w:shd w:val="clear" w:color="auto" w:fill="auto"/>
            <w:vAlign w:val="center"/>
          </w:tcPr>
          <w:p>
            <w:pPr>
              <w:spacing w:line="360" w:lineRule="auto"/>
              <w:jc w:val="center"/>
              <w:rPr>
                <w:rFonts w:ascii="Arial" w:hAnsi="Arial" w:cs="Arial" w:eastAsiaTheme="minorEastAsia"/>
                <w:szCs w:val="21"/>
              </w:rPr>
            </w:pPr>
          </w:p>
        </w:tc>
        <w:tc>
          <w:tcPr>
            <w:tcW w:w="1843" w:type="dxa"/>
            <w:vMerge w:val="continue"/>
            <w:shd w:val="clear" w:color="auto" w:fill="auto"/>
            <w:vAlign w:val="center"/>
          </w:tcPr>
          <w:p>
            <w:pPr>
              <w:spacing w:line="360" w:lineRule="auto"/>
              <w:jc w:val="center"/>
              <w:rPr>
                <w:rFonts w:ascii="Arial" w:hAnsi="Arial" w:cs="Arial" w:eastAsiaTheme="minorEastAsia"/>
                <w:szCs w:val="21"/>
              </w:rPr>
            </w:pPr>
          </w:p>
        </w:tc>
        <w:tc>
          <w:tcPr>
            <w:tcW w:w="2835" w:type="dxa"/>
            <w:vMerge w:val="continue"/>
            <w:shd w:val="clear" w:color="auto" w:fill="auto"/>
            <w:vAlign w:val="center"/>
          </w:tcPr>
          <w:p>
            <w:pPr>
              <w:spacing w:line="360" w:lineRule="auto"/>
              <w:jc w:val="center"/>
              <w:rPr>
                <w:rFonts w:ascii="Arial" w:hAnsi="Arial" w:cs="Arial" w:eastAsiaTheme="minorEastAsia"/>
                <w:szCs w:val="21"/>
              </w:rPr>
            </w:pPr>
          </w:p>
        </w:tc>
        <w:tc>
          <w:tcPr>
            <w:tcW w:w="2603" w:type="dxa"/>
            <w:shd w:val="clear" w:color="auto" w:fill="auto"/>
          </w:tcPr>
          <w:p>
            <w:pPr>
              <w:spacing w:line="360" w:lineRule="auto"/>
              <w:jc w:val="center"/>
              <w:rPr>
                <w:rFonts w:ascii="Arial" w:hAnsi="Arial" w:cs="Arial" w:eastAsiaTheme="minorEastAsia"/>
                <w:szCs w:val="21"/>
              </w:rPr>
            </w:pPr>
            <w:r>
              <w:rPr>
                <w:rFonts w:ascii="Arial" w:cs="Arial" w:hAnsiTheme="minorEastAsia" w:eastAsiaTheme="minorEastAsia"/>
                <w:szCs w:val="21"/>
              </w:rPr>
              <w:t>空调区域的通排风设备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1242" w:type="dxa"/>
            <w:vMerge w:val="continue"/>
            <w:shd w:val="clear" w:color="auto" w:fill="auto"/>
            <w:vAlign w:val="center"/>
          </w:tcPr>
          <w:p>
            <w:pPr>
              <w:spacing w:line="360" w:lineRule="auto"/>
              <w:jc w:val="center"/>
              <w:rPr>
                <w:rFonts w:ascii="Arial" w:hAnsi="Arial" w:cs="Arial" w:eastAsiaTheme="minorEastAsia"/>
                <w:szCs w:val="21"/>
              </w:rPr>
            </w:pPr>
          </w:p>
        </w:tc>
        <w:tc>
          <w:tcPr>
            <w:tcW w:w="1843" w:type="dxa"/>
            <w:vMerge w:val="continue"/>
            <w:shd w:val="clear" w:color="auto" w:fill="auto"/>
            <w:vAlign w:val="center"/>
          </w:tcPr>
          <w:p>
            <w:pPr>
              <w:spacing w:line="360" w:lineRule="auto"/>
              <w:jc w:val="center"/>
              <w:rPr>
                <w:rFonts w:ascii="Arial" w:hAnsi="Arial" w:cs="Arial" w:eastAsiaTheme="minorEastAsia"/>
                <w:szCs w:val="21"/>
              </w:rPr>
            </w:pPr>
          </w:p>
        </w:tc>
        <w:tc>
          <w:tcPr>
            <w:tcW w:w="2835" w:type="dxa"/>
            <w:vMerge w:val="continue"/>
            <w:shd w:val="clear" w:color="auto" w:fill="auto"/>
            <w:vAlign w:val="center"/>
          </w:tcPr>
          <w:p>
            <w:pPr>
              <w:spacing w:line="360" w:lineRule="auto"/>
              <w:jc w:val="center"/>
              <w:rPr>
                <w:rFonts w:ascii="Arial" w:hAnsi="Arial" w:cs="Arial" w:eastAsiaTheme="minorEastAsia"/>
                <w:szCs w:val="21"/>
              </w:rPr>
            </w:pPr>
          </w:p>
        </w:tc>
        <w:tc>
          <w:tcPr>
            <w:tcW w:w="2603" w:type="dxa"/>
            <w:shd w:val="clear" w:color="auto" w:fill="auto"/>
          </w:tcPr>
          <w:p>
            <w:pPr>
              <w:spacing w:line="360" w:lineRule="auto"/>
              <w:jc w:val="center"/>
              <w:rPr>
                <w:rFonts w:ascii="Arial" w:hAnsi="Arial" w:cs="Arial" w:eastAsiaTheme="minorEastAsia"/>
                <w:szCs w:val="21"/>
              </w:rPr>
            </w:pPr>
            <w:r>
              <w:rPr>
                <w:rFonts w:ascii="Arial" w:cs="Arial" w:hAnsiTheme="minorEastAsia" w:eastAsiaTheme="minorEastAsia"/>
                <w:szCs w:val="21"/>
              </w:rPr>
              <w:t>多联机／分体式空调器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2" w:type="dxa"/>
            <w:vMerge w:val="continue"/>
            <w:shd w:val="clear" w:color="auto" w:fill="auto"/>
            <w:vAlign w:val="center"/>
          </w:tcPr>
          <w:p>
            <w:pPr>
              <w:spacing w:line="360" w:lineRule="auto"/>
              <w:jc w:val="center"/>
              <w:rPr>
                <w:rFonts w:ascii="Arial" w:hAnsi="Arial" w:cs="Arial" w:eastAsiaTheme="minorEastAsia"/>
                <w:szCs w:val="21"/>
              </w:rPr>
            </w:pPr>
          </w:p>
        </w:tc>
        <w:tc>
          <w:tcPr>
            <w:tcW w:w="1843" w:type="dxa"/>
            <w:vMerge w:val="restart"/>
            <w:shd w:val="clear" w:color="auto" w:fill="auto"/>
            <w:vAlign w:val="center"/>
          </w:tcPr>
          <w:p>
            <w:pPr>
              <w:spacing w:line="360" w:lineRule="auto"/>
              <w:jc w:val="center"/>
              <w:rPr>
                <w:rFonts w:ascii="Arial" w:hAnsi="Arial" w:cs="Arial" w:eastAsiaTheme="minorEastAsia"/>
                <w:szCs w:val="21"/>
              </w:rPr>
            </w:pPr>
            <w:r>
              <w:rPr>
                <w:rFonts w:ascii="Arial" w:cs="Arial" w:hAnsiTheme="minorEastAsia" w:eastAsiaTheme="minorEastAsia"/>
                <w:szCs w:val="21"/>
              </w:rPr>
              <w:t>动力用电</w:t>
            </w:r>
          </w:p>
        </w:tc>
        <w:tc>
          <w:tcPr>
            <w:tcW w:w="2835" w:type="dxa"/>
            <w:shd w:val="clear" w:color="auto" w:fill="auto"/>
            <w:vAlign w:val="center"/>
          </w:tcPr>
          <w:p>
            <w:pPr>
              <w:spacing w:line="360" w:lineRule="auto"/>
              <w:jc w:val="center"/>
              <w:rPr>
                <w:rFonts w:ascii="Arial" w:hAnsi="Arial" w:cs="Arial" w:eastAsiaTheme="minorEastAsia"/>
                <w:szCs w:val="21"/>
              </w:rPr>
            </w:pPr>
            <w:r>
              <w:rPr>
                <w:rFonts w:ascii="Arial" w:cs="Arial" w:hAnsiTheme="minorEastAsia" w:eastAsiaTheme="minorEastAsia"/>
                <w:szCs w:val="21"/>
              </w:rPr>
              <w:t>电梯</w:t>
            </w:r>
          </w:p>
        </w:tc>
        <w:tc>
          <w:tcPr>
            <w:tcW w:w="2603" w:type="dxa"/>
            <w:shd w:val="clear" w:color="auto" w:fill="auto"/>
          </w:tcPr>
          <w:p>
            <w:pPr>
              <w:spacing w:line="360" w:lineRule="auto"/>
              <w:jc w:val="center"/>
              <w:rPr>
                <w:rFonts w:ascii="Arial" w:hAnsi="Arial" w:cs="Arial" w:eastAsiaTheme="minorEastAsia"/>
                <w:szCs w:val="21"/>
              </w:rPr>
            </w:pPr>
            <w:r>
              <w:rPr>
                <w:rFonts w:ascii="Arial" w:hAnsi="Arial" w:cs="Arial" w:eastAsiaTheme="minorEastAsia"/>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2" w:type="dxa"/>
            <w:vMerge w:val="continue"/>
            <w:shd w:val="clear" w:color="auto" w:fill="auto"/>
            <w:vAlign w:val="center"/>
          </w:tcPr>
          <w:p>
            <w:pPr>
              <w:spacing w:line="360" w:lineRule="auto"/>
              <w:jc w:val="center"/>
              <w:rPr>
                <w:rFonts w:ascii="Arial" w:hAnsi="Arial" w:cs="Arial" w:eastAsiaTheme="minorEastAsia"/>
                <w:szCs w:val="21"/>
              </w:rPr>
            </w:pPr>
          </w:p>
        </w:tc>
        <w:tc>
          <w:tcPr>
            <w:tcW w:w="1843" w:type="dxa"/>
            <w:vMerge w:val="continue"/>
            <w:shd w:val="clear" w:color="auto" w:fill="auto"/>
            <w:vAlign w:val="center"/>
          </w:tcPr>
          <w:p>
            <w:pPr>
              <w:spacing w:line="360" w:lineRule="auto"/>
              <w:jc w:val="center"/>
              <w:rPr>
                <w:rFonts w:ascii="Arial" w:hAnsi="Arial" w:cs="Arial" w:eastAsiaTheme="minorEastAsia"/>
                <w:szCs w:val="21"/>
              </w:rPr>
            </w:pPr>
          </w:p>
        </w:tc>
        <w:tc>
          <w:tcPr>
            <w:tcW w:w="2835" w:type="dxa"/>
            <w:shd w:val="clear" w:color="auto" w:fill="auto"/>
            <w:vAlign w:val="center"/>
          </w:tcPr>
          <w:p>
            <w:pPr>
              <w:spacing w:line="360" w:lineRule="auto"/>
              <w:jc w:val="center"/>
              <w:rPr>
                <w:rFonts w:ascii="Arial" w:hAnsi="Arial" w:cs="Arial" w:eastAsiaTheme="minorEastAsia"/>
                <w:szCs w:val="21"/>
              </w:rPr>
            </w:pPr>
            <w:r>
              <w:rPr>
                <w:rFonts w:ascii="Arial" w:cs="Arial" w:hAnsiTheme="minorEastAsia" w:eastAsiaTheme="minorEastAsia"/>
                <w:szCs w:val="21"/>
              </w:rPr>
              <w:t>水泵</w:t>
            </w:r>
          </w:p>
        </w:tc>
        <w:tc>
          <w:tcPr>
            <w:tcW w:w="2603" w:type="dxa"/>
            <w:shd w:val="clear" w:color="auto" w:fill="auto"/>
          </w:tcPr>
          <w:p>
            <w:pPr>
              <w:spacing w:line="360" w:lineRule="auto"/>
              <w:jc w:val="center"/>
              <w:rPr>
                <w:rFonts w:ascii="Arial" w:hAnsi="Arial" w:cs="Arial" w:eastAsiaTheme="minorEastAsia"/>
                <w:szCs w:val="21"/>
              </w:rPr>
            </w:pPr>
            <w:r>
              <w:rPr>
                <w:rFonts w:ascii="Arial" w:hAnsi="Arial" w:cs="Arial" w:eastAsiaTheme="minorEastAsia"/>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2" w:type="dxa"/>
            <w:vMerge w:val="continue"/>
            <w:shd w:val="clear" w:color="auto" w:fill="auto"/>
            <w:vAlign w:val="center"/>
          </w:tcPr>
          <w:p>
            <w:pPr>
              <w:spacing w:line="360" w:lineRule="auto"/>
              <w:jc w:val="center"/>
              <w:rPr>
                <w:rFonts w:ascii="Arial" w:hAnsi="Arial" w:cs="Arial" w:eastAsiaTheme="minorEastAsia"/>
                <w:szCs w:val="21"/>
              </w:rPr>
            </w:pPr>
          </w:p>
        </w:tc>
        <w:tc>
          <w:tcPr>
            <w:tcW w:w="1843" w:type="dxa"/>
            <w:vMerge w:val="continue"/>
            <w:shd w:val="clear" w:color="auto" w:fill="auto"/>
            <w:vAlign w:val="center"/>
          </w:tcPr>
          <w:p>
            <w:pPr>
              <w:spacing w:line="360" w:lineRule="auto"/>
              <w:jc w:val="center"/>
              <w:rPr>
                <w:rFonts w:ascii="Arial" w:hAnsi="Arial" w:cs="Arial" w:eastAsiaTheme="minorEastAsia"/>
                <w:szCs w:val="21"/>
              </w:rPr>
            </w:pPr>
          </w:p>
        </w:tc>
        <w:tc>
          <w:tcPr>
            <w:tcW w:w="2835" w:type="dxa"/>
            <w:shd w:val="clear" w:color="auto" w:fill="auto"/>
            <w:vAlign w:val="center"/>
          </w:tcPr>
          <w:p>
            <w:pPr>
              <w:spacing w:line="360" w:lineRule="auto"/>
              <w:jc w:val="center"/>
              <w:rPr>
                <w:rFonts w:ascii="Arial" w:hAnsi="Arial" w:cs="Arial" w:eastAsiaTheme="minorEastAsia"/>
                <w:szCs w:val="21"/>
              </w:rPr>
            </w:pPr>
            <w:r>
              <w:rPr>
                <w:rFonts w:ascii="Arial" w:cs="Arial" w:hAnsiTheme="minorEastAsia" w:eastAsiaTheme="minorEastAsia"/>
                <w:szCs w:val="21"/>
              </w:rPr>
              <w:t>非空调区域通排风设备</w:t>
            </w:r>
          </w:p>
        </w:tc>
        <w:tc>
          <w:tcPr>
            <w:tcW w:w="2603" w:type="dxa"/>
            <w:shd w:val="clear" w:color="auto" w:fill="auto"/>
          </w:tcPr>
          <w:p>
            <w:pPr>
              <w:spacing w:line="360" w:lineRule="auto"/>
              <w:jc w:val="center"/>
              <w:rPr>
                <w:rFonts w:ascii="Arial" w:hAnsi="Arial" w:cs="Arial" w:eastAsiaTheme="minorEastAsia"/>
                <w:szCs w:val="21"/>
              </w:rPr>
            </w:pPr>
            <w:r>
              <w:rPr>
                <w:rFonts w:ascii="Arial" w:hAnsi="Arial" w:cs="Arial" w:eastAsiaTheme="minorEastAsia"/>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1242" w:type="dxa"/>
            <w:vMerge w:val="continue"/>
            <w:shd w:val="clear" w:color="auto" w:fill="auto"/>
            <w:vAlign w:val="center"/>
          </w:tcPr>
          <w:p>
            <w:pPr>
              <w:spacing w:line="360" w:lineRule="auto"/>
              <w:jc w:val="center"/>
              <w:rPr>
                <w:rFonts w:ascii="Arial" w:hAnsi="Arial" w:cs="Arial" w:eastAsiaTheme="minorEastAsia"/>
                <w:szCs w:val="21"/>
              </w:rPr>
            </w:pPr>
          </w:p>
        </w:tc>
        <w:tc>
          <w:tcPr>
            <w:tcW w:w="1843" w:type="dxa"/>
            <w:vMerge w:val="continue"/>
            <w:shd w:val="clear" w:color="auto" w:fill="auto"/>
            <w:vAlign w:val="center"/>
          </w:tcPr>
          <w:p>
            <w:pPr>
              <w:spacing w:line="360" w:lineRule="auto"/>
              <w:jc w:val="center"/>
              <w:rPr>
                <w:rFonts w:ascii="Arial" w:hAnsi="Arial" w:cs="Arial" w:eastAsiaTheme="minorEastAsia"/>
                <w:szCs w:val="21"/>
              </w:rPr>
            </w:pPr>
          </w:p>
        </w:tc>
        <w:tc>
          <w:tcPr>
            <w:tcW w:w="2835" w:type="dxa"/>
            <w:shd w:val="clear" w:color="auto" w:fill="auto"/>
            <w:vAlign w:val="center"/>
          </w:tcPr>
          <w:p>
            <w:pPr>
              <w:spacing w:line="360" w:lineRule="auto"/>
              <w:jc w:val="center"/>
              <w:rPr>
                <w:rFonts w:ascii="Arial" w:hAnsi="Arial" w:cs="Arial" w:eastAsiaTheme="minorEastAsia"/>
                <w:szCs w:val="21"/>
              </w:rPr>
            </w:pPr>
            <w:r>
              <w:rPr>
                <w:rFonts w:ascii="Arial" w:cs="Arial" w:hAnsiTheme="minorEastAsia" w:eastAsiaTheme="minorEastAsia"/>
                <w:szCs w:val="21"/>
              </w:rPr>
              <w:t>开水器</w:t>
            </w:r>
          </w:p>
        </w:tc>
        <w:tc>
          <w:tcPr>
            <w:tcW w:w="2603" w:type="dxa"/>
            <w:shd w:val="clear" w:color="auto" w:fill="auto"/>
          </w:tcPr>
          <w:p>
            <w:pPr>
              <w:spacing w:line="360" w:lineRule="auto"/>
              <w:jc w:val="center"/>
              <w:rPr>
                <w:rFonts w:ascii="Arial" w:hAnsi="Arial" w:cs="Arial" w:eastAsiaTheme="minorEastAsia"/>
                <w:szCs w:val="21"/>
              </w:rPr>
            </w:pPr>
            <w:r>
              <w:rPr>
                <w:rFonts w:ascii="Arial" w:hAnsi="Arial" w:cs="Arial" w:eastAsiaTheme="minorEastAsia"/>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2" w:type="dxa"/>
            <w:vMerge w:val="continue"/>
            <w:shd w:val="clear" w:color="auto" w:fill="auto"/>
            <w:vAlign w:val="center"/>
          </w:tcPr>
          <w:p>
            <w:pPr>
              <w:spacing w:line="360" w:lineRule="auto"/>
              <w:jc w:val="center"/>
              <w:rPr>
                <w:rFonts w:ascii="Arial" w:hAnsi="Arial" w:cs="Arial" w:eastAsiaTheme="minorEastAsia"/>
                <w:szCs w:val="21"/>
              </w:rPr>
            </w:pPr>
          </w:p>
        </w:tc>
        <w:tc>
          <w:tcPr>
            <w:tcW w:w="1843" w:type="dxa"/>
            <w:vMerge w:val="continue"/>
            <w:shd w:val="clear" w:color="auto" w:fill="auto"/>
            <w:vAlign w:val="center"/>
          </w:tcPr>
          <w:p>
            <w:pPr>
              <w:spacing w:line="360" w:lineRule="auto"/>
              <w:jc w:val="center"/>
              <w:rPr>
                <w:rFonts w:ascii="Arial" w:hAnsi="Arial" w:cs="Arial" w:eastAsiaTheme="minorEastAsia"/>
                <w:szCs w:val="21"/>
              </w:rPr>
            </w:pPr>
          </w:p>
        </w:tc>
        <w:tc>
          <w:tcPr>
            <w:tcW w:w="2835" w:type="dxa"/>
            <w:shd w:val="clear" w:color="auto" w:fill="auto"/>
            <w:vAlign w:val="center"/>
          </w:tcPr>
          <w:p>
            <w:pPr>
              <w:spacing w:line="360" w:lineRule="auto"/>
              <w:jc w:val="center"/>
              <w:rPr>
                <w:rFonts w:ascii="Arial" w:hAnsi="Arial" w:cs="Arial" w:eastAsiaTheme="minorEastAsia"/>
                <w:szCs w:val="21"/>
              </w:rPr>
            </w:pPr>
            <w:r>
              <w:rPr>
                <w:rFonts w:ascii="Arial" w:cs="Arial" w:hAnsiTheme="minorEastAsia" w:eastAsiaTheme="minorEastAsia"/>
                <w:szCs w:val="21"/>
              </w:rPr>
              <w:t>空气能热水器</w:t>
            </w:r>
          </w:p>
        </w:tc>
        <w:tc>
          <w:tcPr>
            <w:tcW w:w="2603" w:type="dxa"/>
            <w:shd w:val="clear" w:color="auto" w:fill="auto"/>
          </w:tcPr>
          <w:p>
            <w:pPr>
              <w:spacing w:line="360" w:lineRule="auto"/>
              <w:jc w:val="center"/>
              <w:rPr>
                <w:rFonts w:ascii="Arial" w:hAnsi="Arial" w:cs="Arial" w:eastAsiaTheme="minorEastAsia"/>
                <w:szCs w:val="21"/>
              </w:rPr>
            </w:pPr>
            <w:r>
              <w:rPr>
                <w:rFonts w:ascii="Arial" w:hAnsi="Arial" w:cs="Arial" w:eastAsiaTheme="minorEastAsia"/>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2" w:type="dxa"/>
            <w:vMerge w:val="restart"/>
            <w:shd w:val="clear" w:color="auto" w:fill="auto"/>
            <w:vAlign w:val="center"/>
          </w:tcPr>
          <w:p>
            <w:pPr>
              <w:spacing w:line="360" w:lineRule="auto"/>
              <w:jc w:val="center"/>
              <w:rPr>
                <w:rFonts w:ascii="Arial" w:hAnsi="Arial" w:cs="Arial" w:eastAsiaTheme="minorEastAsia"/>
                <w:szCs w:val="21"/>
              </w:rPr>
            </w:pPr>
            <w:r>
              <w:rPr>
                <w:rFonts w:ascii="Arial" w:cs="Arial" w:hAnsiTheme="minorEastAsia" w:eastAsiaTheme="minorEastAsia"/>
                <w:szCs w:val="21"/>
              </w:rPr>
              <w:t>特殊用电</w:t>
            </w:r>
          </w:p>
        </w:tc>
        <w:tc>
          <w:tcPr>
            <w:tcW w:w="1843" w:type="dxa"/>
            <w:vMerge w:val="restart"/>
            <w:shd w:val="clear" w:color="auto" w:fill="auto"/>
            <w:vAlign w:val="center"/>
          </w:tcPr>
          <w:p>
            <w:pPr>
              <w:spacing w:line="360" w:lineRule="auto"/>
              <w:jc w:val="center"/>
              <w:rPr>
                <w:rFonts w:ascii="Arial" w:hAnsi="Arial" w:cs="Arial" w:eastAsiaTheme="minorEastAsia"/>
                <w:szCs w:val="21"/>
              </w:rPr>
            </w:pPr>
            <w:r>
              <w:rPr>
                <w:rFonts w:ascii="Arial" w:cs="Arial" w:hAnsiTheme="minorEastAsia" w:eastAsiaTheme="minorEastAsia"/>
                <w:szCs w:val="21"/>
              </w:rPr>
              <w:t>特殊用电</w:t>
            </w:r>
          </w:p>
        </w:tc>
        <w:tc>
          <w:tcPr>
            <w:tcW w:w="2835" w:type="dxa"/>
            <w:shd w:val="clear" w:color="auto" w:fill="auto"/>
          </w:tcPr>
          <w:p>
            <w:pPr>
              <w:spacing w:line="360" w:lineRule="auto"/>
              <w:jc w:val="center"/>
              <w:rPr>
                <w:rFonts w:ascii="Arial" w:hAnsi="Arial" w:cs="Arial" w:eastAsiaTheme="minorEastAsia"/>
                <w:szCs w:val="21"/>
              </w:rPr>
            </w:pPr>
            <w:r>
              <w:rPr>
                <w:rFonts w:ascii="Arial" w:cs="Arial" w:hAnsiTheme="minorEastAsia" w:eastAsiaTheme="minorEastAsia"/>
                <w:szCs w:val="21"/>
              </w:rPr>
              <w:t>电子信息系统机房</w:t>
            </w:r>
          </w:p>
        </w:tc>
        <w:tc>
          <w:tcPr>
            <w:tcW w:w="2603" w:type="dxa"/>
            <w:shd w:val="clear" w:color="auto" w:fill="auto"/>
          </w:tcPr>
          <w:p>
            <w:pPr>
              <w:spacing w:line="360" w:lineRule="auto"/>
              <w:jc w:val="center"/>
              <w:rPr>
                <w:rFonts w:ascii="Arial" w:hAnsi="Arial" w:cs="Arial" w:eastAsiaTheme="minorEastAsia"/>
                <w:szCs w:val="21"/>
              </w:rPr>
            </w:pPr>
            <w:r>
              <w:rPr>
                <w:rFonts w:ascii="Arial" w:hAnsi="Arial" w:cs="Arial" w:eastAsiaTheme="minorEastAsia"/>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2" w:type="dxa"/>
            <w:vMerge w:val="continue"/>
            <w:shd w:val="clear" w:color="auto" w:fill="auto"/>
            <w:vAlign w:val="center"/>
          </w:tcPr>
          <w:p>
            <w:pPr>
              <w:spacing w:line="360" w:lineRule="auto"/>
              <w:jc w:val="center"/>
              <w:rPr>
                <w:rFonts w:ascii="Arial" w:hAnsi="Arial" w:cs="Arial" w:eastAsiaTheme="minorEastAsia"/>
                <w:szCs w:val="21"/>
              </w:rPr>
            </w:pPr>
          </w:p>
        </w:tc>
        <w:tc>
          <w:tcPr>
            <w:tcW w:w="1843" w:type="dxa"/>
            <w:vMerge w:val="continue"/>
            <w:shd w:val="clear" w:color="auto" w:fill="auto"/>
            <w:vAlign w:val="center"/>
          </w:tcPr>
          <w:p>
            <w:pPr>
              <w:spacing w:line="360" w:lineRule="auto"/>
              <w:jc w:val="center"/>
              <w:rPr>
                <w:rFonts w:ascii="Arial" w:hAnsi="Arial" w:cs="Arial" w:eastAsiaTheme="minorEastAsia"/>
                <w:szCs w:val="21"/>
              </w:rPr>
            </w:pPr>
          </w:p>
        </w:tc>
        <w:tc>
          <w:tcPr>
            <w:tcW w:w="2835" w:type="dxa"/>
            <w:shd w:val="clear" w:color="auto" w:fill="auto"/>
          </w:tcPr>
          <w:p>
            <w:pPr>
              <w:spacing w:line="360" w:lineRule="auto"/>
              <w:jc w:val="center"/>
              <w:rPr>
                <w:rFonts w:ascii="Arial" w:hAnsi="Arial" w:cs="Arial" w:eastAsiaTheme="minorEastAsia"/>
                <w:szCs w:val="21"/>
              </w:rPr>
            </w:pPr>
            <w:r>
              <w:rPr>
                <w:rFonts w:ascii="Arial" w:cs="Arial" w:hAnsiTheme="minorEastAsia" w:eastAsiaTheme="minorEastAsia"/>
                <w:szCs w:val="21"/>
              </w:rPr>
              <w:t>厨房、餐厅</w:t>
            </w:r>
          </w:p>
        </w:tc>
        <w:tc>
          <w:tcPr>
            <w:tcW w:w="2603" w:type="dxa"/>
            <w:shd w:val="clear" w:color="auto" w:fill="auto"/>
          </w:tcPr>
          <w:p>
            <w:pPr>
              <w:spacing w:line="360" w:lineRule="auto"/>
              <w:jc w:val="center"/>
              <w:rPr>
                <w:rFonts w:ascii="Arial" w:hAnsi="Arial" w:cs="Arial" w:eastAsiaTheme="minorEastAsia"/>
                <w:szCs w:val="21"/>
              </w:rPr>
            </w:pPr>
            <w:r>
              <w:rPr>
                <w:rFonts w:ascii="Arial" w:hAnsi="Arial" w:cs="Arial" w:eastAsiaTheme="minorEastAsia"/>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1242" w:type="dxa"/>
            <w:vMerge w:val="continue"/>
            <w:shd w:val="clear" w:color="auto" w:fill="auto"/>
            <w:vAlign w:val="center"/>
          </w:tcPr>
          <w:p>
            <w:pPr>
              <w:spacing w:line="360" w:lineRule="auto"/>
              <w:jc w:val="center"/>
              <w:rPr>
                <w:rFonts w:ascii="Arial" w:hAnsi="Arial" w:cs="Arial" w:eastAsiaTheme="minorEastAsia"/>
                <w:szCs w:val="21"/>
              </w:rPr>
            </w:pPr>
          </w:p>
        </w:tc>
        <w:tc>
          <w:tcPr>
            <w:tcW w:w="1843" w:type="dxa"/>
            <w:vMerge w:val="continue"/>
            <w:shd w:val="clear" w:color="auto" w:fill="auto"/>
            <w:vAlign w:val="center"/>
          </w:tcPr>
          <w:p>
            <w:pPr>
              <w:spacing w:line="360" w:lineRule="auto"/>
              <w:jc w:val="center"/>
              <w:rPr>
                <w:rFonts w:ascii="Arial" w:hAnsi="Arial" w:cs="Arial" w:eastAsiaTheme="minorEastAsia"/>
                <w:szCs w:val="21"/>
              </w:rPr>
            </w:pPr>
          </w:p>
        </w:tc>
        <w:tc>
          <w:tcPr>
            <w:tcW w:w="2835" w:type="dxa"/>
            <w:shd w:val="clear" w:color="auto" w:fill="auto"/>
          </w:tcPr>
          <w:p>
            <w:pPr>
              <w:spacing w:line="360" w:lineRule="auto"/>
              <w:jc w:val="center"/>
              <w:rPr>
                <w:rFonts w:ascii="Arial" w:hAnsi="Arial" w:cs="Arial" w:eastAsiaTheme="minorEastAsia"/>
                <w:szCs w:val="21"/>
              </w:rPr>
            </w:pPr>
            <w:r>
              <w:rPr>
                <w:rFonts w:ascii="Arial" w:cs="Arial" w:hAnsiTheme="minorEastAsia" w:eastAsiaTheme="minorEastAsia"/>
                <w:szCs w:val="21"/>
              </w:rPr>
              <w:t>洗衣房</w:t>
            </w:r>
          </w:p>
        </w:tc>
        <w:tc>
          <w:tcPr>
            <w:tcW w:w="2603" w:type="dxa"/>
            <w:shd w:val="clear" w:color="auto" w:fill="auto"/>
          </w:tcPr>
          <w:p>
            <w:pPr>
              <w:spacing w:line="360" w:lineRule="auto"/>
              <w:jc w:val="center"/>
              <w:rPr>
                <w:rFonts w:ascii="Arial" w:hAnsi="Arial" w:cs="Arial" w:eastAsiaTheme="minorEastAsia"/>
                <w:szCs w:val="21"/>
              </w:rPr>
            </w:pPr>
            <w:r>
              <w:rPr>
                <w:rFonts w:ascii="Arial" w:hAnsi="Arial" w:cs="Arial" w:eastAsiaTheme="minorEastAsia"/>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2" w:type="dxa"/>
            <w:vMerge w:val="continue"/>
            <w:shd w:val="clear" w:color="auto" w:fill="auto"/>
            <w:vAlign w:val="center"/>
          </w:tcPr>
          <w:p>
            <w:pPr>
              <w:spacing w:line="360" w:lineRule="auto"/>
              <w:jc w:val="center"/>
              <w:rPr>
                <w:rFonts w:ascii="Arial" w:hAnsi="Arial" w:cs="Arial" w:eastAsiaTheme="minorEastAsia"/>
                <w:szCs w:val="21"/>
              </w:rPr>
            </w:pPr>
          </w:p>
        </w:tc>
        <w:tc>
          <w:tcPr>
            <w:tcW w:w="1843" w:type="dxa"/>
            <w:vMerge w:val="continue"/>
            <w:shd w:val="clear" w:color="auto" w:fill="auto"/>
            <w:vAlign w:val="center"/>
          </w:tcPr>
          <w:p>
            <w:pPr>
              <w:spacing w:line="360" w:lineRule="auto"/>
              <w:jc w:val="center"/>
              <w:rPr>
                <w:rFonts w:ascii="Arial" w:hAnsi="Arial" w:cs="Arial" w:eastAsiaTheme="minorEastAsia"/>
                <w:szCs w:val="21"/>
              </w:rPr>
            </w:pPr>
          </w:p>
        </w:tc>
        <w:tc>
          <w:tcPr>
            <w:tcW w:w="2835" w:type="dxa"/>
            <w:shd w:val="clear" w:color="auto" w:fill="auto"/>
          </w:tcPr>
          <w:p>
            <w:pPr>
              <w:spacing w:line="360" w:lineRule="auto"/>
              <w:jc w:val="center"/>
              <w:rPr>
                <w:rFonts w:ascii="Arial" w:hAnsi="Arial" w:cs="Arial" w:eastAsiaTheme="minorEastAsia"/>
                <w:szCs w:val="21"/>
              </w:rPr>
            </w:pPr>
            <w:r>
              <w:rPr>
                <w:rFonts w:ascii="Arial" w:cs="Arial" w:hAnsiTheme="minorEastAsia" w:eastAsiaTheme="minorEastAsia"/>
                <w:szCs w:val="21"/>
              </w:rPr>
              <w:t>地下车库</w:t>
            </w:r>
          </w:p>
        </w:tc>
        <w:tc>
          <w:tcPr>
            <w:tcW w:w="2603" w:type="dxa"/>
            <w:shd w:val="clear" w:color="auto" w:fill="auto"/>
          </w:tcPr>
          <w:p>
            <w:pPr>
              <w:spacing w:line="360" w:lineRule="auto"/>
              <w:jc w:val="center"/>
              <w:rPr>
                <w:rFonts w:ascii="Arial" w:hAnsi="Arial" w:cs="Arial" w:eastAsiaTheme="minorEastAsia"/>
                <w:szCs w:val="21"/>
              </w:rPr>
            </w:pPr>
            <w:r>
              <w:rPr>
                <w:rFonts w:ascii="Arial" w:hAnsi="Arial" w:cs="Arial" w:eastAsiaTheme="minorEastAsia"/>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2" w:type="dxa"/>
            <w:vMerge w:val="continue"/>
            <w:shd w:val="clear" w:color="auto" w:fill="auto"/>
            <w:vAlign w:val="center"/>
          </w:tcPr>
          <w:p>
            <w:pPr>
              <w:spacing w:line="360" w:lineRule="auto"/>
              <w:jc w:val="center"/>
              <w:rPr>
                <w:rFonts w:ascii="Arial" w:hAnsi="Arial" w:cs="Arial" w:eastAsiaTheme="minorEastAsia"/>
                <w:szCs w:val="21"/>
              </w:rPr>
            </w:pPr>
          </w:p>
        </w:tc>
        <w:tc>
          <w:tcPr>
            <w:tcW w:w="1843" w:type="dxa"/>
            <w:vMerge w:val="continue"/>
            <w:shd w:val="clear" w:color="auto" w:fill="auto"/>
            <w:vAlign w:val="center"/>
          </w:tcPr>
          <w:p>
            <w:pPr>
              <w:spacing w:line="360" w:lineRule="auto"/>
              <w:jc w:val="center"/>
              <w:rPr>
                <w:rFonts w:ascii="Arial" w:hAnsi="Arial" w:cs="Arial" w:eastAsiaTheme="minorEastAsia"/>
                <w:szCs w:val="21"/>
              </w:rPr>
            </w:pPr>
          </w:p>
        </w:tc>
        <w:tc>
          <w:tcPr>
            <w:tcW w:w="2835" w:type="dxa"/>
            <w:shd w:val="clear" w:color="auto" w:fill="auto"/>
          </w:tcPr>
          <w:p>
            <w:pPr>
              <w:spacing w:line="360" w:lineRule="auto"/>
              <w:jc w:val="center"/>
              <w:rPr>
                <w:rFonts w:ascii="Arial" w:hAnsi="Arial" w:cs="Arial" w:eastAsiaTheme="minorEastAsia"/>
                <w:szCs w:val="21"/>
              </w:rPr>
            </w:pPr>
            <w:r>
              <w:rPr>
                <w:rFonts w:ascii="Arial" w:cs="Arial" w:hAnsiTheme="minorEastAsia" w:eastAsiaTheme="minorEastAsia"/>
                <w:szCs w:val="21"/>
              </w:rPr>
              <w:t>办事大厅</w:t>
            </w:r>
          </w:p>
        </w:tc>
        <w:tc>
          <w:tcPr>
            <w:tcW w:w="2603" w:type="dxa"/>
            <w:shd w:val="clear" w:color="auto" w:fill="auto"/>
          </w:tcPr>
          <w:p>
            <w:pPr>
              <w:spacing w:line="360" w:lineRule="auto"/>
              <w:jc w:val="center"/>
              <w:rPr>
                <w:rFonts w:ascii="Arial" w:hAnsi="Arial" w:cs="Arial" w:eastAsiaTheme="minorEastAsia"/>
                <w:szCs w:val="21"/>
              </w:rPr>
            </w:pPr>
            <w:r>
              <w:rPr>
                <w:rFonts w:ascii="Arial" w:hAnsi="Arial" w:cs="Arial" w:eastAsiaTheme="minorEastAsia"/>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2" w:type="dxa"/>
            <w:vMerge w:val="continue"/>
            <w:shd w:val="clear" w:color="auto" w:fill="auto"/>
            <w:vAlign w:val="center"/>
          </w:tcPr>
          <w:p>
            <w:pPr>
              <w:spacing w:line="360" w:lineRule="auto"/>
              <w:jc w:val="center"/>
              <w:rPr>
                <w:rFonts w:ascii="Arial" w:hAnsi="Arial" w:cs="Arial" w:eastAsiaTheme="minorEastAsia"/>
                <w:szCs w:val="21"/>
              </w:rPr>
            </w:pPr>
          </w:p>
        </w:tc>
        <w:tc>
          <w:tcPr>
            <w:tcW w:w="1843" w:type="dxa"/>
            <w:vMerge w:val="continue"/>
            <w:shd w:val="clear" w:color="auto" w:fill="auto"/>
            <w:vAlign w:val="center"/>
          </w:tcPr>
          <w:p>
            <w:pPr>
              <w:spacing w:line="360" w:lineRule="auto"/>
              <w:jc w:val="center"/>
              <w:rPr>
                <w:rFonts w:ascii="Arial" w:hAnsi="Arial" w:cs="Arial" w:eastAsiaTheme="minorEastAsia"/>
                <w:szCs w:val="21"/>
              </w:rPr>
            </w:pPr>
          </w:p>
        </w:tc>
        <w:tc>
          <w:tcPr>
            <w:tcW w:w="2835" w:type="dxa"/>
            <w:shd w:val="clear" w:color="auto" w:fill="auto"/>
          </w:tcPr>
          <w:p>
            <w:pPr>
              <w:spacing w:line="360" w:lineRule="auto"/>
              <w:jc w:val="center"/>
              <w:rPr>
                <w:rFonts w:ascii="Arial" w:hAnsi="Arial" w:cs="Arial" w:eastAsiaTheme="minorEastAsia"/>
                <w:szCs w:val="21"/>
              </w:rPr>
            </w:pPr>
            <w:r>
              <w:rPr>
                <w:rFonts w:ascii="Arial" w:cs="Arial" w:hAnsiTheme="minorEastAsia" w:eastAsiaTheme="minorEastAsia"/>
                <w:szCs w:val="21"/>
              </w:rPr>
              <w:t>电动汽车充电桩</w:t>
            </w:r>
          </w:p>
        </w:tc>
        <w:tc>
          <w:tcPr>
            <w:tcW w:w="2603" w:type="dxa"/>
            <w:shd w:val="clear" w:color="auto" w:fill="auto"/>
          </w:tcPr>
          <w:p>
            <w:pPr>
              <w:spacing w:line="360" w:lineRule="auto"/>
              <w:jc w:val="center"/>
              <w:rPr>
                <w:rFonts w:ascii="Arial" w:hAnsi="Arial" w:cs="Arial" w:eastAsiaTheme="minorEastAsia"/>
                <w:szCs w:val="21"/>
              </w:rPr>
            </w:pPr>
            <w:r>
              <w:rPr>
                <w:rFonts w:ascii="Arial" w:hAnsi="Arial" w:cs="Arial" w:eastAsiaTheme="minorEastAsia"/>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1242" w:type="dxa"/>
            <w:vMerge w:val="continue"/>
            <w:shd w:val="clear" w:color="auto" w:fill="auto"/>
            <w:vAlign w:val="center"/>
          </w:tcPr>
          <w:p>
            <w:pPr>
              <w:spacing w:line="360" w:lineRule="auto"/>
              <w:jc w:val="center"/>
              <w:rPr>
                <w:rFonts w:ascii="Arial" w:hAnsi="Arial" w:cs="Arial" w:eastAsiaTheme="minorEastAsia"/>
                <w:szCs w:val="21"/>
              </w:rPr>
            </w:pPr>
          </w:p>
        </w:tc>
        <w:tc>
          <w:tcPr>
            <w:tcW w:w="1843" w:type="dxa"/>
            <w:vMerge w:val="continue"/>
            <w:shd w:val="clear" w:color="auto" w:fill="auto"/>
            <w:vAlign w:val="center"/>
          </w:tcPr>
          <w:p>
            <w:pPr>
              <w:spacing w:line="360" w:lineRule="auto"/>
              <w:jc w:val="center"/>
              <w:rPr>
                <w:rFonts w:ascii="Arial" w:hAnsi="Arial" w:cs="Arial" w:eastAsiaTheme="minorEastAsia"/>
                <w:szCs w:val="21"/>
              </w:rPr>
            </w:pPr>
          </w:p>
        </w:tc>
        <w:tc>
          <w:tcPr>
            <w:tcW w:w="2835" w:type="dxa"/>
            <w:shd w:val="clear" w:color="auto" w:fill="auto"/>
            <w:vAlign w:val="center"/>
          </w:tcPr>
          <w:p>
            <w:pPr>
              <w:spacing w:line="360" w:lineRule="auto"/>
              <w:jc w:val="center"/>
              <w:rPr>
                <w:rFonts w:ascii="Arial" w:hAnsi="Arial" w:cs="Arial" w:eastAsiaTheme="minorEastAsia"/>
                <w:szCs w:val="21"/>
              </w:rPr>
            </w:pPr>
            <w:r>
              <w:rPr>
                <w:rFonts w:ascii="Arial" w:cs="Arial" w:hAnsiTheme="minorEastAsia" w:eastAsiaTheme="minorEastAsia"/>
                <w:szCs w:val="21"/>
              </w:rPr>
              <w:t>其他</w:t>
            </w:r>
          </w:p>
        </w:tc>
        <w:tc>
          <w:tcPr>
            <w:tcW w:w="2603" w:type="dxa"/>
            <w:shd w:val="clear" w:color="auto" w:fill="auto"/>
          </w:tcPr>
          <w:p>
            <w:pPr>
              <w:spacing w:line="360" w:lineRule="auto"/>
              <w:jc w:val="center"/>
              <w:rPr>
                <w:rFonts w:ascii="Arial" w:hAnsi="Arial" w:cs="Arial" w:eastAsiaTheme="minorEastAsia"/>
                <w:szCs w:val="21"/>
              </w:rPr>
            </w:pPr>
            <w:r>
              <w:rPr>
                <w:rFonts w:ascii="Arial" w:hAnsi="Arial" w:cs="Arial" w:eastAsiaTheme="minorEastAsia"/>
                <w:szCs w:val="21"/>
              </w:rPr>
              <w:t>/</w:t>
            </w:r>
          </w:p>
        </w:tc>
      </w:tr>
    </w:tbl>
    <w:p>
      <w:pPr>
        <w:spacing w:line="360" w:lineRule="auto"/>
        <w:ind w:firstLine="480" w:firstLineChars="200"/>
        <w:rPr>
          <w:rFonts w:ascii="Arial" w:hAnsi="Arial" w:cs="Arial"/>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hint="eastAsia" w:ascii="Arial" w:hAnsi="Arial" w:cs="Arial"/>
          <w:sz w:val="24"/>
          <w:szCs w:val="24"/>
        </w:rPr>
      </w:pPr>
      <w:r>
        <w:rPr>
          <w:rFonts w:hint="eastAsia" w:ascii="宋体" w:hAnsi="宋体"/>
          <w:b/>
          <w:bCs/>
          <w:color w:val="000000"/>
          <w:sz w:val="24"/>
        </w:rPr>
        <w:t>3</w:t>
      </w:r>
      <w:r>
        <w:rPr>
          <w:rFonts w:ascii="Arial" w:hAnsi="Arial" w:cs="Arial"/>
          <w:sz w:val="24"/>
          <w:szCs w:val="24"/>
        </w:rPr>
        <w:t xml:space="preserve"> </w:t>
      </w:r>
      <w:r>
        <w:rPr>
          <w:rFonts w:hint="eastAsia" w:ascii="Arial" w:hAnsi="Arial" w:cs="Arial"/>
          <w:sz w:val="24"/>
          <w:szCs w:val="24"/>
        </w:rPr>
        <w:t>燃气能耗可按用途不同区分为</w:t>
      </w:r>
      <w:r>
        <w:rPr>
          <w:rFonts w:ascii="Arial" w:hAnsi="Arial" w:cs="Arial"/>
          <w:sz w:val="24"/>
          <w:szCs w:val="24"/>
        </w:rPr>
        <w:t xml:space="preserve">4 </w:t>
      </w:r>
      <w:r>
        <w:rPr>
          <w:rFonts w:hint="eastAsia" w:ascii="Arial" w:hAnsi="Arial" w:cs="Arial"/>
          <w:sz w:val="24"/>
          <w:szCs w:val="24"/>
        </w:rPr>
        <w:t>个分项，其设置宜符合表</w:t>
      </w:r>
      <w:r>
        <w:rPr>
          <w:rFonts w:ascii="Arial" w:hAnsi="Arial" w:cs="Arial"/>
          <w:sz w:val="24"/>
          <w:szCs w:val="24"/>
        </w:rPr>
        <w:t xml:space="preserve">4. 2. 2-3 </w:t>
      </w:r>
      <w:r>
        <w:rPr>
          <w:rFonts w:hint="eastAsia" w:ascii="Arial" w:hAnsi="Arial" w:cs="Arial"/>
          <w:sz w:val="24"/>
          <w:szCs w:val="24"/>
        </w:rPr>
        <w:t>的规定。</w:t>
      </w:r>
    </w:p>
    <w:p>
      <w:pPr>
        <w:spacing w:line="360" w:lineRule="auto"/>
        <w:ind w:firstLine="480" w:firstLineChars="200"/>
        <w:rPr>
          <w:rFonts w:ascii="Arial" w:hAnsi="Arial" w:cs="Arial"/>
          <w:sz w:val="24"/>
          <w:szCs w:val="24"/>
        </w:rPr>
      </w:pPr>
    </w:p>
    <w:p>
      <w:pPr>
        <w:spacing w:line="360" w:lineRule="auto"/>
        <w:jc w:val="center"/>
        <w:rPr>
          <w:rFonts w:ascii="Arial" w:hAnsi="Arial" w:cs="Arial"/>
          <w:szCs w:val="21"/>
        </w:rPr>
      </w:pPr>
      <w:r>
        <w:rPr>
          <w:rFonts w:ascii="Arial" w:hAnsi="宋体" w:cs="Arial"/>
          <w:szCs w:val="21"/>
        </w:rPr>
        <w:t>表</w:t>
      </w:r>
      <w:r>
        <w:rPr>
          <w:rFonts w:ascii="Arial" w:hAnsi="Arial" w:cs="Arial"/>
          <w:szCs w:val="21"/>
        </w:rPr>
        <w:t xml:space="preserve">4. 2. 2-3 </w:t>
      </w:r>
      <w:r>
        <w:rPr>
          <w:rFonts w:ascii="Arial" w:hAnsi="宋体" w:cs="Arial"/>
          <w:szCs w:val="21"/>
        </w:rPr>
        <w:t>燃气能耗分项</w:t>
      </w:r>
    </w:p>
    <w:tbl>
      <w:tblPr>
        <w:tblStyle w:val="23"/>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261"/>
        <w:gridCol w:w="42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261" w:type="dxa"/>
            <w:shd w:val="clear" w:color="auto" w:fill="auto"/>
            <w:vAlign w:val="center"/>
          </w:tcPr>
          <w:p>
            <w:pPr>
              <w:spacing w:line="360" w:lineRule="auto"/>
              <w:jc w:val="center"/>
              <w:rPr>
                <w:rFonts w:ascii="Arial" w:hAnsi="Arial" w:cs="Arial"/>
                <w:szCs w:val="21"/>
              </w:rPr>
            </w:pPr>
            <w:r>
              <w:rPr>
                <w:rFonts w:hint="eastAsia" w:ascii="Arial" w:hAnsi="Arial" w:cs="Arial"/>
                <w:szCs w:val="21"/>
              </w:rPr>
              <w:t>能耗类别</w:t>
            </w:r>
          </w:p>
        </w:tc>
        <w:tc>
          <w:tcPr>
            <w:tcW w:w="4262" w:type="dxa"/>
            <w:shd w:val="clear" w:color="auto" w:fill="auto"/>
            <w:vAlign w:val="center"/>
          </w:tcPr>
          <w:p>
            <w:pPr>
              <w:spacing w:line="360" w:lineRule="auto"/>
              <w:jc w:val="center"/>
              <w:rPr>
                <w:rFonts w:ascii="Arial" w:hAnsi="Arial" w:cs="Arial"/>
                <w:szCs w:val="21"/>
              </w:rPr>
            </w:pPr>
            <w:r>
              <w:rPr>
                <w:rFonts w:hint="eastAsia" w:ascii="Arial" w:hAnsi="Arial" w:cs="Arial"/>
                <w:szCs w:val="21"/>
              </w:rPr>
              <w:t>分项名称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261" w:type="dxa"/>
            <w:vMerge w:val="restart"/>
            <w:shd w:val="clear" w:color="auto" w:fill="auto"/>
            <w:vAlign w:val="center"/>
          </w:tcPr>
          <w:p>
            <w:pPr>
              <w:spacing w:line="360" w:lineRule="auto"/>
              <w:jc w:val="center"/>
              <w:rPr>
                <w:rFonts w:ascii="Arial" w:hAnsi="Arial" w:cs="Arial"/>
                <w:szCs w:val="21"/>
              </w:rPr>
            </w:pPr>
            <w:r>
              <w:rPr>
                <w:rFonts w:hint="eastAsia" w:ascii="Arial" w:hAnsi="Arial" w:cs="Arial"/>
                <w:szCs w:val="21"/>
              </w:rPr>
              <w:t>燃气</w:t>
            </w:r>
          </w:p>
        </w:tc>
        <w:tc>
          <w:tcPr>
            <w:tcW w:w="4262" w:type="dxa"/>
            <w:shd w:val="clear" w:color="auto" w:fill="auto"/>
            <w:vAlign w:val="center"/>
          </w:tcPr>
          <w:p>
            <w:pPr>
              <w:spacing w:line="360" w:lineRule="auto"/>
              <w:jc w:val="center"/>
              <w:rPr>
                <w:rFonts w:ascii="Arial" w:hAnsi="Arial" w:cs="Arial"/>
                <w:szCs w:val="21"/>
              </w:rPr>
            </w:pPr>
            <w:r>
              <w:rPr>
                <w:rFonts w:hint="eastAsia" w:ascii="Arial" w:hAnsi="Arial" w:cs="Arial"/>
                <w:szCs w:val="21"/>
              </w:rPr>
              <w:t>冷热源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261" w:type="dxa"/>
            <w:vMerge w:val="continue"/>
            <w:shd w:val="clear" w:color="auto" w:fill="auto"/>
            <w:vAlign w:val="center"/>
          </w:tcPr>
          <w:p>
            <w:pPr>
              <w:spacing w:line="360" w:lineRule="auto"/>
              <w:jc w:val="center"/>
              <w:rPr>
                <w:rFonts w:ascii="Arial" w:hAnsi="Arial" w:cs="Arial"/>
                <w:szCs w:val="21"/>
              </w:rPr>
            </w:pPr>
          </w:p>
        </w:tc>
        <w:tc>
          <w:tcPr>
            <w:tcW w:w="4262" w:type="dxa"/>
            <w:shd w:val="clear" w:color="auto" w:fill="auto"/>
            <w:vAlign w:val="center"/>
          </w:tcPr>
          <w:p>
            <w:pPr>
              <w:spacing w:line="360" w:lineRule="auto"/>
              <w:jc w:val="center"/>
              <w:rPr>
                <w:rFonts w:ascii="Arial" w:hAnsi="Arial" w:cs="Arial"/>
                <w:szCs w:val="21"/>
              </w:rPr>
            </w:pPr>
            <w:r>
              <w:rPr>
                <w:rFonts w:hint="eastAsia" w:ascii="Arial" w:hAnsi="Arial" w:cs="Arial"/>
                <w:szCs w:val="21"/>
              </w:rPr>
              <w:t>厨房餐厅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4261" w:type="dxa"/>
            <w:vMerge w:val="continue"/>
            <w:shd w:val="clear" w:color="auto" w:fill="auto"/>
            <w:vAlign w:val="center"/>
          </w:tcPr>
          <w:p>
            <w:pPr>
              <w:spacing w:line="360" w:lineRule="auto"/>
              <w:jc w:val="center"/>
              <w:rPr>
                <w:rFonts w:ascii="Arial" w:hAnsi="Arial" w:cs="Arial"/>
                <w:szCs w:val="21"/>
              </w:rPr>
            </w:pPr>
          </w:p>
        </w:tc>
        <w:tc>
          <w:tcPr>
            <w:tcW w:w="4262" w:type="dxa"/>
            <w:shd w:val="clear" w:color="auto" w:fill="auto"/>
            <w:vAlign w:val="center"/>
          </w:tcPr>
          <w:p>
            <w:pPr>
              <w:spacing w:line="360" w:lineRule="auto"/>
              <w:jc w:val="center"/>
              <w:rPr>
                <w:rFonts w:ascii="Arial" w:hAnsi="Arial" w:cs="Arial"/>
                <w:szCs w:val="21"/>
              </w:rPr>
            </w:pPr>
            <w:r>
              <w:rPr>
                <w:rFonts w:hint="eastAsia" w:ascii="Arial" w:hAnsi="Arial" w:cs="Arial"/>
                <w:szCs w:val="21"/>
              </w:rPr>
              <w:t>生活热水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261" w:type="dxa"/>
            <w:vMerge w:val="continue"/>
            <w:shd w:val="clear" w:color="auto" w:fill="auto"/>
            <w:vAlign w:val="center"/>
          </w:tcPr>
          <w:p>
            <w:pPr>
              <w:spacing w:line="360" w:lineRule="auto"/>
              <w:jc w:val="center"/>
              <w:rPr>
                <w:rFonts w:ascii="Arial" w:hAnsi="Arial" w:cs="Arial"/>
                <w:szCs w:val="21"/>
              </w:rPr>
            </w:pPr>
          </w:p>
        </w:tc>
        <w:tc>
          <w:tcPr>
            <w:tcW w:w="4262" w:type="dxa"/>
            <w:shd w:val="clear" w:color="auto" w:fill="auto"/>
            <w:vAlign w:val="center"/>
          </w:tcPr>
          <w:p>
            <w:pPr>
              <w:spacing w:line="360" w:lineRule="auto"/>
              <w:jc w:val="center"/>
              <w:rPr>
                <w:rFonts w:ascii="Arial" w:hAnsi="Arial" w:cs="Arial"/>
                <w:szCs w:val="21"/>
              </w:rPr>
            </w:pPr>
            <w:r>
              <w:rPr>
                <w:rFonts w:hint="eastAsia" w:ascii="Arial" w:hAnsi="Arial" w:cs="Arial"/>
                <w:szCs w:val="21"/>
              </w:rPr>
              <w:t>其他</w:t>
            </w:r>
          </w:p>
        </w:tc>
      </w:tr>
    </w:tbl>
    <w:p>
      <w:pPr>
        <w:spacing w:line="360" w:lineRule="auto"/>
        <w:ind w:firstLine="480" w:firstLineChars="200"/>
        <w:rPr>
          <w:rFonts w:ascii="Arial" w:hAnsi="Arial" w:cs="Arial"/>
          <w:sz w:val="24"/>
          <w:szCs w:val="24"/>
        </w:rPr>
      </w:pPr>
    </w:p>
    <w:p>
      <w:pPr>
        <w:spacing w:line="360" w:lineRule="auto"/>
        <w:ind w:firstLine="481" w:firstLineChars="200"/>
        <w:rPr>
          <w:rFonts w:ascii="Arial" w:hAnsi="Arial" w:cs="Arial"/>
          <w:sz w:val="24"/>
          <w:szCs w:val="24"/>
        </w:rPr>
      </w:pPr>
      <w:r>
        <w:rPr>
          <w:rFonts w:hint="eastAsia" w:ascii="宋体" w:hAnsi="宋体"/>
          <w:b/>
          <w:bCs/>
          <w:color w:val="000000"/>
          <w:sz w:val="24"/>
        </w:rPr>
        <w:t>4</w:t>
      </w:r>
      <w:r>
        <w:rPr>
          <w:rFonts w:ascii="Arial" w:hAnsi="Arial" w:cs="Arial"/>
          <w:sz w:val="24"/>
          <w:szCs w:val="24"/>
        </w:rPr>
        <w:t xml:space="preserve"> </w:t>
      </w:r>
      <w:r>
        <w:rPr>
          <w:rFonts w:hint="eastAsia" w:ascii="Arial" w:hAnsi="Arial" w:cs="Arial"/>
          <w:sz w:val="24"/>
          <w:szCs w:val="24"/>
        </w:rPr>
        <w:t>可再生能源系统分项设置宜符合表</w:t>
      </w:r>
      <w:r>
        <w:rPr>
          <w:rFonts w:ascii="Arial" w:hAnsi="Arial" w:cs="Arial"/>
          <w:sz w:val="24"/>
          <w:szCs w:val="24"/>
        </w:rPr>
        <w:t xml:space="preserve">4. 2. 2-4 </w:t>
      </w:r>
      <w:r>
        <w:rPr>
          <w:rFonts w:hint="eastAsia" w:ascii="Arial" w:hAnsi="Arial" w:cs="Arial"/>
          <w:sz w:val="24"/>
          <w:szCs w:val="24"/>
        </w:rPr>
        <w:t>的规定。</w:t>
      </w:r>
    </w:p>
    <w:p>
      <w:pPr>
        <w:spacing w:line="360" w:lineRule="auto"/>
        <w:jc w:val="center"/>
        <w:rPr>
          <w:rFonts w:hint="eastAsia" w:ascii="Arial" w:hAnsi="Arial" w:cs="Arial"/>
          <w:sz w:val="24"/>
          <w:szCs w:val="24"/>
        </w:rPr>
      </w:pPr>
    </w:p>
    <w:p>
      <w:pPr>
        <w:spacing w:line="360" w:lineRule="auto"/>
        <w:jc w:val="center"/>
        <w:rPr>
          <w:rFonts w:ascii="Arial" w:hAnsi="Arial" w:cs="Arial"/>
          <w:szCs w:val="21"/>
        </w:rPr>
      </w:pPr>
      <w:r>
        <w:rPr>
          <w:rFonts w:hint="eastAsia" w:ascii="Arial" w:hAnsi="Arial" w:cs="Arial"/>
          <w:szCs w:val="21"/>
        </w:rPr>
        <w:t>表</w:t>
      </w:r>
      <w:r>
        <w:rPr>
          <w:rFonts w:ascii="Arial" w:hAnsi="Arial" w:cs="Arial"/>
          <w:szCs w:val="21"/>
        </w:rPr>
        <w:t xml:space="preserve">4. 2. 2-4 </w:t>
      </w:r>
      <w:r>
        <w:rPr>
          <w:rFonts w:hint="eastAsia" w:ascii="Arial" w:hAnsi="Arial" w:cs="Arial"/>
          <w:szCs w:val="21"/>
        </w:rPr>
        <w:t>可再生能源系统分项</w:t>
      </w:r>
    </w:p>
    <w:tbl>
      <w:tblPr>
        <w:tblStyle w:val="23"/>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261"/>
        <w:gridCol w:w="42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261" w:type="dxa"/>
            <w:shd w:val="clear" w:color="auto" w:fill="auto"/>
          </w:tcPr>
          <w:p>
            <w:pPr>
              <w:spacing w:line="360" w:lineRule="auto"/>
              <w:jc w:val="center"/>
              <w:rPr>
                <w:rFonts w:ascii="Arial" w:hAnsi="Arial" w:cs="Arial"/>
                <w:szCs w:val="21"/>
              </w:rPr>
            </w:pPr>
            <w:r>
              <w:rPr>
                <w:rFonts w:hint="eastAsia" w:ascii="Arial" w:hAnsi="Arial" w:cs="Arial"/>
                <w:szCs w:val="21"/>
              </w:rPr>
              <w:t>能耗类别</w:t>
            </w:r>
          </w:p>
        </w:tc>
        <w:tc>
          <w:tcPr>
            <w:tcW w:w="4262" w:type="dxa"/>
            <w:shd w:val="clear" w:color="auto" w:fill="auto"/>
          </w:tcPr>
          <w:p>
            <w:pPr>
              <w:spacing w:line="360" w:lineRule="auto"/>
              <w:jc w:val="center"/>
              <w:rPr>
                <w:rFonts w:ascii="Arial" w:hAnsi="Arial" w:cs="Arial"/>
                <w:szCs w:val="21"/>
              </w:rPr>
            </w:pPr>
            <w:r>
              <w:rPr>
                <w:rFonts w:hint="eastAsia" w:ascii="Arial" w:hAnsi="Arial" w:cs="Arial"/>
                <w:szCs w:val="21"/>
              </w:rPr>
              <w:t>分项名称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261" w:type="dxa"/>
            <w:vMerge w:val="restart"/>
            <w:shd w:val="clear" w:color="auto" w:fill="auto"/>
          </w:tcPr>
          <w:p>
            <w:pPr>
              <w:spacing w:line="360" w:lineRule="auto"/>
              <w:jc w:val="center"/>
              <w:rPr>
                <w:rFonts w:ascii="Arial" w:hAnsi="Arial" w:cs="Arial"/>
                <w:szCs w:val="21"/>
              </w:rPr>
            </w:pPr>
            <w:r>
              <w:rPr>
                <w:rFonts w:hint="eastAsia" w:ascii="Arial" w:hAnsi="Arial" w:cs="Arial"/>
                <w:szCs w:val="21"/>
              </w:rPr>
              <w:t>太阳能热水系统</w:t>
            </w:r>
          </w:p>
        </w:tc>
        <w:tc>
          <w:tcPr>
            <w:tcW w:w="4262" w:type="dxa"/>
            <w:shd w:val="clear" w:color="auto" w:fill="auto"/>
          </w:tcPr>
          <w:p>
            <w:pPr>
              <w:spacing w:line="360" w:lineRule="auto"/>
              <w:jc w:val="center"/>
              <w:rPr>
                <w:rFonts w:ascii="Arial" w:hAnsi="Arial" w:cs="Arial"/>
                <w:szCs w:val="21"/>
              </w:rPr>
            </w:pPr>
            <w:r>
              <w:rPr>
                <w:rFonts w:hint="eastAsia" w:ascii="Arial" w:hAnsi="Arial" w:cs="Arial"/>
                <w:szCs w:val="21"/>
              </w:rPr>
              <w:t>累计产热量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261" w:type="dxa"/>
            <w:vMerge w:val="continue"/>
            <w:shd w:val="clear" w:color="auto" w:fill="auto"/>
          </w:tcPr>
          <w:p>
            <w:pPr>
              <w:spacing w:line="360" w:lineRule="auto"/>
              <w:jc w:val="center"/>
              <w:rPr>
                <w:rFonts w:ascii="Arial" w:hAnsi="Arial" w:cs="Arial"/>
                <w:szCs w:val="21"/>
              </w:rPr>
            </w:pPr>
          </w:p>
        </w:tc>
        <w:tc>
          <w:tcPr>
            <w:tcW w:w="4262" w:type="dxa"/>
            <w:shd w:val="clear" w:color="auto" w:fill="auto"/>
          </w:tcPr>
          <w:p>
            <w:pPr>
              <w:spacing w:line="360" w:lineRule="auto"/>
              <w:jc w:val="center"/>
              <w:rPr>
                <w:rFonts w:ascii="Arial" w:hAnsi="Arial" w:cs="Arial"/>
                <w:szCs w:val="21"/>
              </w:rPr>
            </w:pPr>
            <w:r>
              <w:rPr>
                <w:rFonts w:hint="eastAsia" w:ascii="Arial" w:hAnsi="Arial" w:cs="Arial"/>
                <w:szCs w:val="21"/>
              </w:rPr>
              <w:t>累计耗电量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4261" w:type="dxa"/>
            <w:shd w:val="clear" w:color="auto" w:fill="auto"/>
          </w:tcPr>
          <w:p>
            <w:pPr>
              <w:spacing w:line="360" w:lineRule="auto"/>
              <w:jc w:val="center"/>
              <w:rPr>
                <w:rFonts w:ascii="Arial" w:hAnsi="Arial" w:cs="Arial"/>
                <w:szCs w:val="21"/>
              </w:rPr>
            </w:pPr>
            <w:r>
              <w:rPr>
                <w:rFonts w:hint="eastAsia" w:ascii="Arial" w:hAnsi="Arial" w:cs="Arial"/>
                <w:szCs w:val="21"/>
              </w:rPr>
              <w:t>太阳能光伏系统</w:t>
            </w:r>
          </w:p>
        </w:tc>
        <w:tc>
          <w:tcPr>
            <w:tcW w:w="4262" w:type="dxa"/>
            <w:shd w:val="clear" w:color="auto" w:fill="auto"/>
          </w:tcPr>
          <w:p>
            <w:pPr>
              <w:spacing w:line="360" w:lineRule="auto"/>
              <w:jc w:val="center"/>
              <w:rPr>
                <w:rFonts w:ascii="Arial" w:hAnsi="Arial" w:cs="Arial"/>
                <w:szCs w:val="21"/>
              </w:rPr>
            </w:pPr>
            <w:r>
              <w:rPr>
                <w:rFonts w:hint="eastAsia" w:ascii="Arial" w:hAnsi="Arial" w:cs="Arial"/>
                <w:szCs w:val="21"/>
              </w:rPr>
              <w:t>累计发电量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261" w:type="dxa"/>
            <w:vMerge w:val="restart"/>
            <w:shd w:val="clear" w:color="auto" w:fill="auto"/>
          </w:tcPr>
          <w:p>
            <w:pPr>
              <w:spacing w:line="360" w:lineRule="auto"/>
              <w:jc w:val="center"/>
              <w:rPr>
                <w:rFonts w:ascii="Arial" w:hAnsi="Arial" w:cs="Arial"/>
                <w:szCs w:val="21"/>
              </w:rPr>
            </w:pPr>
            <w:r>
              <w:rPr>
                <w:rFonts w:hint="eastAsia" w:ascii="Arial" w:hAnsi="Arial" w:cs="Arial"/>
                <w:szCs w:val="21"/>
              </w:rPr>
              <w:t>地源热泵系统</w:t>
            </w:r>
          </w:p>
        </w:tc>
        <w:tc>
          <w:tcPr>
            <w:tcW w:w="4262" w:type="dxa"/>
            <w:shd w:val="clear" w:color="auto" w:fill="auto"/>
          </w:tcPr>
          <w:p>
            <w:pPr>
              <w:spacing w:line="360" w:lineRule="auto"/>
              <w:jc w:val="center"/>
              <w:rPr>
                <w:rFonts w:ascii="Arial" w:hAnsi="Arial" w:cs="Arial"/>
                <w:szCs w:val="21"/>
              </w:rPr>
            </w:pPr>
            <w:r>
              <w:rPr>
                <w:rFonts w:hint="eastAsia" w:ascii="Arial" w:hAnsi="Arial" w:cs="Arial"/>
                <w:szCs w:val="21"/>
              </w:rPr>
              <w:t>累计产热量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261" w:type="dxa"/>
            <w:vMerge w:val="continue"/>
            <w:shd w:val="clear" w:color="auto" w:fill="auto"/>
          </w:tcPr>
          <w:p>
            <w:pPr>
              <w:spacing w:line="360" w:lineRule="auto"/>
              <w:jc w:val="center"/>
              <w:rPr>
                <w:rFonts w:ascii="Arial" w:hAnsi="Arial" w:cs="Arial"/>
                <w:szCs w:val="21"/>
              </w:rPr>
            </w:pPr>
          </w:p>
        </w:tc>
        <w:tc>
          <w:tcPr>
            <w:tcW w:w="4262" w:type="dxa"/>
            <w:shd w:val="clear" w:color="auto" w:fill="auto"/>
          </w:tcPr>
          <w:p>
            <w:pPr>
              <w:spacing w:line="360" w:lineRule="auto"/>
              <w:jc w:val="center"/>
              <w:rPr>
                <w:rFonts w:ascii="Arial" w:hAnsi="Arial" w:cs="Arial"/>
                <w:szCs w:val="21"/>
              </w:rPr>
            </w:pPr>
            <w:r>
              <w:rPr>
                <w:rFonts w:hint="eastAsia" w:ascii="Arial" w:hAnsi="Arial" w:cs="Arial"/>
                <w:szCs w:val="21"/>
              </w:rPr>
              <w:t>累计耗电量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261" w:type="dxa"/>
            <w:shd w:val="clear" w:color="auto" w:fill="auto"/>
          </w:tcPr>
          <w:p>
            <w:pPr>
              <w:spacing w:line="360" w:lineRule="auto"/>
              <w:jc w:val="center"/>
              <w:rPr>
                <w:rFonts w:ascii="Arial" w:hAnsi="Arial" w:cs="Arial"/>
                <w:szCs w:val="21"/>
              </w:rPr>
            </w:pPr>
            <w:r>
              <w:rPr>
                <w:rFonts w:hint="eastAsia" w:ascii="Arial" w:hAnsi="Arial" w:cs="Arial"/>
                <w:szCs w:val="21"/>
              </w:rPr>
              <w:t>风力发电系统</w:t>
            </w:r>
          </w:p>
        </w:tc>
        <w:tc>
          <w:tcPr>
            <w:tcW w:w="4262" w:type="dxa"/>
            <w:shd w:val="clear" w:color="auto" w:fill="auto"/>
          </w:tcPr>
          <w:p>
            <w:pPr>
              <w:spacing w:line="360" w:lineRule="auto"/>
              <w:jc w:val="center"/>
              <w:rPr>
                <w:rFonts w:ascii="Arial" w:hAnsi="Arial" w:cs="Arial"/>
                <w:szCs w:val="21"/>
              </w:rPr>
            </w:pPr>
            <w:r>
              <w:rPr>
                <w:rFonts w:hint="eastAsia" w:ascii="Arial" w:hAnsi="Arial" w:cs="Arial"/>
                <w:szCs w:val="21"/>
              </w:rPr>
              <w:t>累计发电量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4261" w:type="dxa"/>
            <w:shd w:val="clear" w:color="auto" w:fill="auto"/>
          </w:tcPr>
          <w:p>
            <w:pPr>
              <w:spacing w:line="360" w:lineRule="auto"/>
              <w:jc w:val="center"/>
              <w:rPr>
                <w:rFonts w:ascii="Arial" w:hAnsi="Arial" w:cs="Arial"/>
                <w:szCs w:val="21"/>
              </w:rPr>
            </w:pPr>
            <w:r>
              <w:rPr>
                <w:rFonts w:hint="eastAsia" w:ascii="Arial" w:hAnsi="Arial" w:cs="Arial"/>
                <w:szCs w:val="21"/>
              </w:rPr>
              <w:t>其他可再生能源系统</w:t>
            </w:r>
          </w:p>
        </w:tc>
        <w:tc>
          <w:tcPr>
            <w:tcW w:w="4262" w:type="dxa"/>
            <w:shd w:val="clear" w:color="auto" w:fill="auto"/>
          </w:tcPr>
          <w:p>
            <w:pPr>
              <w:spacing w:line="360" w:lineRule="auto"/>
              <w:jc w:val="center"/>
              <w:rPr>
                <w:rFonts w:ascii="Arial" w:hAnsi="Arial" w:cs="Arial"/>
                <w:szCs w:val="21"/>
              </w:rPr>
            </w:pPr>
            <w:r>
              <w:rPr>
                <w:rFonts w:hint="eastAsia" w:ascii="Arial" w:hAnsi="Arial" w:cs="Arial"/>
                <w:szCs w:val="21"/>
              </w:rPr>
              <w:t>/</w:t>
            </w:r>
          </w:p>
        </w:tc>
      </w:tr>
    </w:tbl>
    <w:p>
      <w:pPr>
        <w:spacing w:line="360" w:lineRule="auto"/>
        <w:rPr>
          <w:rFonts w:hint="eastAsia" w:ascii="Arial" w:hAnsi="Arial" w:cs="Arial"/>
          <w:sz w:val="24"/>
          <w:szCs w:val="24"/>
        </w:rPr>
      </w:pPr>
    </w:p>
    <w:p>
      <w:pPr>
        <w:spacing w:line="360" w:lineRule="auto"/>
        <w:rPr>
          <w:rFonts w:hint="eastAsia" w:ascii="Arial" w:hAnsi="Arial" w:cs="Arial"/>
          <w:sz w:val="24"/>
          <w:szCs w:val="24"/>
        </w:rPr>
      </w:pPr>
    </w:p>
    <w:p>
      <w:pPr>
        <w:pStyle w:val="3"/>
        <w:spacing w:beforeLines="200" w:line="480" w:lineRule="auto"/>
        <w:ind w:left="567"/>
        <w:jc w:val="both"/>
        <w:rPr>
          <w:rFonts w:ascii="Arial" w:hAnsi="Arial" w:cs="Arial"/>
          <w:color w:val="000000"/>
          <w:sz w:val="24"/>
          <w:szCs w:val="24"/>
        </w:rPr>
      </w:pPr>
    </w:p>
    <w:p/>
    <w:p>
      <w:pPr>
        <w:rPr>
          <w:rFonts w:hint="eastAsia"/>
        </w:rPr>
        <w:sectPr>
          <w:headerReference r:id="rId4" w:type="default"/>
          <w:footerReference r:id="rId5" w:type="default"/>
          <w:pgSz w:w="11907" w:h="16840"/>
          <w:pgMar w:top="1440" w:right="1800" w:bottom="1440" w:left="1800" w:header="877" w:footer="643" w:gutter="0"/>
          <w:cols w:space="720" w:num="1"/>
          <w:docGrid w:linePitch="286" w:charSpace="0"/>
        </w:sectPr>
      </w:pPr>
    </w:p>
    <w:p>
      <w:pPr>
        <w:pStyle w:val="2"/>
        <w:adjustRightInd w:val="0"/>
        <w:snapToGrid w:val="0"/>
        <w:spacing w:before="312" w:after="312" w:line="480" w:lineRule="auto"/>
        <w:rPr>
          <w:rFonts w:hint="eastAsia" w:ascii="黑体" w:hAnsi="黑体"/>
          <w:sz w:val="32"/>
          <w:szCs w:val="32"/>
        </w:rPr>
      </w:pPr>
      <w:bookmarkStart w:id="47" w:name="_Toc532460061"/>
      <w:bookmarkStart w:id="48" w:name="_Toc436312676"/>
      <w:r>
        <w:rPr>
          <w:rFonts w:hint="eastAsia" w:ascii="黑体" w:hAnsi="黑体" w:cs="Arial"/>
          <w:sz w:val="32"/>
          <w:szCs w:val="32"/>
        </w:rPr>
        <w:t>3.4</w:t>
      </w:r>
      <w:r>
        <w:rPr>
          <w:rFonts w:hint="eastAsia" w:ascii="黑体" w:hAnsi="黑体"/>
          <w:sz w:val="32"/>
          <w:szCs w:val="32"/>
        </w:rPr>
        <w:t xml:space="preserve"> 引用标准目录及条款号</w:t>
      </w:r>
      <w:bookmarkEnd w:id="47"/>
      <w:bookmarkEnd w:id="48"/>
    </w:p>
    <w:p>
      <w:pPr>
        <w:adjustRightInd w:val="0"/>
        <w:snapToGrid w:val="0"/>
        <w:spacing w:line="360" w:lineRule="auto"/>
        <w:rPr>
          <w:rFonts w:hint="eastAsia" w:ascii="Arial" w:hAnsi="Arial" w:cs="Arial"/>
          <w:sz w:val="24"/>
          <w:szCs w:val="24"/>
        </w:rPr>
      </w:pPr>
      <w:r>
        <w:rPr>
          <w:rFonts w:hint="eastAsia" w:ascii="Arial" w:hAnsi="Arial" w:cs="Arial"/>
          <w:sz w:val="24"/>
          <w:szCs w:val="24"/>
        </w:rPr>
        <w:t>1）</w:t>
      </w:r>
      <w:r>
        <w:rPr>
          <w:rFonts w:hint="eastAsia" w:ascii="黑体" w:hAnsi="黑体" w:eastAsia="黑体" w:cs="Arial"/>
          <w:sz w:val="24"/>
          <w:szCs w:val="24"/>
        </w:rPr>
        <w:t>《低压用户配电装置规程》</w:t>
      </w:r>
      <w:r>
        <w:rPr>
          <w:rFonts w:hint="eastAsia" w:ascii="Arial" w:hAnsi="Arial" w:cs="Arial"/>
          <w:sz w:val="24"/>
          <w:szCs w:val="24"/>
        </w:rPr>
        <w:t>DG/TJ</w:t>
      </w:r>
      <w:r>
        <w:rPr>
          <w:rFonts w:ascii="Arial" w:hAnsi="Arial" w:cs="Arial"/>
          <w:sz w:val="24"/>
          <w:szCs w:val="24"/>
        </w:rPr>
        <w:t xml:space="preserve"> </w:t>
      </w:r>
      <w:r>
        <w:rPr>
          <w:rFonts w:hint="eastAsia" w:ascii="Arial" w:hAnsi="Arial" w:cs="Arial"/>
          <w:sz w:val="24"/>
          <w:szCs w:val="24"/>
        </w:rPr>
        <w:t>08-100-2017</w:t>
      </w:r>
    </w:p>
    <w:p>
      <w:pPr>
        <w:spacing w:line="360" w:lineRule="auto"/>
        <w:ind w:firstLine="480" w:firstLineChars="200"/>
        <w:rPr>
          <w:rFonts w:hint="eastAsia" w:ascii="黑体" w:hAnsi="黑体" w:eastAsia="黑体" w:cs="黑体"/>
          <w:kern w:val="0"/>
          <w:sz w:val="24"/>
        </w:rPr>
      </w:pPr>
      <w:r>
        <w:rPr>
          <w:rFonts w:hint="eastAsia" w:ascii="黑体" w:hAnsi="黑体" w:eastAsia="黑体" w:cs="黑体"/>
          <w:kern w:val="0"/>
          <w:sz w:val="24"/>
        </w:rPr>
        <w:t>6.4.3</w:t>
      </w:r>
    </w:p>
    <w:p>
      <w:pPr>
        <w:adjustRightInd w:val="0"/>
        <w:snapToGrid w:val="0"/>
        <w:spacing w:line="360" w:lineRule="auto"/>
        <w:rPr>
          <w:rFonts w:hint="eastAsia" w:ascii="Arial" w:hAnsi="Arial" w:cs="Arial"/>
          <w:sz w:val="24"/>
          <w:szCs w:val="24"/>
        </w:rPr>
      </w:pPr>
      <w:r>
        <w:rPr>
          <w:rFonts w:hint="eastAsia" w:ascii="Arial" w:hAnsi="Arial" w:cs="Arial"/>
          <w:sz w:val="24"/>
          <w:szCs w:val="24"/>
        </w:rPr>
        <w:t>2）</w:t>
      </w:r>
      <w:r>
        <w:rPr>
          <w:rFonts w:hint="eastAsia" w:ascii="黑体" w:hAnsi="黑体" w:eastAsia="黑体" w:cs="Arial"/>
          <w:sz w:val="24"/>
          <w:szCs w:val="24"/>
        </w:rPr>
        <w:t>《住宅设计标准》</w:t>
      </w:r>
      <w:r>
        <w:rPr>
          <w:rFonts w:hint="eastAsia" w:ascii="Arial" w:hAnsi="Arial" w:cs="Arial"/>
          <w:sz w:val="24"/>
          <w:szCs w:val="24"/>
        </w:rPr>
        <w:t>DGJ08-20-2019</w:t>
      </w:r>
    </w:p>
    <w:p>
      <w:pPr>
        <w:spacing w:line="360" w:lineRule="auto"/>
        <w:ind w:firstLine="480" w:firstLineChars="200"/>
        <w:rPr>
          <w:rFonts w:hint="default" w:ascii="黑体" w:hAnsi="黑体" w:eastAsia="黑体" w:cs="黑体"/>
          <w:kern w:val="0"/>
          <w:sz w:val="24"/>
          <w:lang w:val="en-US" w:eastAsia="zh-CN"/>
        </w:rPr>
      </w:pPr>
      <w:r>
        <w:rPr>
          <w:rFonts w:hint="eastAsia" w:ascii="黑体" w:hAnsi="黑体" w:eastAsia="黑体" w:cs="黑体"/>
          <w:kern w:val="0"/>
          <w:sz w:val="24"/>
        </w:rPr>
        <w:t>12.2.8、12.2.9、12.2.10、</w:t>
      </w:r>
      <w:r>
        <w:rPr>
          <w:rFonts w:hint="eastAsia" w:ascii="黑体" w:hAnsi="黑体" w:eastAsia="黑体" w:cs="黑体"/>
          <w:kern w:val="0"/>
          <w:sz w:val="24"/>
          <w:lang w:val="en-US" w:eastAsia="zh-CN"/>
        </w:rPr>
        <w:t>12.5.1、</w:t>
      </w:r>
      <w:r>
        <w:rPr>
          <w:rFonts w:hint="eastAsia" w:ascii="黑体" w:hAnsi="黑体" w:eastAsia="黑体" w:cs="黑体"/>
          <w:kern w:val="0"/>
          <w:sz w:val="24"/>
        </w:rPr>
        <w:t>13.0.7</w:t>
      </w:r>
      <w:r>
        <w:rPr>
          <w:rFonts w:hint="eastAsia" w:ascii="黑体" w:hAnsi="黑体" w:eastAsia="黑体" w:cs="黑体"/>
          <w:kern w:val="0"/>
          <w:sz w:val="24"/>
          <w:lang w:val="en-US" w:eastAsia="zh-CN"/>
        </w:rPr>
        <w:t>.3</w:t>
      </w:r>
    </w:p>
    <w:p>
      <w:pPr>
        <w:adjustRightInd w:val="0"/>
        <w:snapToGrid w:val="0"/>
        <w:spacing w:line="360" w:lineRule="auto"/>
        <w:rPr>
          <w:rFonts w:ascii="Arial" w:hAnsi="Arial" w:cs="Arial"/>
          <w:sz w:val="24"/>
          <w:szCs w:val="24"/>
        </w:rPr>
      </w:pPr>
      <w:r>
        <w:rPr>
          <w:rFonts w:ascii="Arial" w:hAnsi="Arial" w:cs="Arial"/>
          <w:sz w:val="24"/>
          <w:szCs w:val="24"/>
        </w:rPr>
        <w:t>3</w:t>
      </w:r>
      <w:r>
        <w:rPr>
          <w:rFonts w:hint="eastAsia" w:ascii="Arial" w:hAnsi="Arial" w:cs="Arial"/>
          <w:sz w:val="24"/>
          <w:szCs w:val="24"/>
        </w:rPr>
        <w:t>）</w:t>
      </w:r>
      <w:r>
        <w:rPr>
          <w:rFonts w:hint="eastAsia" w:ascii="黑体" w:hAnsi="黑体" w:eastAsia="黑体" w:cs="Arial"/>
          <w:sz w:val="24"/>
          <w:szCs w:val="24"/>
        </w:rPr>
        <w:t>《养老设施建筑设计标准》</w:t>
      </w:r>
      <w:r>
        <w:rPr>
          <w:rFonts w:ascii="Arial" w:hAnsi="Arial" w:cs="Arial"/>
          <w:sz w:val="24"/>
          <w:szCs w:val="24"/>
        </w:rPr>
        <w:t>DGJ08-82-2020</w:t>
      </w:r>
    </w:p>
    <w:p>
      <w:pPr>
        <w:spacing w:line="360" w:lineRule="auto"/>
        <w:ind w:firstLine="480" w:firstLineChars="200"/>
        <w:rPr>
          <w:rFonts w:hint="eastAsia" w:ascii="黑体" w:hAnsi="黑体" w:eastAsia="黑体" w:cs="黑体"/>
          <w:kern w:val="0"/>
          <w:sz w:val="24"/>
        </w:rPr>
      </w:pPr>
      <w:r>
        <w:rPr>
          <w:rFonts w:hint="eastAsia" w:ascii="黑体" w:hAnsi="黑体" w:eastAsia="黑体" w:cs="黑体"/>
          <w:kern w:val="0"/>
          <w:sz w:val="24"/>
        </w:rPr>
        <w:t>8.2.1、8.5.13</w:t>
      </w:r>
    </w:p>
    <w:p>
      <w:pPr>
        <w:adjustRightInd w:val="0"/>
        <w:snapToGrid w:val="0"/>
        <w:spacing w:line="360" w:lineRule="auto"/>
        <w:rPr>
          <w:rFonts w:ascii="Arial" w:hAnsi="Arial" w:cs="Arial"/>
          <w:sz w:val="24"/>
          <w:szCs w:val="24"/>
        </w:rPr>
      </w:pPr>
      <w:r>
        <w:rPr>
          <w:rFonts w:hint="eastAsia" w:ascii="Arial" w:hAnsi="Arial" w:cs="Arial"/>
          <w:sz w:val="24"/>
          <w:szCs w:val="24"/>
        </w:rPr>
        <w:t>4）</w:t>
      </w:r>
      <w:r>
        <w:rPr>
          <w:rFonts w:hint="eastAsia" w:ascii="黑体" w:hAnsi="黑体" w:eastAsia="黑体" w:cs="Arial"/>
          <w:sz w:val="24"/>
          <w:szCs w:val="24"/>
        </w:rPr>
        <w:t>《保障性住房设计标准》（保障性租赁住房新建分册）</w:t>
      </w:r>
      <w:r>
        <w:rPr>
          <w:rFonts w:ascii="Arial" w:hAnsi="Arial" w:cs="Arial"/>
          <w:sz w:val="24"/>
          <w:szCs w:val="24"/>
        </w:rPr>
        <w:t>DG/TJ 08-2291B-2022</w:t>
      </w:r>
    </w:p>
    <w:p>
      <w:pPr>
        <w:spacing w:line="360" w:lineRule="auto"/>
        <w:ind w:firstLine="480" w:firstLineChars="200"/>
        <w:rPr>
          <w:rFonts w:hint="eastAsia" w:ascii="黑体" w:hAnsi="黑体" w:eastAsia="黑体" w:cs="黑体"/>
          <w:kern w:val="0"/>
          <w:sz w:val="24"/>
        </w:rPr>
      </w:pPr>
      <w:r>
        <w:rPr>
          <w:rFonts w:hint="eastAsia" w:ascii="黑体" w:hAnsi="黑体" w:eastAsia="黑体" w:cs="黑体"/>
          <w:kern w:val="0"/>
          <w:sz w:val="24"/>
        </w:rPr>
        <w:t>8.5.3、 9.0.8</w:t>
      </w:r>
    </w:p>
    <w:p>
      <w:pPr>
        <w:adjustRightInd w:val="0"/>
        <w:snapToGrid w:val="0"/>
        <w:spacing w:line="360" w:lineRule="auto"/>
        <w:rPr>
          <w:rFonts w:hint="eastAsia" w:ascii="黑体" w:hAnsi="黑体" w:eastAsia="黑体" w:cs="Arial"/>
          <w:sz w:val="24"/>
          <w:szCs w:val="24"/>
        </w:rPr>
      </w:pPr>
      <w:r>
        <w:rPr>
          <w:rFonts w:hint="eastAsia" w:ascii="Arial" w:hAnsi="Arial" w:cs="Arial"/>
          <w:sz w:val="24"/>
          <w:szCs w:val="24"/>
        </w:rPr>
        <w:t>5）</w:t>
      </w:r>
      <w:r>
        <w:rPr>
          <w:rFonts w:hint="eastAsia" w:ascii="黑体" w:hAnsi="黑体" w:eastAsia="黑体" w:cs="Arial"/>
          <w:sz w:val="24"/>
          <w:szCs w:val="24"/>
        </w:rPr>
        <w:t>《保障性住房设计标准》（保障性租赁住房改建分册）</w:t>
      </w:r>
      <w:r>
        <w:rPr>
          <w:rFonts w:ascii="Arial" w:hAnsi="Arial" w:cs="Arial"/>
          <w:sz w:val="24"/>
          <w:szCs w:val="24"/>
        </w:rPr>
        <w:t>DG/TJ 08-2291C-2022</w:t>
      </w:r>
    </w:p>
    <w:p>
      <w:pPr>
        <w:spacing w:line="360" w:lineRule="auto"/>
        <w:ind w:firstLine="480" w:firstLineChars="200"/>
        <w:rPr>
          <w:rFonts w:hint="eastAsia" w:ascii="黑体" w:hAnsi="黑体" w:eastAsia="黑体" w:cs="黑体"/>
          <w:kern w:val="0"/>
          <w:sz w:val="24"/>
        </w:rPr>
      </w:pPr>
      <w:r>
        <w:rPr>
          <w:rFonts w:hint="eastAsia" w:ascii="黑体" w:hAnsi="黑体" w:eastAsia="黑体" w:cs="黑体"/>
          <w:kern w:val="0"/>
          <w:sz w:val="24"/>
        </w:rPr>
        <w:t>9.4.3</w:t>
      </w:r>
    </w:p>
    <w:p>
      <w:pPr>
        <w:adjustRightInd w:val="0"/>
        <w:snapToGrid w:val="0"/>
        <w:spacing w:line="360" w:lineRule="auto"/>
        <w:rPr>
          <w:rFonts w:hint="eastAsia" w:ascii="Arial" w:hAnsi="Arial" w:cs="Arial"/>
          <w:sz w:val="24"/>
          <w:szCs w:val="24"/>
        </w:rPr>
      </w:pPr>
      <w:r>
        <w:rPr>
          <w:rFonts w:ascii="Arial" w:hAnsi="Arial" w:cs="Arial"/>
          <w:sz w:val="24"/>
          <w:szCs w:val="24"/>
        </w:rPr>
        <w:t>6</w:t>
      </w:r>
      <w:r>
        <w:rPr>
          <w:rFonts w:hint="eastAsia" w:ascii="Arial" w:hAnsi="Arial" w:cs="Arial"/>
          <w:sz w:val="24"/>
          <w:szCs w:val="24"/>
        </w:rPr>
        <w:t>）</w:t>
      </w:r>
      <w:r>
        <w:rPr>
          <w:rFonts w:hint="eastAsia" w:ascii="黑体" w:hAnsi="黑体" w:eastAsia="黑体" w:cs="Arial"/>
          <w:sz w:val="24"/>
          <w:szCs w:val="24"/>
        </w:rPr>
        <w:t>《民用建筑电气防火设计规程》</w:t>
      </w:r>
      <w:r>
        <w:rPr>
          <w:rFonts w:hint="eastAsia" w:ascii="Arial" w:hAnsi="Arial" w:cs="Arial"/>
          <w:sz w:val="24"/>
          <w:szCs w:val="24"/>
        </w:rPr>
        <w:t>DGJ08-2048-2016</w:t>
      </w:r>
    </w:p>
    <w:p>
      <w:pPr>
        <w:spacing w:line="360" w:lineRule="auto"/>
        <w:ind w:firstLine="480" w:firstLineChars="200"/>
        <w:rPr>
          <w:rFonts w:hint="eastAsia" w:ascii="黑体" w:hAnsi="黑体" w:eastAsia="黑体" w:cs="黑体"/>
          <w:kern w:val="0"/>
          <w:sz w:val="24"/>
        </w:rPr>
      </w:pPr>
      <w:r>
        <w:rPr>
          <w:rFonts w:hint="eastAsia" w:ascii="黑体" w:hAnsi="黑体" w:eastAsia="黑体" w:cs="黑体"/>
          <w:kern w:val="0"/>
          <w:sz w:val="24"/>
        </w:rPr>
        <w:t>8.1.6、8.4.9</w:t>
      </w:r>
    </w:p>
    <w:p>
      <w:pPr>
        <w:adjustRightInd w:val="0"/>
        <w:snapToGrid w:val="0"/>
        <w:spacing w:line="360" w:lineRule="auto"/>
        <w:rPr>
          <w:rFonts w:hint="eastAsia" w:ascii="Arial" w:hAnsi="Arial" w:cs="Arial"/>
          <w:sz w:val="24"/>
          <w:szCs w:val="24"/>
        </w:rPr>
      </w:pPr>
      <w:r>
        <w:rPr>
          <w:rFonts w:ascii="Arial" w:hAnsi="Arial" w:cs="Arial"/>
          <w:sz w:val="24"/>
          <w:szCs w:val="24"/>
        </w:rPr>
        <w:t>7</w:t>
      </w:r>
      <w:r>
        <w:rPr>
          <w:rFonts w:hint="eastAsia" w:ascii="Arial" w:hAnsi="Arial" w:cs="Arial"/>
          <w:sz w:val="24"/>
          <w:szCs w:val="24"/>
        </w:rPr>
        <w:t>）</w:t>
      </w:r>
      <w:r>
        <w:rPr>
          <w:rFonts w:hint="eastAsia" w:ascii="黑体" w:hAnsi="黑体" w:eastAsia="黑体" w:cs="Arial"/>
          <w:sz w:val="24"/>
          <w:szCs w:val="24"/>
        </w:rPr>
        <w:t>《公共建筑节能设计标准》</w:t>
      </w:r>
      <w:r>
        <w:rPr>
          <w:rFonts w:hint="eastAsia" w:ascii="Arial" w:hAnsi="Arial" w:cs="Arial"/>
          <w:sz w:val="24"/>
          <w:szCs w:val="24"/>
        </w:rPr>
        <w:t>DGJ08-107-2015</w:t>
      </w:r>
    </w:p>
    <w:p>
      <w:pPr>
        <w:spacing w:line="360" w:lineRule="auto"/>
        <w:ind w:firstLine="480" w:firstLineChars="200"/>
        <w:rPr>
          <w:rFonts w:hint="eastAsia" w:ascii="黑体" w:hAnsi="黑体" w:eastAsia="黑体" w:cs="黑体"/>
          <w:kern w:val="0"/>
          <w:sz w:val="24"/>
        </w:rPr>
      </w:pPr>
      <w:r>
        <w:rPr>
          <w:rFonts w:hint="eastAsia" w:ascii="黑体" w:hAnsi="黑体" w:eastAsia="黑体" w:cs="黑体"/>
          <w:kern w:val="0"/>
          <w:sz w:val="24"/>
        </w:rPr>
        <w:t>6.2.1</w:t>
      </w:r>
    </w:p>
    <w:p>
      <w:pPr>
        <w:adjustRightInd w:val="0"/>
        <w:snapToGrid w:val="0"/>
        <w:spacing w:line="360" w:lineRule="auto"/>
        <w:rPr>
          <w:rFonts w:hint="eastAsia" w:ascii="Arial" w:hAnsi="Arial" w:cs="Arial"/>
          <w:sz w:val="24"/>
          <w:szCs w:val="24"/>
        </w:rPr>
      </w:pPr>
      <w:r>
        <w:rPr>
          <w:rFonts w:ascii="黑体" w:hAnsi="黑体" w:eastAsia="黑体" w:cs="Arial"/>
          <w:sz w:val="24"/>
          <w:szCs w:val="24"/>
        </w:rPr>
        <w:t>8</w:t>
      </w:r>
      <w:r>
        <w:rPr>
          <w:rFonts w:hint="eastAsia" w:ascii="黑体" w:hAnsi="黑体" w:eastAsia="黑体" w:cs="Arial"/>
          <w:sz w:val="24"/>
          <w:szCs w:val="24"/>
        </w:rPr>
        <w:t xml:space="preserve">）《大型物流建筑消防设计标准》 </w:t>
      </w:r>
      <w:r>
        <w:rPr>
          <w:rFonts w:hint="eastAsia" w:ascii="Arial" w:hAnsi="Arial" w:cs="Arial"/>
          <w:sz w:val="24"/>
          <w:szCs w:val="24"/>
        </w:rPr>
        <w:t>DG/TJ 08-2343-2020</w:t>
      </w:r>
    </w:p>
    <w:p>
      <w:pPr>
        <w:spacing w:line="360" w:lineRule="auto"/>
        <w:ind w:firstLine="480" w:firstLineChars="200"/>
        <w:rPr>
          <w:rFonts w:hint="eastAsia" w:ascii="黑体" w:hAnsi="黑体" w:eastAsia="黑体" w:cs="黑体"/>
          <w:kern w:val="0"/>
          <w:sz w:val="24"/>
        </w:rPr>
      </w:pPr>
      <w:r>
        <w:rPr>
          <w:rFonts w:hint="eastAsia" w:ascii="黑体" w:hAnsi="黑体" w:eastAsia="黑体" w:cs="黑体"/>
          <w:kern w:val="0"/>
          <w:sz w:val="24"/>
        </w:rPr>
        <w:t>6.1.1、6.1.3、6.4.4、6.4.5</w:t>
      </w:r>
    </w:p>
    <w:p>
      <w:pPr>
        <w:adjustRightInd w:val="0"/>
        <w:snapToGrid w:val="0"/>
        <w:spacing w:line="360" w:lineRule="auto"/>
        <w:rPr>
          <w:rFonts w:hint="eastAsia" w:ascii="Arial" w:hAnsi="Arial" w:cs="Arial"/>
          <w:sz w:val="24"/>
          <w:szCs w:val="24"/>
        </w:rPr>
      </w:pPr>
      <w:r>
        <w:rPr>
          <w:rFonts w:ascii="黑体" w:hAnsi="黑体" w:eastAsia="黑体" w:cs="Arial"/>
          <w:sz w:val="24"/>
          <w:szCs w:val="24"/>
        </w:rPr>
        <w:t>9</w:t>
      </w:r>
      <w:r>
        <w:rPr>
          <w:rFonts w:hint="eastAsia" w:ascii="黑体" w:hAnsi="黑体" w:eastAsia="黑体" w:cs="Arial"/>
          <w:sz w:val="24"/>
          <w:szCs w:val="24"/>
        </w:rPr>
        <w:t>）</w:t>
      </w:r>
      <w:r>
        <w:rPr>
          <w:rFonts w:hint="eastAsia" w:ascii="Arial" w:hAnsi="Arial" w:eastAsia="黑体" w:cs="Arial"/>
          <w:sz w:val="24"/>
          <w:szCs w:val="24"/>
        </w:rPr>
        <w:t>《城市综合体消防技术标准》</w:t>
      </w:r>
      <w:r>
        <w:rPr>
          <w:rFonts w:hint="eastAsia" w:ascii="Arial" w:hAnsi="Arial" w:cs="Arial"/>
          <w:sz w:val="24"/>
          <w:szCs w:val="24"/>
        </w:rPr>
        <w:t>DG/TJ 08-2408-2022</w:t>
      </w:r>
    </w:p>
    <w:p>
      <w:pPr>
        <w:spacing w:line="360" w:lineRule="auto"/>
        <w:ind w:firstLine="480" w:firstLineChars="200"/>
        <w:rPr>
          <w:rFonts w:hint="eastAsia" w:ascii="黑体" w:hAnsi="黑体" w:eastAsia="黑体" w:cs="黑体"/>
          <w:kern w:val="0"/>
          <w:sz w:val="24"/>
        </w:rPr>
      </w:pPr>
      <w:r>
        <w:rPr>
          <w:rFonts w:hint="eastAsia" w:ascii="黑体" w:hAnsi="黑体" w:eastAsia="黑体" w:cs="黑体"/>
          <w:kern w:val="0"/>
          <w:sz w:val="24"/>
        </w:rPr>
        <w:t>8.3.1、8.3.2、8.3.3、8.3.5、8.3.9、8.3.11</w:t>
      </w:r>
    </w:p>
    <w:p>
      <w:pPr>
        <w:adjustRightInd w:val="0"/>
        <w:snapToGrid w:val="0"/>
        <w:spacing w:line="360" w:lineRule="auto"/>
        <w:rPr>
          <w:rFonts w:hint="eastAsia" w:ascii="Arial" w:hAnsi="Arial" w:cs="Arial"/>
          <w:sz w:val="24"/>
          <w:szCs w:val="24"/>
        </w:rPr>
      </w:pPr>
      <w:r>
        <w:rPr>
          <w:rFonts w:ascii="黑体" w:hAnsi="黑体" w:eastAsia="黑体" w:cs="Arial"/>
          <w:sz w:val="24"/>
          <w:szCs w:val="24"/>
        </w:rPr>
        <w:t>10</w:t>
      </w:r>
      <w:r>
        <w:rPr>
          <w:rFonts w:hint="eastAsia" w:ascii="黑体" w:hAnsi="黑体" w:eastAsia="黑体" w:cs="Arial"/>
          <w:sz w:val="24"/>
          <w:szCs w:val="24"/>
        </w:rPr>
        <w:t>）《文物和优秀历史建筑消防技术标准》</w:t>
      </w:r>
      <w:r>
        <w:rPr>
          <w:rFonts w:hint="eastAsia" w:ascii="Arial" w:hAnsi="Arial" w:cs="Arial"/>
          <w:sz w:val="24"/>
          <w:szCs w:val="24"/>
        </w:rPr>
        <w:t>DG/TJ 08-2410-2022</w:t>
      </w:r>
    </w:p>
    <w:p>
      <w:pPr>
        <w:spacing w:line="360" w:lineRule="auto"/>
        <w:ind w:firstLine="480" w:firstLineChars="200"/>
        <w:rPr>
          <w:rFonts w:hint="eastAsia" w:ascii="黑体" w:hAnsi="黑体" w:eastAsia="黑体" w:cs="黑体"/>
          <w:kern w:val="0"/>
          <w:sz w:val="24"/>
        </w:rPr>
      </w:pPr>
      <w:r>
        <w:rPr>
          <w:rFonts w:hint="eastAsia" w:ascii="黑体" w:hAnsi="黑体" w:eastAsia="黑体" w:cs="黑体"/>
          <w:kern w:val="0"/>
          <w:sz w:val="24"/>
        </w:rPr>
        <w:t>6.3.3、6.3.8、6.3.16</w:t>
      </w:r>
    </w:p>
    <w:p>
      <w:pPr>
        <w:adjustRightInd w:val="0"/>
        <w:snapToGrid w:val="0"/>
        <w:spacing w:line="360" w:lineRule="auto"/>
        <w:rPr>
          <w:rFonts w:hint="eastAsia" w:ascii="Arial" w:hAnsi="Arial" w:cs="Arial"/>
          <w:sz w:val="24"/>
          <w:szCs w:val="24"/>
        </w:rPr>
      </w:pPr>
      <w:r>
        <w:rPr>
          <w:rFonts w:ascii="Arial" w:hAnsi="Arial" w:cs="Arial"/>
          <w:sz w:val="24"/>
          <w:szCs w:val="24"/>
        </w:rPr>
        <w:t>11</w:t>
      </w:r>
      <w:r>
        <w:rPr>
          <w:rFonts w:hint="eastAsia" w:ascii="Arial" w:hAnsi="Arial" w:cs="Arial"/>
          <w:sz w:val="24"/>
          <w:szCs w:val="24"/>
        </w:rPr>
        <w:t>）</w:t>
      </w:r>
      <w:r>
        <w:rPr>
          <w:rFonts w:hint="eastAsia" w:ascii="黑体" w:hAnsi="黑体" w:eastAsia="黑体" w:cs="Arial"/>
          <w:sz w:val="24"/>
          <w:szCs w:val="24"/>
        </w:rPr>
        <w:t>《公共建筑用能监测系统工程技术标准》</w:t>
      </w:r>
      <w:r>
        <w:rPr>
          <w:rFonts w:hint="eastAsia" w:ascii="Arial" w:hAnsi="Arial" w:cs="Arial"/>
          <w:sz w:val="24"/>
          <w:szCs w:val="24"/>
        </w:rPr>
        <w:t>DGJ08-2068-2017</w:t>
      </w:r>
    </w:p>
    <w:p>
      <w:pPr>
        <w:spacing w:line="360" w:lineRule="auto"/>
        <w:ind w:firstLine="480" w:firstLineChars="200"/>
        <w:rPr>
          <w:rFonts w:hint="eastAsia" w:ascii="黑体" w:hAnsi="黑体" w:eastAsia="黑体" w:cs="黑体"/>
          <w:kern w:val="0"/>
          <w:sz w:val="24"/>
        </w:rPr>
      </w:pPr>
      <w:r>
        <w:rPr>
          <w:rFonts w:hint="eastAsia" w:ascii="黑体" w:hAnsi="黑体" w:eastAsia="黑体" w:cs="黑体"/>
          <w:kern w:val="0"/>
          <w:sz w:val="24"/>
        </w:rPr>
        <w:t>4.2.2</w:t>
      </w:r>
    </w:p>
    <w:p>
      <w:pPr>
        <w:spacing w:line="360" w:lineRule="auto"/>
        <w:ind w:firstLine="420" w:firstLineChars="200"/>
      </w:pPr>
    </w:p>
    <w:p>
      <w:pPr>
        <w:pStyle w:val="2"/>
        <w:adjustRightInd w:val="0"/>
        <w:snapToGrid w:val="0"/>
        <w:spacing w:beforeLines="0" w:afterLines="0"/>
        <w:ind w:left="0" w:firstLine="0"/>
        <w:rPr>
          <w:szCs w:val="32"/>
        </w:rPr>
      </w:pPr>
      <w:r>
        <w:rPr>
          <w:rFonts w:hint="eastAsia"/>
        </w:rPr>
        <w:t>四、动力</w:t>
      </w:r>
      <w:r>
        <w:t>专业</w:t>
      </w:r>
      <w:bookmarkEnd w:id="43"/>
    </w:p>
    <w:p>
      <w:pPr>
        <w:pStyle w:val="2"/>
        <w:adjustRightInd w:val="0"/>
        <w:snapToGrid w:val="0"/>
        <w:spacing w:before="312" w:after="312" w:line="480" w:lineRule="auto"/>
        <w:rPr>
          <w:rFonts w:cs="Arial"/>
          <w:sz w:val="32"/>
          <w:szCs w:val="32"/>
        </w:rPr>
      </w:pPr>
      <w:bookmarkStart w:id="49" w:name="_Toc154331142"/>
      <w:r>
        <w:rPr>
          <w:rFonts w:cs="Arial"/>
          <w:sz w:val="32"/>
          <w:szCs w:val="32"/>
        </w:rPr>
        <w:t>4.1建筑设备</w:t>
      </w:r>
      <w:bookmarkEnd w:id="49"/>
    </w:p>
    <w:p>
      <w:pPr>
        <w:spacing w:line="360" w:lineRule="auto"/>
        <w:rPr>
          <w:rFonts w:ascii="Arial" w:hAnsi="Arial" w:cs="Arial"/>
          <w:bCs/>
          <w:sz w:val="24"/>
          <w:szCs w:val="24"/>
        </w:rPr>
      </w:pPr>
      <w:r>
        <w:rPr>
          <w:rFonts w:ascii="黑体" w:hAnsi="黑体" w:eastAsia="黑体" w:cs="Arial"/>
          <w:bCs/>
          <w:sz w:val="24"/>
          <w:szCs w:val="24"/>
        </w:rPr>
        <w:t>《</w:t>
      </w:r>
      <w:r>
        <w:rPr>
          <w:rFonts w:hint="eastAsia" w:ascii="黑体" w:hAnsi="黑体" w:eastAsia="黑体" w:cs="Arial"/>
          <w:bCs/>
          <w:sz w:val="24"/>
          <w:szCs w:val="24"/>
        </w:rPr>
        <w:t>城镇天然气管道工程技术标准</w:t>
      </w:r>
      <w:r>
        <w:rPr>
          <w:rFonts w:ascii="黑体" w:hAnsi="黑体" w:eastAsia="黑体" w:cs="Arial"/>
          <w:bCs/>
          <w:sz w:val="24"/>
          <w:szCs w:val="24"/>
        </w:rPr>
        <w:t>》</w:t>
      </w:r>
      <w:r>
        <w:rPr>
          <w:rFonts w:ascii="Arial" w:hAnsi="Arial" w:cs="Arial"/>
          <w:bCs/>
          <w:sz w:val="24"/>
          <w:szCs w:val="24"/>
        </w:rPr>
        <w:t>DG</w:t>
      </w:r>
      <w:r>
        <w:rPr>
          <w:rFonts w:hint="eastAsia" w:ascii="Arial" w:hAnsi="Arial" w:cs="Arial"/>
          <w:bCs/>
          <w:sz w:val="24"/>
          <w:szCs w:val="24"/>
        </w:rPr>
        <w:t>/TJ08-10</w:t>
      </w:r>
      <w:r>
        <w:rPr>
          <w:rFonts w:ascii="Arial" w:hAnsi="Arial" w:cs="Arial"/>
          <w:bCs/>
          <w:sz w:val="24"/>
          <w:szCs w:val="24"/>
        </w:rPr>
        <w:t>-20</w:t>
      </w:r>
      <w:r>
        <w:rPr>
          <w:rFonts w:hint="eastAsia" w:ascii="Arial" w:hAnsi="Arial" w:cs="Arial"/>
          <w:bCs/>
          <w:sz w:val="24"/>
          <w:szCs w:val="24"/>
        </w:rPr>
        <w:t>22</w:t>
      </w:r>
    </w:p>
    <w:p>
      <w:pPr>
        <w:spacing w:line="360" w:lineRule="auto"/>
        <w:rPr>
          <w:rFonts w:ascii="Arial" w:hAnsi="Arial" w:cs="Arial"/>
          <w:sz w:val="24"/>
          <w:szCs w:val="24"/>
        </w:rPr>
      </w:pPr>
      <w:r>
        <w:rPr>
          <w:rFonts w:hint="eastAsia" w:ascii="宋体" w:hAnsi="宋体"/>
          <w:b/>
          <w:bCs/>
          <w:color w:val="000000"/>
          <w:sz w:val="24"/>
        </w:rPr>
        <w:t>4.1.1</w:t>
      </w:r>
      <w:r>
        <w:rPr>
          <w:rFonts w:hint="eastAsia" w:ascii="宋体" w:hAnsi="宋体"/>
          <w:b/>
          <w:bCs/>
          <w:color w:val="000000"/>
          <w:sz w:val="24"/>
          <w:lang w:val="en-US" w:eastAsia="zh-CN"/>
        </w:rPr>
        <w:t xml:space="preserve"> </w:t>
      </w:r>
      <w:r>
        <w:rPr>
          <w:rFonts w:hint="eastAsia" w:ascii="Arial" w:hAnsi="Arial" w:cs="Arial"/>
          <w:sz w:val="24"/>
          <w:szCs w:val="24"/>
        </w:rPr>
        <w:t>管道埋设应符合下列规定：</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Arial" w:hAnsi="Arial" w:cs="Arial"/>
          <w:sz w:val="24"/>
          <w:szCs w:val="24"/>
        </w:rPr>
      </w:pPr>
      <w:r>
        <w:rPr>
          <w:rFonts w:hint="eastAsia" w:ascii="宋体" w:hAnsi="宋体"/>
          <w:b/>
          <w:bCs/>
          <w:color w:val="000000"/>
          <w:sz w:val="24"/>
        </w:rPr>
        <w:t>1</w:t>
      </w:r>
      <w:r>
        <w:rPr>
          <w:rFonts w:hint="eastAsia" w:ascii="Arial" w:hAnsi="Arial" w:cs="Arial"/>
          <w:sz w:val="24"/>
          <w:szCs w:val="24"/>
        </w:rPr>
        <w:t xml:space="preserve"> 不得埋设在建筑物及构筑物的基础下（包括雨、污水窨井内）</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Arial" w:hAnsi="Arial" w:cs="Arial"/>
          <w:sz w:val="24"/>
          <w:szCs w:val="24"/>
        </w:rPr>
      </w:pPr>
      <w:r>
        <w:rPr>
          <w:rFonts w:hint="eastAsia" w:ascii="宋体" w:hAnsi="宋体"/>
          <w:b/>
          <w:bCs/>
          <w:color w:val="000000"/>
          <w:sz w:val="24"/>
        </w:rPr>
        <w:t>2</w:t>
      </w:r>
      <w:r>
        <w:rPr>
          <w:rFonts w:hint="eastAsia" w:ascii="Arial" w:hAnsi="Arial" w:cs="Arial"/>
          <w:sz w:val="24"/>
          <w:szCs w:val="24"/>
          <w:lang w:val="en-US" w:eastAsia="zh-CN"/>
        </w:rPr>
        <w:t xml:space="preserve"> </w:t>
      </w:r>
      <w:r>
        <w:rPr>
          <w:rFonts w:hint="eastAsia" w:ascii="Arial" w:hAnsi="Arial" w:cs="Arial"/>
          <w:sz w:val="24"/>
          <w:szCs w:val="24"/>
        </w:rPr>
        <w:t>不得埋设在高压电力走廊及铁塔下</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Arial" w:hAnsi="Arial" w:cs="Arial"/>
          <w:sz w:val="24"/>
          <w:szCs w:val="24"/>
        </w:rPr>
      </w:pPr>
      <w:r>
        <w:rPr>
          <w:rFonts w:hint="eastAsia" w:ascii="宋体" w:hAnsi="宋体"/>
          <w:b/>
          <w:bCs/>
          <w:color w:val="000000"/>
          <w:sz w:val="24"/>
        </w:rPr>
        <w:t>4</w:t>
      </w:r>
      <w:r>
        <w:rPr>
          <w:rFonts w:hint="eastAsia" w:ascii="Arial" w:hAnsi="Arial" w:cs="Arial"/>
          <w:sz w:val="24"/>
          <w:szCs w:val="24"/>
        </w:rPr>
        <w:t xml:space="preserve"> 不得埋设在堆积易燃、易爆材料和具有腐蚀性气、液体的场所下。</w:t>
      </w:r>
    </w:p>
    <w:p>
      <w:pPr>
        <w:spacing w:line="360" w:lineRule="auto"/>
        <w:rPr>
          <w:rFonts w:ascii="Arial" w:hAnsi="Arial" w:cs="Arial"/>
          <w:sz w:val="24"/>
          <w:szCs w:val="24"/>
        </w:rPr>
      </w:pPr>
      <w:r>
        <w:rPr>
          <w:rFonts w:hint="eastAsia" w:ascii="宋体" w:hAnsi="宋体"/>
          <w:b/>
          <w:bCs/>
          <w:color w:val="000000"/>
          <w:sz w:val="24"/>
        </w:rPr>
        <w:t>5.3.2</w:t>
      </w:r>
      <w:r>
        <w:rPr>
          <w:rFonts w:hint="eastAsia" w:ascii="Arial" w:hAnsi="Arial" w:cs="Arial"/>
          <w:sz w:val="24"/>
          <w:szCs w:val="24"/>
        </w:rPr>
        <w:t xml:space="preserve"> 进户管设置应靠近用气点，但不得设置在下列场所：</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hint="eastAsia" w:ascii="Arial" w:hAnsi="Arial" w:eastAsia="宋体" w:cs="Arial"/>
          <w:sz w:val="24"/>
          <w:szCs w:val="24"/>
          <w:lang w:eastAsia="zh-CN"/>
        </w:rPr>
      </w:pPr>
      <w:r>
        <w:rPr>
          <w:rFonts w:hint="eastAsia" w:ascii="宋体" w:hAnsi="宋体"/>
          <w:b/>
          <w:bCs/>
          <w:color w:val="000000"/>
          <w:sz w:val="24"/>
        </w:rPr>
        <w:t>1</w:t>
      </w:r>
      <w:r>
        <w:rPr>
          <w:rFonts w:hint="eastAsia" w:ascii="Arial" w:hAnsi="Arial" w:cs="Arial"/>
          <w:sz w:val="24"/>
          <w:szCs w:val="24"/>
        </w:rPr>
        <w:t xml:space="preserve"> 浴室、厕所、卧室</w:t>
      </w:r>
      <w:r>
        <w:rPr>
          <w:rFonts w:hint="eastAsia" w:ascii="Arial" w:hAnsi="Arial" w:cs="Arial"/>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Arial" w:hAnsi="Arial" w:cs="Arial"/>
          <w:sz w:val="24"/>
          <w:szCs w:val="24"/>
        </w:rPr>
      </w:pPr>
      <w:r>
        <w:rPr>
          <w:rFonts w:hint="eastAsia" w:ascii="宋体" w:hAnsi="宋体"/>
          <w:b/>
          <w:bCs/>
          <w:color w:val="000000"/>
          <w:sz w:val="24"/>
        </w:rPr>
        <w:t>2</w:t>
      </w:r>
      <w:r>
        <w:rPr>
          <w:rFonts w:hint="eastAsia" w:ascii="Arial" w:hAnsi="Arial" w:cs="Arial"/>
          <w:sz w:val="24"/>
          <w:szCs w:val="24"/>
        </w:rPr>
        <w:t xml:space="preserve"> 存放易燃易爆物品、腐蚀性气（液）体的房间。变配电室和不使用天然气的锅炉房和空调机房。</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hint="eastAsia" w:ascii="Arial" w:hAnsi="Arial" w:eastAsia="宋体" w:cs="Arial"/>
          <w:sz w:val="24"/>
          <w:szCs w:val="24"/>
          <w:lang w:eastAsia="zh-CN"/>
        </w:rPr>
      </w:pPr>
      <w:r>
        <w:rPr>
          <w:rFonts w:hint="eastAsia" w:ascii="宋体" w:hAnsi="宋体"/>
          <w:b/>
          <w:bCs/>
          <w:color w:val="000000"/>
          <w:sz w:val="24"/>
        </w:rPr>
        <w:t>3</w:t>
      </w:r>
      <w:r>
        <w:rPr>
          <w:rFonts w:hint="eastAsia" w:ascii="Arial" w:hAnsi="Arial" w:cs="Arial"/>
          <w:sz w:val="24"/>
          <w:szCs w:val="24"/>
        </w:rPr>
        <w:t xml:space="preserve"> 垃圾道、烟道、通风机室，且应与进风口保持不小于2m的净距</w:t>
      </w:r>
      <w:r>
        <w:rPr>
          <w:rFonts w:hint="eastAsia" w:ascii="Arial" w:hAnsi="Arial" w:cs="Arial"/>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hint="eastAsia" w:ascii="Arial" w:hAnsi="Arial" w:eastAsia="宋体" w:cs="Arial"/>
          <w:sz w:val="24"/>
          <w:szCs w:val="24"/>
          <w:lang w:eastAsia="zh-CN"/>
        </w:rPr>
      </w:pPr>
      <w:r>
        <w:rPr>
          <w:rFonts w:hint="eastAsia" w:ascii="宋体" w:hAnsi="宋体"/>
          <w:b/>
          <w:bCs/>
          <w:color w:val="000000"/>
          <w:sz w:val="24"/>
        </w:rPr>
        <w:t xml:space="preserve">4 </w:t>
      </w:r>
      <w:r>
        <w:rPr>
          <w:rFonts w:hint="eastAsia" w:ascii="Arial" w:hAnsi="Arial" w:cs="Arial"/>
          <w:sz w:val="24"/>
          <w:szCs w:val="24"/>
        </w:rPr>
        <w:t>仓库、机要室及人员不便进入的场所</w:t>
      </w:r>
      <w:r>
        <w:rPr>
          <w:rFonts w:hint="eastAsia" w:ascii="Arial" w:hAnsi="Arial" w:cs="Arial"/>
          <w:sz w:val="24"/>
          <w:szCs w:val="24"/>
          <w:lang w:eastAsia="zh-CN"/>
        </w:rPr>
        <w:t>。</w:t>
      </w:r>
    </w:p>
    <w:p>
      <w:pPr>
        <w:spacing w:line="360" w:lineRule="auto"/>
        <w:rPr>
          <w:rFonts w:ascii="Arial" w:hAnsi="Arial" w:cs="Arial"/>
          <w:sz w:val="24"/>
          <w:szCs w:val="24"/>
        </w:rPr>
      </w:pPr>
      <w:r>
        <w:rPr>
          <w:rFonts w:hint="eastAsia" w:ascii="宋体" w:hAnsi="宋体"/>
          <w:b/>
          <w:bCs/>
          <w:color w:val="000000"/>
          <w:sz w:val="24"/>
        </w:rPr>
        <w:t>5.4.10</w:t>
      </w:r>
      <w:r>
        <w:rPr>
          <w:rFonts w:hint="eastAsia" w:ascii="Arial" w:hAnsi="Arial" w:cs="Arial"/>
          <w:sz w:val="24"/>
          <w:szCs w:val="24"/>
          <w:lang w:val="en-US" w:eastAsia="zh-CN"/>
        </w:rPr>
        <w:t xml:space="preserve"> </w:t>
      </w:r>
      <w:r>
        <w:rPr>
          <w:rFonts w:hint="eastAsia" w:ascii="Arial" w:hAnsi="Arial" w:cs="Arial"/>
          <w:sz w:val="24"/>
          <w:szCs w:val="24"/>
        </w:rPr>
        <w:t>天然气管道敷设在地下室和地上密闭房间时，应符合下列要求：</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Arial" w:hAnsi="Arial" w:cs="Arial"/>
          <w:sz w:val="24"/>
          <w:szCs w:val="24"/>
        </w:rPr>
      </w:pPr>
      <w:r>
        <w:rPr>
          <w:rFonts w:hint="eastAsia" w:ascii="宋体" w:hAnsi="宋体"/>
          <w:b/>
          <w:bCs/>
          <w:color w:val="000000"/>
          <w:sz w:val="24"/>
        </w:rPr>
        <w:t xml:space="preserve">1 </w:t>
      </w:r>
      <w:r>
        <w:rPr>
          <w:rFonts w:hint="eastAsia" w:ascii="Arial" w:hAnsi="Arial" w:cs="Arial"/>
          <w:sz w:val="24"/>
          <w:szCs w:val="24"/>
        </w:rPr>
        <w:t>应采用无缝钢制管件、无缝钢管或焊接钢管，钢管、管件、法兰、阀门均应提高1个压力等级选用。</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Arial" w:hAnsi="Arial" w:cs="Arial"/>
          <w:sz w:val="24"/>
          <w:szCs w:val="24"/>
        </w:rPr>
      </w:pPr>
      <w:r>
        <w:rPr>
          <w:rFonts w:hint="eastAsia" w:ascii="宋体" w:hAnsi="宋体"/>
          <w:b/>
          <w:bCs/>
          <w:color w:val="000000"/>
          <w:sz w:val="24"/>
        </w:rPr>
        <w:t>5</w:t>
      </w:r>
      <w:r>
        <w:rPr>
          <w:rFonts w:hint="eastAsia" w:ascii="宋体" w:hAnsi="宋体"/>
          <w:b/>
          <w:bCs/>
          <w:color w:val="000000"/>
          <w:sz w:val="24"/>
          <w:lang w:val="en-US" w:eastAsia="zh-CN"/>
        </w:rPr>
        <w:t xml:space="preserve"> </w:t>
      </w:r>
      <w:r>
        <w:rPr>
          <w:rFonts w:hint="eastAsia" w:ascii="Arial" w:hAnsi="Arial" w:cs="Arial"/>
          <w:sz w:val="24"/>
          <w:szCs w:val="24"/>
        </w:rPr>
        <w:t>天然气管道的末端应设手动放散阀和放散管，其管口应接到地面安全处，高出地面高度不应小于3m。</w:t>
      </w:r>
    </w:p>
    <w:p>
      <w:pPr>
        <w:spacing w:line="360" w:lineRule="auto"/>
        <w:rPr>
          <w:rFonts w:ascii="Arial" w:hAnsi="Arial" w:cs="Arial"/>
          <w:sz w:val="24"/>
          <w:szCs w:val="24"/>
        </w:rPr>
      </w:pPr>
      <w:r>
        <w:rPr>
          <w:rFonts w:hint="eastAsia" w:ascii="宋体" w:hAnsi="宋体"/>
          <w:b/>
          <w:bCs/>
          <w:color w:val="000000"/>
          <w:sz w:val="24"/>
        </w:rPr>
        <w:t>5.4.12</w:t>
      </w:r>
      <w:r>
        <w:rPr>
          <w:rFonts w:hint="eastAsia" w:ascii="Arial" w:hAnsi="Arial" w:cs="Arial"/>
          <w:sz w:val="24"/>
          <w:szCs w:val="24"/>
        </w:rPr>
        <w:t xml:space="preserve"> 高层、超高层建筑用气应采取下列安全措施：</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Arial" w:hAnsi="Arial" w:eastAsia="黑体" w:cs="Arial"/>
          <w:sz w:val="24"/>
          <w:szCs w:val="24"/>
        </w:rPr>
      </w:pPr>
      <w:r>
        <w:rPr>
          <w:rFonts w:hint="eastAsia" w:ascii="宋体" w:hAnsi="宋体"/>
          <w:b/>
          <w:bCs/>
          <w:color w:val="000000"/>
          <w:sz w:val="24"/>
        </w:rPr>
        <w:t xml:space="preserve">2 </w:t>
      </w:r>
      <w:r>
        <w:rPr>
          <w:rFonts w:hint="eastAsia" w:ascii="Arial" w:hAnsi="Arial" w:cs="Arial"/>
          <w:sz w:val="24"/>
          <w:szCs w:val="24"/>
        </w:rPr>
        <w:t>天然气立管高度大于60m、小于120 m时，设置不少于1个固定支撑；天然气立管高度大于120m时，设置不少于2个固定支撑；天然气立管每延伸120m应再增加1个固定支撑。两个固定支撑之间及固定支撑和底部支撑之间应设置伸缩补偿器。</w:t>
      </w:r>
    </w:p>
    <w:p>
      <w:pPr>
        <w:spacing w:line="360" w:lineRule="auto"/>
        <w:rPr>
          <w:rFonts w:ascii="Arial" w:hAnsi="Arial" w:cs="Arial"/>
          <w:sz w:val="24"/>
          <w:szCs w:val="24"/>
        </w:rPr>
      </w:pPr>
      <w:r>
        <w:rPr>
          <w:rFonts w:hint="eastAsia" w:ascii="宋体" w:hAnsi="宋体"/>
          <w:b/>
          <w:bCs/>
          <w:color w:val="000000"/>
          <w:sz w:val="24"/>
        </w:rPr>
        <w:t>8.0.3</w:t>
      </w:r>
      <w:r>
        <w:rPr>
          <w:rFonts w:hint="eastAsia" w:ascii="宋体" w:hAnsi="宋体"/>
          <w:b/>
          <w:bCs/>
          <w:color w:val="000000"/>
          <w:sz w:val="24"/>
          <w:lang w:val="en-US" w:eastAsia="zh-CN"/>
        </w:rPr>
        <w:t xml:space="preserve"> </w:t>
      </w:r>
      <w:r>
        <w:rPr>
          <w:rFonts w:hint="eastAsia" w:ascii="Arial" w:hAnsi="Arial" w:cs="Arial"/>
          <w:sz w:val="24"/>
          <w:szCs w:val="24"/>
        </w:rPr>
        <w:t>天然气放散装置应符合下列要求：</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Arial" w:hAnsi="Arial" w:cs="Arial"/>
          <w:sz w:val="24"/>
          <w:szCs w:val="24"/>
        </w:rPr>
      </w:pPr>
      <w:r>
        <w:rPr>
          <w:rFonts w:hint="eastAsia" w:ascii="宋体" w:hAnsi="宋体"/>
          <w:b/>
          <w:bCs/>
          <w:color w:val="000000"/>
          <w:sz w:val="24"/>
        </w:rPr>
        <w:t>8</w:t>
      </w:r>
      <w:r>
        <w:rPr>
          <w:rFonts w:hint="eastAsia" w:ascii="Arial" w:hAnsi="Arial" w:cs="Arial"/>
          <w:sz w:val="24"/>
          <w:szCs w:val="24"/>
          <w:lang w:val="en-US" w:eastAsia="zh-CN"/>
        </w:rPr>
        <w:t xml:space="preserve"> </w:t>
      </w:r>
      <w:r>
        <w:rPr>
          <w:rFonts w:hint="eastAsia" w:ascii="Arial" w:hAnsi="Arial" w:cs="Arial"/>
          <w:sz w:val="24"/>
          <w:szCs w:val="24"/>
        </w:rPr>
        <w:t>放散管排放口位置应符合下列要求：</w:t>
      </w:r>
    </w:p>
    <w:p>
      <w:pPr>
        <w:spacing w:line="360" w:lineRule="auto"/>
        <w:rPr>
          <w:rFonts w:hint="eastAsia" w:ascii="Arial" w:hAnsi="Arial" w:eastAsia="宋体" w:cs="Arial"/>
          <w:sz w:val="24"/>
          <w:szCs w:val="24"/>
          <w:lang w:eastAsia="zh-CN"/>
        </w:rPr>
      </w:pPr>
      <w:r>
        <w:rPr>
          <w:rFonts w:ascii="Arial" w:hAnsi="Arial" w:cs="Arial"/>
          <w:sz w:val="24"/>
          <w:szCs w:val="24"/>
        </w:rPr>
        <w:tab/>
      </w:r>
      <w:r>
        <w:rPr>
          <w:rFonts w:hint="eastAsia" w:ascii="Arial" w:hAnsi="Arial" w:cs="Arial"/>
          <w:sz w:val="24"/>
          <w:szCs w:val="24"/>
        </w:rPr>
        <w:t>2）不得在厂房内部放散天然气</w:t>
      </w:r>
      <w:r>
        <w:rPr>
          <w:rFonts w:hint="eastAsia" w:ascii="Arial" w:hAnsi="Arial" w:cs="Arial"/>
          <w:sz w:val="24"/>
          <w:szCs w:val="24"/>
          <w:lang w:eastAsia="zh-CN"/>
        </w:rPr>
        <w:t>。</w:t>
      </w:r>
    </w:p>
    <w:p>
      <w:pPr>
        <w:spacing w:line="360" w:lineRule="auto"/>
        <w:rPr>
          <w:rFonts w:ascii="Arial" w:hAnsi="Arial" w:cs="Arial"/>
          <w:sz w:val="24"/>
          <w:szCs w:val="24"/>
        </w:rPr>
      </w:pPr>
    </w:p>
    <w:p>
      <w:pPr>
        <w:spacing w:line="360" w:lineRule="auto"/>
        <w:rPr>
          <w:rFonts w:ascii="Arial" w:hAnsi="Arial" w:cs="Arial"/>
          <w:sz w:val="24"/>
          <w:szCs w:val="24"/>
        </w:rPr>
      </w:pPr>
      <w:r>
        <w:rPr>
          <w:rFonts w:hint="eastAsia" w:ascii="宋体" w:hAnsi="宋体"/>
          <w:b/>
          <w:bCs/>
          <w:color w:val="000000"/>
          <w:sz w:val="24"/>
        </w:rPr>
        <w:t>10.3.3</w:t>
      </w:r>
      <w:r>
        <w:rPr>
          <w:rFonts w:hint="eastAsia" w:ascii="宋体" w:hAnsi="宋体"/>
          <w:b/>
          <w:bCs/>
          <w:color w:val="000000"/>
          <w:sz w:val="24"/>
          <w:lang w:val="en-US" w:eastAsia="zh-CN"/>
        </w:rPr>
        <w:t xml:space="preserve"> </w:t>
      </w:r>
      <w:r>
        <w:rPr>
          <w:rFonts w:hint="eastAsia" w:ascii="Arial" w:hAnsi="Arial" w:cs="Arial"/>
          <w:sz w:val="24"/>
          <w:szCs w:val="24"/>
        </w:rPr>
        <w:t>工业企业、公共建筑天然气计量表设置的位置应符合下列要求：</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Arial" w:hAnsi="Arial" w:cs="Arial"/>
          <w:sz w:val="24"/>
          <w:szCs w:val="24"/>
        </w:rPr>
      </w:pPr>
      <w:r>
        <w:rPr>
          <w:rFonts w:hint="eastAsia" w:ascii="宋体" w:hAnsi="宋体"/>
          <w:b/>
          <w:bCs/>
          <w:color w:val="000000"/>
          <w:sz w:val="24"/>
        </w:rPr>
        <w:t>4</w:t>
      </w:r>
      <w:r>
        <w:rPr>
          <w:rFonts w:hint="eastAsia" w:ascii="Arial" w:hAnsi="Arial" w:cs="Arial"/>
          <w:sz w:val="24"/>
          <w:szCs w:val="24"/>
        </w:rPr>
        <w:t xml:space="preserve"> 计量表安装的位置应符合抄表、检修、保养及安全使用的要求，严禁安装在下列场所：</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Arial" w:hAnsi="Arial" w:cs="Arial"/>
          <w:sz w:val="24"/>
          <w:szCs w:val="24"/>
        </w:rPr>
      </w:pPr>
      <w:r>
        <w:rPr>
          <w:rFonts w:hint="eastAsia" w:ascii="Arial" w:hAnsi="Arial" w:cs="Arial"/>
          <w:sz w:val="24"/>
          <w:szCs w:val="24"/>
        </w:rPr>
        <w:t>1）卧室、浴室、更衣室及厕所内。</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Arial" w:hAnsi="Arial" w:cs="Arial"/>
          <w:sz w:val="24"/>
          <w:szCs w:val="24"/>
        </w:rPr>
      </w:pPr>
      <w:r>
        <w:rPr>
          <w:rFonts w:hint="eastAsia" w:ascii="Arial" w:hAnsi="Arial" w:cs="Arial"/>
          <w:sz w:val="24"/>
          <w:szCs w:val="24"/>
        </w:rPr>
        <w:t>2）有电源、电器开关及其他电器设备的管道井内，或有可能滞留泄漏天然气的隐蔽场所。</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Arial" w:hAnsi="Arial" w:cs="Arial"/>
          <w:sz w:val="24"/>
          <w:szCs w:val="24"/>
        </w:rPr>
      </w:pPr>
      <w:r>
        <w:rPr>
          <w:rFonts w:hint="eastAsia" w:ascii="Arial" w:hAnsi="Arial" w:cs="Arial"/>
          <w:sz w:val="24"/>
          <w:szCs w:val="24"/>
        </w:rPr>
        <w:t>5）堆放易燃易爆、易腐蚀或有放射性物质等危险的地方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Arial" w:hAnsi="Arial" w:cs="Arial"/>
          <w:sz w:val="24"/>
          <w:szCs w:val="24"/>
        </w:rPr>
      </w:pPr>
      <w:r>
        <w:rPr>
          <w:rFonts w:hint="eastAsia" w:ascii="Arial" w:hAnsi="Arial" w:cs="Arial"/>
          <w:sz w:val="24"/>
          <w:szCs w:val="24"/>
        </w:rPr>
        <w:t>6）有变配电等高压电器设备的地方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Arial" w:hAnsi="Arial" w:cs="Arial"/>
          <w:sz w:val="24"/>
          <w:szCs w:val="24"/>
        </w:rPr>
      </w:pPr>
      <w:r>
        <w:rPr>
          <w:rFonts w:hint="eastAsia" w:ascii="Arial" w:hAnsi="Arial" w:cs="Arial"/>
          <w:sz w:val="24"/>
          <w:szCs w:val="24"/>
        </w:rPr>
        <w:t>8）高层建筑中的避难层及安全疏散楼梯间内。</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Arial" w:hAnsi="Arial" w:cs="Arial"/>
          <w:sz w:val="24"/>
          <w:szCs w:val="24"/>
        </w:rPr>
      </w:pPr>
      <w:r>
        <w:rPr>
          <w:rFonts w:hint="eastAsia" w:ascii="Arial" w:hAnsi="Arial" w:cs="Arial"/>
          <w:sz w:val="24"/>
          <w:szCs w:val="24"/>
        </w:rPr>
        <w:t>9）手术室等重要场所。</w:t>
      </w:r>
    </w:p>
    <w:p>
      <w:pPr>
        <w:spacing w:line="360" w:lineRule="auto"/>
        <w:rPr>
          <w:rFonts w:ascii="Arial" w:hAnsi="Arial" w:eastAsia="黑体" w:cs="Arial"/>
          <w:bCs/>
          <w:sz w:val="24"/>
          <w:szCs w:val="24"/>
        </w:rPr>
      </w:pPr>
      <w:r>
        <w:rPr>
          <w:rFonts w:ascii="Arial" w:hAnsi="Arial" w:eastAsia="黑体" w:cs="Arial"/>
          <w:bCs/>
          <w:sz w:val="24"/>
          <w:szCs w:val="24"/>
        </w:rPr>
        <w:t>《小型锅炉与常压热水锅炉技术要求及运行管理》DB31/T213-2020</w:t>
      </w:r>
    </w:p>
    <w:p>
      <w:pPr>
        <w:spacing w:line="360" w:lineRule="auto"/>
        <w:rPr>
          <w:rFonts w:ascii="Arial" w:hAnsi="Arial" w:cs="Arial"/>
          <w:sz w:val="24"/>
          <w:szCs w:val="24"/>
        </w:rPr>
      </w:pPr>
      <w:r>
        <w:rPr>
          <w:rFonts w:hint="eastAsia" w:ascii="宋体" w:hAnsi="宋体"/>
          <w:b/>
          <w:bCs/>
          <w:color w:val="000000"/>
          <w:sz w:val="24"/>
        </w:rPr>
        <w:t>4.6</w:t>
      </w:r>
      <w:r>
        <w:rPr>
          <w:rFonts w:hint="eastAsia" w:ascii="Arial" w:hAnsi="Arial" w:cs="Arial"/>
          <w:sz w:val="24"/>
          <w:szCs w:val="24"/>
        </w:rPr>
        <w:t xml:space="preserve"> 常压热水锅炉及其系统要求如下：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Arial" w:hAnsi="Arial" w:eastAsia="宋体" w:cs="Arial"/>
          <w:sz w:val="24"/>
          <w:szCs w:val="24"/>
          <w:lang w:eastAsia="zh-CN"/>
        </w:rPr>
      </w:pPr>
      <w:r>
        <w:rPr>
          <w:rFonts w:hint="eastAsia" w:ascii="Arial" w:hAnsi="Arial" w:cs="Arial"/>
          <w:sz w:val="24"/>
          <w:szCs w:val="24"/>
        </w:rPr>
        <w:t>b) 锅炉大气连通管上不应安装任何阀门</w:t>
      </w:r>
      <w:r>
        <w:rPr>
          <w:rFonts w:hint="eastAsia" w:ascii="Arial" w:hAnsi="Arial" w:cs="Arial"/>
          <w:sz w:val="24"/>
          <w:szCs w:val="24"/>
          <w:lang w:eastAsia="zh-CN"/>
        </w:rPr>
        <w:t>。</w:t>
      </w:r>
    </w:p>
    <w:p>
      <w:pPr>
        <w:spacing w:line="360" w:lineRule="auto"/>
        <w:rPr>
          <w:rFonts w:ascii="Arial" w:hAnsi="Arial" w:cs="Arial"/>
          <w:sz w:val="24"/>
          <w:szCs w:val="24"/>
        </w:rPr>
      </w:pPr>
      <w:r>
        <w:rPr>
          <w:rFonts w:hint="eastAsia" w:ascii="宋体" w:hAnsi="宋体"/>
          <w:b/>
          <w:bCs/>
          <w:color w:val="000000"/>
          <w:sz w:val="24"/>
        </w:rPr>
        <w:t>6.4</w:t>
      </w:r>
      <w:r>
        <w:rPr>
          <w:rFonts w:hint="eastAsia" w:ascii="Arial" w:hAnsi="Arial" w:cs="Arial"/>
          <w:sz w:val="24"/>
          <w:szCs w:val="24"/>
        </w:rPr>
        <w:t xml:space="preserve"> 环保管理</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hint="eastAsia" w:ascii="Arial" w:hAnsi="Arial" w:eastAsia="宋体" w:cs="Arial"/>
          <w:sz w:val="24"/>
          <w:szCs w:val="24"/>
          <w:lang w:eastAsia="zh-CN"/>
        </w:rPr>
      </w:pPr>
      <w:r>
        <w:rPr>
          <w:rFonts w:hint="eastAsia" w:ascii="宋体" w:hAnsi="宋体"/>
          <w:b/>
          <w:bCs/>
          <w:color w:val="000000"/>
          <w:sz w:val="24"/>
        </w:rPr>
        <w:t>6.4.1</w:t>
      </w:r>
      <w:r>
        <w:rPr>
          <w:rFonts w:hint="eastAsia" w:ascii="宋体" w:hAnsi="宋体"/>
          <w:b/>
          <w:bCs/>
          <w:color w:val="000000"/>
          <w:sz w:val="24"/>
          <w:lang w:val="en-US" w:eastAsia="zh-CN"/>
        </w:rPr>
        <w:t xml:space="preserve"> </w:t>
      </w:r>
      <w:r>
        <w:rPr>
          <w:rFonts w:hint="eastAsia" w:ascii="Arial" w:hAnsi="Arial" w:cs="Arial"/>
          <w:sz w:val="24"/>
          <w:szCs w:val="24"/>
        </w:rPr>
        <w:t>锅炉大气污染物的排放应符合</w:t>
      </w:r>
      <w:r>
        <w:rPr>
          <w:rFonts w:hint="eastAsia" w:ascii="Arial" w:hAnsi="Arial" w:cs="Arial"/>
          <w:b w:val="0"/>
          <w:bCs/>
          <w:sz w:val="24"/>
          <w:szCs w:val="24"/>
        </w:rPr>
        <w:t>DB31/387</w:t>
      </w:r>
      <w:r>
        <w:rPr>
          <w:rFonts w:hint="eastAsia" w:ascii="Arial" w:hAnsi="Arial" w:cs="Arial"/>
          <w:sz w:val="24"/>
          <w:szCs w:val="24"/>
        </w:rPr>
        <w:t>的要求</w:t>
      </w:r>
      <w:r>
        <w:rPr>
          <w:rFonts w:hint="eastAsia" w:ascii="Arial" w:hAnsi="Arial" w:cs="Arial"/>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hint="eastAsia" w:ascii="Arial" w:hAnsi="Arial" w:eastAsia="宋体" w:cs="Arial"/>
          <w:sz w:val="24"/>
          <w:szCs w:val="24"/>
          <w:lang w:eastAsia="zh-CN"/>
        </w:rPr>
      </w:pPr>
      <w:r>
        <w:rPr>
          <w:rFonts w:hint="eastAsia" w:ascii="宋体" w:hAnsi="宋体"/>
          <w:b/>
          <w:bCs/>
          <w:color w:val="000000"/>
          <w:sz w:val="24"/>
        </w:rPr>
        <w:t>6.4.2</w:t>
      </w:r>
      <w:r>
        <w:rPr>
          <w:rFonts w:hint="eastAsia" w:ascii="宋体" w:hAnsi="宋体"/>
          <w:b/>
          <w:bCs/>
          <w:color w:val="000000"/>
          <w:sz w:val="24"/>
          <w:lang w:val="en-US" w:eastAsia="zh-CN"/>
        </w:rPr>
        <w:t xml:space="preserve"> </w:t>
      </w:r>
      <w:r>
        <w:rPr>
          <w:rFonts w:hint="eastAsia" w:ascii="Arial" w:hAnsi="Arial" w:cs="Arial"/>
          <w:sz w:val="24"/>
          <w:szCs w:val="24"/>
        </w:rPr>
        <w:t>锅炉房烟囱的设置应符合</w:t>
      </w:r>
      <w:r>
        <w:rPr>
          <w:rFonts w:hint="eastAsia" w:ascii="Arial" w:hAnsi="Arial" w:cs="Arial"/>
          <w:b w:val="0"/>
          <w:bCs/>
          <w:sz w:val="24"/>
          <w:szCs w:val="24"/>
        </w:rPr>
        <w:t>DB31/387</w:t>
      </w:r>
      <w:r>
        <w:rPr>
          <w:rFonts w:hint="eastAsia" w:ascii="Arial" w:hAnsi="Arial" w:cs="Arial"/>
          <w:sz w:val="24"/>
          <w:szCs w:val="24"/>
        </w:rPr>
        <w:t>的要求</w:t>
      </w:r>
      <w:r>
        <w:rPr>
          <w:rFonts w:hint="eastAsia" w:ascii="Arial" w:hAnsi="Arial" w:cs="Arial"/>
          <w:sz w:val="24"/>
          <w:szCs w:val="24"/>
          <w:lang w:eastAsia="zh-CN"/>
        </w:rPr>
        <w:t>。</w:t>
      </w:r>
    </w:p>
    <w:p>
      <w:pPr>
        <w:spacing w:line="360" w:lineRule="auto"/>
        <w:rPr>
          <w:rFonts w:ascii="Arial" w:hAnsi="Arial" w:eastAsia="黑体" w:cs="Arial"/>
          <w:bCs/>
          <w:sz w:val="24"/>
          <w:szCs w:val="24"/>
        </w:rPr>
      </w:pPr>
      <w:r>
        <w:rPr>
          <w:rFonts w:ascii="Arial" w:hAnsi="Arial" w:eastAsia="黑体" w:cs="Arial"/>
          <w:bCs/>
          <w:sz w:val="24"/>
          <w:szCs w:val="24"/>
        </w:rPr>
        <w:t>《锅炉大气污染物排放标准》DB31/387-2018</w:t>
      </w:r>
    </w:p>
    <w:p>
      <w:pPr>
        <w:spacing w:line="360" w:lineRule="auto"/>
        <w:rPr>
          <w:rFonts w:ascii="Arial" w:hAnsi="Arial" w:cs="Arial"/>
          <w:sz w:val="24"/>
          <w:szCs w:val="24"/>
        </w:rPr>
      </w:pPr>
      <w:r>
        <w:rPr>
          <w:rFonts w:hint="eastAsia" w:ascii="宋体" w:hAnsi="宋体"/>
          <w:b/>
          <w:bCs/>
          <w:color w:val="000000"/>
          <w:sz w:val="24"/>
        </w:rPr>
        <w:t>4.1</w:t>
      </w:r>
      <w:r>
        <w:rPr>
          <w:rFonts w:hint="eastAsia" w:ascii="Arial" w:hAnsi="Arial" w:cs="Arial"/>
          <w:sz w:val="24"/>
          <w:szCs w:val="24"/>
        </w:rPr>
        <w:t xml:space="preserve"> 大气污染物排放限值</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hint="eastAsia" w:ascii="Arial" w:hAnsi="Arial" w:eastAsia="宋体" w:cs="Arial"/>
          <w:sz w:val="24"/>
          <w:szCs w:val="24"/>
          <w:lang w:eastAsia="zh-CN"/>
        </w:rPr>
      </w:pPr>
      <w:r>
        <w:rPr>
          <w:rFonts w:hint="eastAsia" w:ascii="宋体" w:hAnsi="宋体"/>
          <w:b/>
          <w:bCs/>
          <w:color w:val="000000"/>
          <w:sz w:val="24"/>
        </w:rPr>
        <w:t>4.1.2</w:t>
      </w:r>
      <w:r>
        <w:rPr>
          <w:rFonts w:hint="eastAsia" w:ascii="宋体" w:hAnsi="宋体"/>
          <w:b/>
          <w:bCs/>
          <w:color w:val="000000"/>
          <w:sz w:val="24"/>
          <w:lang w:val="en-US" w:eastAsia="zh-CN"/>
        </w:rPr>
        <w:t xml:space="preserve"> </w:t>
      </w:r>
      <w:r>
        <w:rPr>
          <w:rFonts w:hint="eastAsia" w:ascii="Arial" w:hAnsi="Arial" w:cs="Arial"/>
          <w:sz w:val="24"/>
          <w:szCs w:val="24"/>
        </w:rPr>
        <w:t>自本标准实施之日起，新建锅炉房（生物质燃料锅炉除外）执行表3规定的排放限值</w:t>
      </w:r>
      <w:r>
        <w:rPr>
          <w:rFonts w:hint="eastAsia" w:ascii="Arial" w:hAnsi="Arial" w:cs="Arial"/>
          <w:sz w:val="24"/>
          <w:szCs w:val="24"/>
          <w:lang w:eastAsia="zh-CN"/>
        </w:rPr>
        <w:t>。</w:t>
      </w:r>
    </w:p>
    <w:p>
      <w:pPr>
        <w:spacing w:line="360" w:lineRule="auto"/>
        <w:jc w:val="center"/>
        <w:rPr>
          <w:rFonts w:ascii="Arial" w:hAnsi="Arial" w:cs="Arial"/>
          <w:szCs w:val="21"/>
        </w:rPr>
      </w:pPr>
      <w:r>
        <w:rPr>
          <w:rFonts w:hint="eastAsia" w:ascii="Arial" w:hAnsi="Arial" w:cs="Arial"/>
          <w:szCs w:val="21"/>
        </w:rPr>
        <w:t>表3新建锅炉大气污染物排放限值单位：mg/m</w:t>
      </w:r>
      <w:r>
        <w:rPr>
          <w:rFonts w:hint="eastAsia" w:ascii="Arial" w:hAnsi="Arial" w:cs="Arial"/>
          <w:szCs w:val="21"/>
          <w:vertAlign w:val="superscript"/>
        </w:rPr>
        <w:t>3</w:t>
      </w:r>
    </w:p>
    <w:tbl>
      <w:tblPr>
        <w:tblStyle w:val="2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5"/>
        <w:gridCol w:w="992"/>
        <w:gridCol w:w="1132"/>
        <w:gridCol w:w="1558"/>
        <w:gridCol w:w="1897"/>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atLeast"/>
        </w:trPr>
        <w:tc>
          <w:tcPr>
            <w:tcW w:w="895" w:type="pct"/>
            <w:shd w:val="clear" w:color="auto" w:fill="auto"/>
          </w:tcPr>
          <w:p>
            <w:pPr>
              <w:spacing w:line="360" w:lineRule="auto"/>
              <w:jc w:val="center"/>
              <w:rPr>
                <w:rFonts w:ascii="Arial" w:hAnsi="Arial" w:cs="Arial"/>
                <w:szCs w:val="21"/>
              </w:rPr>
            </w:pPr>
            <w:r>
              <w:rPr>
                <w:rFonts w:hint="eastAsia" w:ascii="Arial" w:hAnsi="Arial" w:cs="Arial"/>
                <w:szCs w:val="21"/>
              </w:rPr>
              <w:t>锅炉类别</w:t>
            </w:r>
          </w:p>
        </w:tc>
        <w:tc>
          <w:tcPr>
            <w:tcW w:w="582" w:type="pct"/>
            <w:shd w:val="clear" w:color="auto" w:fill="auto"/>
          </w:tcPr>
          <w:p>
            <w:pPr>
              <w:spacing w:line="360" w:lineRule="auto"/>
              <w:rPr>
                <w:rFonts w:ascii="Arial" w:hAnsi="Arial" w:cs="Arial"/>
                <w:szCs w:val="21"/>
              </w:rPr>
            </w:pPr>
            <w:r>
              <w:rPr>
                <w:rFonts w:hint="eastAsia" w:ascii="Arial" w:hAnsi="Arial" w:cs="Arial"/>
                <w:szCs w:val="21"/>
              </w:rPr>
              <w:t>颗粒物</w:t>
            </w:r>
          </w:p>
        </w:tc>
        <w:tc>
          <w:tcPr>
            <w:tcW w:w="664" w:type="pct"/>
            <w:shd w:val="clear" w:color="auto" w:fill="auto"/>
          </w:tcPr>
          <w:p>
            <w:pPr>
              <w:spacing w:line="360" w:lineRule="auto"/>
              <w:rPr>
                <w:rFonts w:ascii="Arial" w:hAnsi="Arial" w:cs="Arial"/>
                <w:szCs w:val="21"/>
              </w:rPr>
            </w:pPr>
            <w:r>
              <w:rPr>
                <w:rFonts w:hint="eastAsia" w:ascii="Arial" w:hAnsi="Arial" w:cs="Arial"/>
                <w:szCs w:val="21"/>
              </w:rPr>
              <w:t>二氧化硫</w:t>
            </w:r>
          </w:p>
        </w:tc>
        <w:tc>
          <w:tcPr>
            <w:tcW w:w="914" w:type="pct"/>
            <w:shd w:val="clear" w:color="auto" w:fill="auto"/>
          </w:tcPr>
          <w:p>
            <w:pPr>
              <w:spacing w:line="360" w:lineRule="auto"/>
              <w:jc w:val="center"/>
              <w:rPr>
                <w:rFonts w:ascii="Arial" w:hAnsi="Arial" w:cs="Arial"/>
                <w:szCs w:val="21"/>
              </w:rPr>
            </w:pPr>
            <w:r>
              <w:rPr>
                <w:rFonts w:hint="eastAsia" w:ascii="Arial" w:hAnsi="Arial" w:cs="Arial"/>
                <w:szCs w:val="21"/>
              </w:rPr>
              <w:t>氮氧化物</w:t>
            </w:r>
          </w:p>
          <w:p>
            <w:pPr>
              <w:spacing w:line="360" w:lineRule="auto"/>
              <w:jc w:val="center"/>
              <w:rPr>
                <w:rFonts w:ascii="Arial" w:hAnsi="Arial" w:cs="Arial"/>
                <w:szCs w:val="21"/>
              </w:rPr>
            </w:pPr>
            <w:r>
              <w:rPr>
                <w:rFonts w:hint="eastAsia" w:ascii="Arial" w:hAnsi="Arial" w:cs="Arial"/>
                <w:szCs w:val="21"/>
              </w:rPr>
              <w:t>（NO2计）</w:t>
            </w:r>
          </w:p>
        </w:tc>
        <w:tc>
          <w:tcPr>
            <w:tcW w:w="1113" w:type="pct"/>
            <w:shd w:val="clear" w:color="auto" w:fill="auto"/>
          </w:tcPr>
          <w:p>
            <w:pPr>
              <w:spacing w:line="360" w:lineRule="auto"/>
              <w:jc w:val="center"/>
              <w:rPr>
                <w:rFonts w:ascii="Arial" w:hAnsi="Arial" w:cs="Arial"/>
                <w:szCs w:val="21"/>
              </w:rPr>
            </w:pPr>
            <w:r>
              <w:rPr>
                <w:rFonts w:hint="eastAsia" w:ascii="Arial" w:hAnsi="Arial" w:cs="Arial"/>
                <w:szCs w:val="21"/>
              </w:rPr>
              <w:t>烟气黑度</w:t>
            </w:r>
          </w:p>
          <w:p>
            <w:pPr>
              <w:spacing w:line="360" w:lineRule="auto"/>
              <w:jc w:val="center"/>
              <w:rPr>
                <w:rFonts w:ascii="Arial" w:hAnsi="Arial" w:cs="Arial"/>
                <w:szCs w:val="21"/>
              </w:rPr>
            </w:pPr>
            <w:r>
              <w:rPr>
                <w:rFonts w:hint="eastAsia" w:ascii="Arial" w:hAnsi="Arial" w:cs="Arial"/>
                <w:szCs w:val="21"/>
              </w:rPr>
              <w:t>（林格曼黑度，级）</w:t>
            </w:r>
          </w:p>
        </w:tc>
        <w:tc>
          <w:tcPr>
            <w:tcW w:w="832" w:type="pct"/>
            <w:shd w:val="clear" w:color="auto" w:fill="auto"/>
          </w:tcPr>
          <w:p>
            <w:pPr>
              <w:spacing w:line="360" w:lineRule="auto"/>
              <w:rPr>
                <w:rFonts w:ascii="Arial" w:hAnsi="Arial" w:cs="Arial"/>
                <w:szCs w:val="21"/>
              </w:rPr>
            </w:pPr>
            <w:r>
              <w:rPr>
                <w:rFonts w:hint="eastAsia" w:ascii="Arial" w:hAnsi="Arial" w:cs="Arial"/>
                <w:szCs w:val="21"/>
              </w:rPr>
              <w:t>监控位置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5" w:type="pct"/>
            <w:shd w:val="clear" w:color="auto" w:fill="auto"/>
          </w:tcPr>
          <w:p>
            <w:pPr>
              <w:spacing w:line="360" w:lineRule="auto"/>
              <w:rPr>
                <w:rFonts w:ascii="Arial" w:hAnsi="Arial" w:cs="Arial"/>
                <w:szCs w:val="21"/>
              </w:rPr>
            </w:pPr>
            <w:r>
              <w:rPr>
                <w:rFonts w:hint="eastAsia" w:ascii="Arial" w:hAnsi="Arial" w:cs="Arial"/>
                <w:szCs w:val="21"/>
              </w:rPr>
              <w:t>气态燃料锅炉</w:t>
            </w:r>
          </w:p>
        </w:tc>
        <w:tc>
          <w:tcPr>
            <w:tcW w:w="582" w:type="pct"/>
            <w:vMerge w:val="restart"/>
            <w:shd w:val="clear" w:color="auto" w:fill="auto"/>
          </w:tcPr>
          <w:p>
            <w:pPr>
              <w:spacing w:line="360" w:lineRule="auto"/>
              <w:rPr>
                <w:rFonts w:ascii="Arial" w:hAnsi="Arial" w:cs="Arial"/>
                <w:szCs w:val="21"/>
              </w:rPr>
            </w:pPr>
            <w:r>
              <w:rPr>
                <w:rFonts w:hint="eastAsia" w:ascii="Arial" w:hAnsi="Arial" w:cs="Arial"/>
                <w:szCs w:val="21"/>
              </w:rPr>
              <w:t>10</w:t>
            </w:r>
          </w:p>
        </w:tc>
        <w:tc>
          <w:tcPr>
            <w:tcW w:w="664" w:type="pct"/>
            <w:vMerge w:val="restart"/>
            <w:shd w:val="clear" w:color="auto" w:fill="auto"/>
          </w:tcPr>
          <w:p>
            <w:pPr>
              <w:spacing w:line="360" w:lineRule="auto"/>
              <w:rPr>
                <w:rFonts w:ascii="Arial" w:hAnsi="Arial" w:cs="Arial"/>
                <w:szCs w:val="21"/>
              </w:rPr>
            </w:pPr>
            <w:r>
              <w:rPr>
                <w:rFonts w:hint="eastAsia" w:ascii="Arial" w:hAnsi="Arial" w:cs="Arial"/>
                <w:szCs w:val="21"/>
              </w:rPr>
              <w:t>10</w:t>
            </w:r>
          </w:p>
        </w:tc>
        <w:tc>
          <w:tcPr>
            <w:tcW w:w="914" w:type="pct"/>
            <w:vMerge w:val="restart"/>
            <w:shd w:val="clear" w:color="auto" w:fill="auto"/>
          </w:tcPr>
          <w:p>
            <w:pPr>
              <w:spacing w:line="360" w:lineRule="auto"/>
              <w:rPr>
                <w:rFonts w:ascii="Arial" w:hAnsi="Arial" w:cs="Arial"/>
                <w:szCs w:val="21"/>
              </w:rPr>
            </w:pPr>
            <w:r>
              <w:rPr>
                <w:rFonts w:hint="eastAsia" w:ascii="Arial" w:hAnsi="Arial" w:cs="Arial"/>
                <w:szCs w:val="21"/>
              </w:rPr>
              <w:t>50</w:t>
            </w:r>
          </w:p>
        </w:tc>
        <w:tc>
          <w:tcPr>
            <w:tcW w:w="1113" w:type="pct"/>
            <w:vMerge w:val="restart"/>
            <w:shd w:val="clear" w:color="auto" w:fill="auto"/>
          </w:tcPr>
          <w:p>
            <w:pPr>
              <w:spacing w:line="360" w:lineRule="auto"/>
              <w:rPr>
                <w:rFonts w:ascii="Arial" w:hAnsi="Arial" w:cs="Arial"/>
                <w:szCs w:val="21"/>
              </w:rPr>
            </w:pPr>
            <w:r>
              <w:rPr>
                <w:rFonts w:hint="eastAsia" w:ascii="宋体" w:hAnsi="宋体" w:cs="Arial"/>
                <w:szCs w:val="21"/>
              </w:rPr>
              <w:t>≤</w:t>
            </w:r>
            <w:r>
              <w:rPr>
                <w:rFonts w:hint="eastAsia" w:ascii="Arial" w:hAnsi="Arial" w:cs="Arial"/>
                <w:szCs w:val="21"/>
              </w:rPr>
              <w:t>1</w:t>
            </w:r>
          </w:p>
        </w:tc>
        <w:tc>
          <w:tcPr>
            <w:tcW w:w="832" w:type="pct"/>
            <w:vMerge w:val="restart"/>
            <w:shd w:val="clear" w:color="auto" w:fill="auto"/>
          </w:tcPr>
          <w:p>
            <w:pPr>
              <w:spacing w:line="360" w:lineRule="auto"/>
              <w:rPr>
                <w:rFonts w:ascii="Arial" w:hAnsi="Arial" w:cs="Arial"/>
                <w:szCs w:val="21"/>
              </w:rPr>
            </w:pPr>
            <w:r>
              <w:rPr>
                <w:rFonts w:hint="eastAsia" w:ascii="Arial" w:hAnsi="Arial" w:cs="Arial"/>
                <w:szCs w:val="21"/>
              </w:rPr>
              <w:t>烟道或烟囱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5" w:type="pct"/>
            <w:shd w:val="clear" w:color="auto" w:fill="auto"/>
          </w:tcPr>
          <w:p>
            <w:pPr>
              <w:spacing w:line="360" w:lineRule="auto"/>
              <w:rPr>
                <w:rFonts w:ascii="Arial" w:hAnsi="Arial" w:cs="Arial"/>
                <w:szCs w:val="21"/>
              </w:rPr>
            </w:pPr>
            <w:r>
              <w:rPr>
                <w:rFonts w:hint="eastAsia" w:ascii="Arial" w:hAnsi="Arial" w:cs="Arial"/>
                <w:szCs w:val="21"/>
              </w:rPr>
              <w:t>其他锅炉</w:t>
            </w:r>
          </w:p>
        </w:tc>
        <w:tc>
          <w:tcPr>
            <w:tcW w:w="582" w:type="pct"/>
            <w:vMerge w:val="continue"/>
            <w:shd w:val="clear" w:color="auto" w:fill="auto"/>
          </w:tcPr>
          <w:p>
            <w:pPr>
              <w:spacing w:line="360" w:lineRule="auto"/>
              <w:rPr>
                <w:rFonts w:ascii="Arial" w:hAnsi="Arial" w:cs="Arial"/>
                <w:szCs w:val="21"/>
              </w:rPr>
            </w:pPr>
          </w:p>
        </w:tc>
        <w:tc>
          <w:tcPr>
            <w:tcW w:w="664" w:type="pct"/>
            <w:vMerge w:val="continue"/>
            <w:shd w:val="clear" w:color="auto" w:fill="auto"/>
          </w:tcPr>
          <w:p>
            <w:pPr>
              <w:spacing w:line="360" w:lineRule="auto"/>
              <w:rPr>
                <w:rFonts w:ascii="Arial" w:hAnsi="Arial" w:cs="Arial"/>
                <w:szCs w:val="21"/>
              </w:rPr>
            </w:pPr>
          </w:p>
        </w:tc>
        <w:tc>
          <w:tcPr>
            <w:tcW w:w="914" w:type="pct"/>
            <w:vMerge w:val="continue"/>
            <w:shd w:val="clear" w:color="auto" w:fill="auto"/>
          </w:tcPr>
          <w:p>
            <w:pPr>
              <w:spacing w:line="360" w:lineRule="auto"/>
              <w:rPr>
                <w:rFonts w:ascii="Arial" w:hAnsi="Arial" w:cs="Arial"/>
                <w:szCs w:val="21"/>
              </w:rPr>
            </w:pPr>
          </w:p>
        </w:tc>
        <w:tc>
          <w:tcPr>
            <w:tcW w:w="1113" w:type="pct"/>
            <w:vMerge w:val="continue"/>
            <w:shd w:val="clear" w:color="auto" w:fill="auto"/>
          </w:tcPr>
          <w:p>
            <w:pPr>
              <w:spacing w:line="360" w:lineRule="auto"/>
              <w:rPr>
                <w:rFonts w:ascii="宋体" w:hAnsi="宋体" w:cs="Arial"/>
                <w:szCs w:val="21"/>
              </w:rPr>
            </w:pPr>
          </w:p>
        </w:tc>
        <w:tc>
          <w:tcPr>
            <w:tcW w:w="832" w:type="pct"/>
            <w:vMerge w:val="continue"/>
            <w:shd w:val="clear" w:color="auto" w:fill="auto"/>
          </w:tcPr>
          <w:p>
            <w:pPr>
              <w:spacing w:line="360" w:lineRule="auto"/>
              <w:rPr>
                <w:rFonts w:ascii="Arial" w:hAnsi="Arial" w:cs="Arial"/>
                <w:szCs w:val="21"/>
              </w:rPr>
            </w:pPr>
          </w:p>
        </w:tc>
      </w:tr>
    </w:tbl>
    <w:p>
      <w:pPr>
        <w:spacing w:line="360" w:lineRule="auto"/>
        <w:rPr>
          <w:rFonts w:ascii="Arial" w:hAnsi="Arial" w:cs="Arial"/>
          <w:b/>
          <w:sz w:val="24"/>
          <w:szCs w:val="24"/>
        </w:rPr>
      </w:pPr>
    </w:p>
    <w:p>
      <w:pPr>
        <w:spacing w:line="360" w:lineRule="auto"/>
        <w:rPr>
          <w:rFonts w:ascii="Arial" w:hAnsi="Arial" w:eastAsia="黑体" w:cs="Arial"/>
          <w:bCs/>
          <w:sz w:val="24"/>
          <w:szCs w:val="24"/>
        </w:rPr>
      </w:pPr>
      <w:r>
        <w:rPr>
          <w:rFonts w:ascii="Arial" w:hAnsi="Arial" w:eastAsia="黑体" w:cs="Arial"/>
          <w:bCs/>
          <w:sz w:val="24"/>
          <w:szCs w:val="24"/>
        </w:rPr>
        <w:t>《城市综合体消防技术标准》DG/TJ08-2408-2022</w:t>
      </w:r>
    </w:p>
    <w:p>
      <w:pPr>
        <w:spacing w:line="360" w:lineRule="auto"/>
        <w:rPr>
          <w:rFonts w:ascii="Arial" w:hAnsi="Arial" w:cs="Arial"/>
          <w:sz w:val="24"/>
          <w:szCs w:val="24"/>
        </w:rPr>
      </w:pPr>
      <w:r>
        <w:rPr>
          <w:rFonts w:hint="eastAsia" w:ascii="宋体" w:hAnsi="宋体"/>
          <w:b/>
          <w:bCs/>
          <w:color w:val="000000"/>
          <w:sz w:val="24"/>
        </w:rPr>
        <w:t>5.3.3</w:t>
      </w:r>
      <w:r>
        <w:rPr>
          <w:rFonts w:hint="eastAsia" w:ascii="Arial" w:hAnsi="Arial" w:cs="Arial"/>
          <w:sz w:val="24"/>
          <w:szCs w:val="24"/>
        </w:rPr>
        <w:t xml:space="preserve"> 餐饮场所的设置应符合下列规定：</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Arial" w:hAnsi="Arial" w:cs="Arial"/>
          <w:sz w:val="24"/>
          <w:szCs w:val="24"/>
        </w:rPr>
      </w:pPr>
      <w:r>
        <w:rPr>
          <w:rFonts w:hint="eastAsia" w:ascii="宋体" w:hAnsi="宋体"/>
          <w:b/>
          <w:bCs/>
          <w:color w:val="000000"/>
          <w:sz w:val="24"/>
        </w:rPr>
        <w:t>6</w:t>
      </w:r>
      <w:r>
        <w:rPr>
          <w:rFonts w:hint="eastAsia" w:ascii="Arial" w:hAnsi="Arial" w:cs="Arial"/>
          <w:sz w:val="24"/>
          <w:szCs w:val="24"/>
        </w:rPr>
        <w:t xml:space="preserve"> 餐饮场所严禁使用液化石油气及甲、乙类液体燃料。餐饮场所使用天然气作燃料时，应采用管道供气；设置在地下且建筑面积大于300m2或固定座位数大于150座的餐饮场所不得使用燃气。</w:t>
      </w:r>
    </w:p>
    <w:p>
      <w:pPr>
        <w:spacing w:line="360" w:lineRule="auto"/>
        <w:rPr>
          <w:rFonts w:ascii="Arial" w:hAnsi="Arial" w:cs="Arial"/>
          <w:sz w:val="24"/>
          <w:szCs w:val="24"/>
        </w:rPr>
      </w:pPr>
    </w:p>
    <w:p>
      <w:pPr>
        <w:spacing w:line="360" w:lineRule="auto"/>
        <w:rPr>
          <w:rFonts w:ascii="Arial" w:hAnsi="Arial" w:cs="Arial"/>
          <w:sz w:val="24"/>
          <w:szCs w:val="24"/>
        </w:rPr>
      </w:pPr>
    </w:p>
    <w:p>
      <w:pPr>
        <w:spacing w:line="360" w:lineRule="auto"/>
        <w:rPr>
          <w:rFonts w:ascii="Arial" w:hAnsi="Arial" w:cs="Arial"/>
          <w:sz w:val="24"/>
          <w:szCs w:val="24"/>
        </w:rPr>
      </w:pPr>
    </w:p>
    <w:p>
      <w:pPr>
        <w:spacing w:line="360" w:lineRule="auto"/>
        <w:rPr>
          <w:rFonts w:ascii="Arial" w:hAnsi="Arial" w:cs="Arial"/>
          <w:sz w:val="24"/>
          <w:szCs w:val="24"/>
        </w:rPr>
      </w:pPr>
    </w:p>
    <w:p>
      <w:pPr>
        <w:spacing w:line="360" w:lineRule="auto"/>
        <w:rPr>
          <w:rFonts w:ascii="Arial" w:hAnsi="Arial" w:cs="Arial"/>
          <w:sz w:val="24"/>
          <w:szCs w:val="24"/>
        </w:rPr>
      </w:pPr>
    </w:p>
    <w:p>
      <w:pPr>
        <w:spacing w:line="360" w:lineRule="auto"/>
        <w:rPr>
          <w:rFonts w:ascii="Arial" w:hAnsi="Arial" w:cs="Arial"/>
          <w:sz w:val="24"/>
          <w:szCs w:val="24"/>
        </w:rPr>
      </w:pPr>
    </w:p>
    <w:p>
      <w:pPr>
        <w:spacing w:line="360" w:lineRule="auto"/>
        <w:rPr>
          <w:rFonts w:ascii="Arial" w:hAnsi="Arial" w:cs="Arial"/>
          <w:sz w:val="24"/>
          <w:szCs w:val="24"/>
        </w:rPr>
      </w:pPr>
    </w:p>
    <w:p>
      <w:pPr>
        <w:spacing w:line="360" w:lineRule="auto"/>
        <w:rPr>
          <w:rFonts w:ascii="Arial" w:hAnsi="Arial" w:cs="Arial"/>
          <w:sz w:val="24"/>
          <w:szCs w:val="24"/>
        </w:rPr>
      </w:pPr>
    </w:p>
    <w:p>
      <w:pPr>
        <w:spacing w:line="360" w:lineRule="auto"/>
        <w:rPr>
          <w:rFonts w:ascii="Arial" w:hAnsi="Arial" w:cs="Arial"/>
          <w:sz w:val="24"/>
          <w:szCs w:val="24"/>
        </w:rPr>
      </w:pPr>
    </w:p>
    <w:p>
      <w:pPr>
        <w:spacing w:line="360" w:lineRule="auto"/>
        <w:rPr>
          <w:rFonts w:ascii="Arial" w:hAnsi="Arial" w:cs="Arial"/>
          <w:sz w:val="24"/>
          <w:szCs w:val="24"/>
        </w:rPr>
      </w:pPr>
    </w:p>
    <w:p>
      <w:pPr>
        <w:spacing w:line="360" w:lineRule="auto"/>
        <w:rPr>
          <w:rFonts w:ascii="Arial" w:hAnsi="Arial" w:cs="Arial"/>
          <w:sz w:val="24"/>
          <w:szCs w:val="24"/>
        </w:rPr>
      </w:pPr>
    </w:p>
    <w:p>
      <w:pPr>
        <w:spacing w:line="360" w:lineRule="auto"/>
        <w:rPr>
          <w:rFonts w:ascii="Arial" w:hAnsi="Arial" w:cs="Arial"/>
          <w:sz w:val="24"/>
          <w:szCs w:val="24"/>
        </w:rPr>
      </w:pPr>
    </w:p>
    <w:p>
      <w:pPr>
        <w:spacing w:line="360" w:lineRule="auto"/>
        <w:rPr>
          <w:rFonts w:ascii="Arial" w:hAnsi="Arial" w:cs="Arial"/>
          <w:sz w:val="24"/>
          <w:szCs w:val="24"/>
        </w:rPr>
      </w:pPr>
    </w:p>
    <w:p>
      <w:pPr>
        <w:spacing w:line="360" w:lineRule="auto"/>
        <w:rPr>
          <w:rFonts w:ascii="Arial" w:hAnsi="Arial" w:cs="Arial"/>
          <w:sz w:val="24"/>
          <w:szCs w:val="24"/>
        </w:rPr>
      </w:pPr>
    </w:p>
    <w:p>
      <w:pPr>
        <w:spacing w:line="360" w:lineRule="auto"/>
        <w:rPr>
          <w:rFonts w:ascii="Arial" w:hAnsi="Arial" w:cs="Arial"/>
          <w:sz w:val="24"/>
          <w:szCs w:val="24"/>
        </w:rPr>
      </w:pPr>
    </w:p>
    <w:p>
      <w:pPr>
        <w:spacing w:line="360" w:lineRule="auto"/>
        <w:rPr>
          <w:rFonts w:ascii="Arial" w:hAnsi="Arial" w:cs="Arial"/>
          <w:sz w:val="24"/>
          <w:szCs w:val="24"/>
        </w:rPr>
      </w:pPr>
    </w:p>
    <w:p>
      <w:pPr>
        <w:spacing w:line="360" w:lineRule="auto"/>
        <w:rPr>
          <w:rFonts w:ascii="Arial" w:hAnsi="Arial" w:cs="Arial"/>
          <w:sz w:val="24"/>
          <w:szCs w:val="24"/>
        </w:rPr>
      </w:pPr>
    </w:p>
    <w:p>
      <w:pPr>
        <w:spacing w:line="360" w:lineRule="auto"/>
        <w:rPr>
          <w:rFonts w:ascii="Arial" w:hAnsi="Arial" w:cs="Arial"/>
          <w:sz w:val="24"/>
          <w:szCs w:val="24"/>
        </w:rPr>
      </w:pPr>
    </w:p>
    <w:p>
      <w:pPr>
        <w:spacing w:line="360" w:lineRule="auto"/>
        <w:rPr>
          <w:rFonts w:ascii="Arial" w:hAnsi="Arial" w:cs="Arial"/>
          <w:sz w:val="24"/>
          <w:szCs w:val="24"/>
        </w:rPr>
      </w:pPr>
    </w:p>
    <w:p>
      <w:pPr>
        <w:spacing w:line="360" w:lineRule="auto"/>
        <w:rPr>
          <w:rFonts w:ascii="Arial" w:hAnsi="Arial" w:cs="Arial"/>
          <w:sz w:val="24"/>
          <w:szCs w:val="24"/>
        </w:rPr>
      </w:pPr>
    </w:p>
    <w:p>
      <w:pPr>
        <w:spacing w:line="360" w:lineRule="auto"/>
        <w:rPr>
          <w:rFonts w:ascii="Arial" w:hAnsi="Arial" w:cs="Arial"/>
          <w:sz w:val="24"/>
          <w:szCs w:val="24"/>
        </w:rPr>
      </w:pPr>
    </w:p>
    <w:p>
      <w:pPr>
        <w:spacing w:line="360" w:lineRule="auto"/>
        <w:rPr>
          <w:rFonts w:ascii="Arial" w:hAnsi="Arial" w:cs="Arial"/>
          <w:sz w:val="24"/>
          <w:szCs w:val="24"/>
        </w:rPr>
      </w:pPr>
    </w:p>
    <w:p>
      <w:pPr>
        <w:spacing w:line="360" w:lineRule="auto"/>
        <w:rPr>
          <w:rFonts w:ascii="Arial" w:hAnsi="Arial" w:cs="Arial"/>
          <w:sz w:val="24"/>
          <w:szCs w:val="24"/>
        </w:rPr>
      </w:pPr>
    </w:p>
    <w:p>
      <w:pPr>
        <w:spacing w:line="360" w:lineRule="auto"/>
        <w:rPr>
          <w:rFonts w:ascii="Arial" w:hAnsi="Arial" w:cs="Arial"/>
          <w:sz w:val="24"/>
          <w:szCs w:val="24"/>
        </w:rPr>
      </w:pPr>
    </w:p>
    <w:p>
      <w:pPr>
        <w:spacing w:line="360" w:lineRule="auto"/>
        <w:rPr>
          <w:rFonts w:ascii="Arial" w:hAnsi="Arial" w:cs="Arial"/>
          <w:sz w:val="24"/>
          <w:szCs w:val="24"/>
        </w:rPr>
      </w:pPr>
    </w:p>
    <w:p>
      <w:pPr>
        <w:pStyle w:val="2"/>
        <w:adjustRightInd w:val="0"/>
        <w:snapToGrid w:val="0"/>
        <w:spacing w:before="312" w:after="312" w:line="480" w:lineRule="auto"/>
        <w:rPr>
          <w:rFonts w:cs="Arial"/>
          <w:sz w:val="32"/>
          <w:szCs w:val="32"/>
        </w:rPr>
      </w:pPr>
      <w:bookmarkStart w:id="50" w:name="_Toc154331143"/>
      <w:r>
        <w:rPr>
          <w:rFonts w:cs="Arial"/>
          <w:sz w:val="32"/>
          <w:szCs w:val="32"/>
        </w:rPr>
        <w:t>4.2引用标准名录及条款号</w:t>
      </w:r>
      <w:bookmarkEnd w:id="50"/>
    </w:p>
    <w:p>
      <w:pPr>
        <w:numPr>
          <w:ilvl w:val="0"/>
          <w:numId w:val="4"/>
        </w:numPr>
        <w:adjustRightInd w:val="0"/>
        <w:snapToGrid w:val="0"/>
        <w:spacing w:line="360" w:lineRule="auto"/>
        <w:rPr>
          <w:rFonts w:ascii="Arial" w:hAnsi="Arial" w:eastAsia="黑体" w:cs="Arial"/>
          <w:sz w:val="24"/>
          <w:szCs w:val="24"/>
        </w:rPr>
      </w:pPr>
      <w:r>
        <w:rPr>
          <w:rFonts w:ascii="Arial" w:hAnsi="Arial" w:eastAsia="黑体" w:cs="Arial"/>
          <w:sz w:val="24"/>
          <w:szCs w:val="24"/>
        </w:rPr>
        <w:t>《城镇天然气管道工程技术标准》DG/TJ08-10-2022 J10472-2022</w:t>
      </w:r>
    </w:p>
    <w:p>
      <w:pPr>
        <w:spacing w:line="360" w:lineRule="auto"/>
        <w:ind w:left="479" w:leftChars="228" w:firstLine="0" w:firstLineChars="0"/>
        <w:rPr>
          <w:rFonts w:hint="default" w:ascii="黑体" w:hAnsi="黑体" w:eastAsia="黑体" w:cs="黑体"/>
          <w:kern w:val="0"/>
          <w:sz w:val="24"/>
          <w:lang w:val="en-US" w:eastAsia="zh-CN"/>
        </w:rPr>
      </w:pPr>
      <w:r>
        <w:rPr>
          <w:rFonts w:hint="eastAsia" w:ascii="黑体" w:hAnsi="黑体" w:eastAsia="黑体" w:cs="黑体"/>
          <w:kern w:val="0"/>
          <w:sz w:val="24"/>
        </w:rPr>
        <w:t>4.1.1</w:t>
      </w:r>
      <w:r>
        <w:rPr>
          <w:rFonts w:hint="eastAsia" w:ascii="黑体" w:hAnsi="黑体" w:eastAsia="黑体" w:cs="黑体"/>
          <w:kern w:val="0"/>
          <w:sz w:val="24"/>
          <w:lang w:val="en-US" w:eastAsia="zh-CN"/>
        </w:rPr>
        <w:t>.1</w:t>
      </w:r>
      <w:r>
        <w:rPr>
          <w:rFonts w:hint="eastAsia" w:ascii="黑体" w:hAnsi="黑体" w:eastAsia="黑体" w:cs="黑体"/>
          <w:kern w:val="0"/>
          <w:sz w:val="24"/>
        </w:rPr>
        <w:t>、4.1.1</w:t>
      </w:r>
      <w:r>
        <w:rPr>
          <w:rFonts w:hint="eastAsia" w:ascii="黑体" w:hAnsi="黑体" w:eastAsia="黑体" w:cs="黑体"/>
          <w:kern w:val="0"/>
          <w:sz w:val="24"/>
          <w:lang w:val="en-US" w:eastAsia="zh-CN"/>
        </w:rPr>
        <w:t>.2</w:t>
      </w:r>
      <w:r>
        <w:rPr>
          <w:rFonts w:hint="eastAsia" w:ascii="黑体" w:hAnsi="黑体" w:eastAsia="黑体" w:cs="黑体"/>
          <w:kern w:val="0"/>
          <w:sz w:val="24"/>
        </w:rPr>
        <w:t>、4.1.1</w:t>
      </w:r>
      <w:r>
        <w:rPr>
          <w:rFonts w:hint="eastAsia" w:ascii="黑体" w:hAnsi="黑体" w:eastAsia="黑体" w:cs="黑体"/>
          <w:kern w:val="0"/>
          <w:sz w:val="24"/>
          <w:lang w:val="en-US" w:eastAsia="zh-CN"/>
        </w:rPr>
        <w:t>.4</w:t>
      </w:r>
      <w:r>
        <w:rPr>
          <w:rFonts w:hint="eastAsia" w:ascii="黑体" w:hAnsi="黑体" w:eastAsia="黑体" w:cs="黑体"/>
          <w:kern w:val="0"/>
          <w:sz w:val="24"/>
        </w:rPr>
        <w:t>、5.3.2</w:t>
      </w:r>
      <w:r>
        <w:rPr>
          <w:rFonts w:hint="eastAsia" w:ascii="黑体" w:hAnsi="黑体" w:eastAsia="黑体" w:cs="黑体"/>
          <w:kern w:val="0"/>
          <w:sz w:val="24"/>
          <w:lang w:eastAsia="zh-CN"/>
        </w:rPr>
        <w:t>、</w:t>
      </w:r>
      <w:r>
        <w:rPr>
          <w:rFonts w:hint="eastAsia" w:ascii="黑体" w:hAnsi="黑体" w:eastAsia="黑体" w:cs="黑体"/>
          <w:kern w:val="0"/>
          <w:sz w:val="24"/>
        </w:rPr>
        <w:t>5.4.10</w:t>
      </w:r>
      <w:r>
        <w:rPr>
          <w:rFonts w:hint="eastAsia" w:ascii="黑体" w:hAnsi="黑体" w:eastAsia="黑体" w:cs="黑体"/>
          <w:kern w:val="0"/>
          <w:sz w:val="24"/>
          <w:lang w:val="en-US" w:eastAsia="zh-CN"/>
        </w:rPr>
        <w:t>.1</w:t>
      </w:r>
      <w:r>
        <w:rPr>
          <w:rFonts w:hint="eastAsia" w:ascii="黑体" w:hAnsi="黑体" w:eastAsia="黑体" w:cs="黑体"/>
          <w:kern w:val="0"/>
          <w:sz w:val="24"/>
        </w:rPr>
        <w:t>、5.4.10</w:t>
      </w:r>
      <w:r>
        <w:rPr>
          <w:rFonts w:hint="eastAsia" w:ascii="黑体" w:hAnsi="黑体" w:eastAsia="黑体" w:cs="黑体"/>
          <w:kern w:val="0"/>
          <w:sz w:val="24"/>
          <w:lang w:val="en-US" w:eastAsia="zh-CN"/>
        </w:rPr>
        <w:t>.5</w:t>
      </w:r>
      <w:r>
        <w:rPr>
          <w:rFonts w:hint="eastAsia" w:ascii="黑体" w:hAnsi="黑体" w:eastAsia="黑体" w:cs="黑体"/>
          <w:kern w:val="0"/>
          <w:sz w:val="24"/>
        </w:rPr>
        <w:t>、5.4.12</w:t>
      </w:r>
      <w:r>
        <w:rPr>
          <w:rFonts w:hint="eastAsia" w:ascii="黑体" w:hAnsi="黑体" w:eastAsia="黑体" w:cs="黑体"/>
          <w:kern w:val="0"/>
          <w:sz w:val="24"/>
          <w:lang w:val="en-US" w:eastAsia="zh-CN"/>
        </w:rPr>
        <w:t>.2</w:t>
      </w:r>
      <w:r>
        <w:rPr>
          <w:rFonts w:hint="eastAsia" w:ascii="黑体" w:hAnsi="黑体" w:eastAsia="黑体" w:cs="黑体"/>
          <w:kern w:val="0"/>
          <w:sz w:val="24"/>
        </w:rPr>
        <w:t>、8.0.3</w:t>
      </w:r>
      <w:r>
        <w:rPr>
          <w:rFonts w:hint="eastAsia" w:ascii="黑体" w:hAnsi="黑体" w:eastAsia="黑体" w:cs="黑体"/>
          <w:kern w:val="0"/>
          <w:sz w:val="24"/>
          <w:lang w:val="en-US" w:eastAsia="zh-CN"/>
        </w:rPr>
        <w:t>.8</w:t>
      </w:r>
      <w:r>
        <w:rPr>
          <w:rFonts w:hint="eastAsia" w:ascii="黑体" w:hAnsi="黑体" w:eastAsia="黑体" w:cs="黑体"/>
          <w:kern w:val="0"/>
          <w:sz w:val="24"/>
        </w:rPr>
        <w:t>、10.3.3</w:t>
      </w:r>
      <w:r>
        <w:rPr>
          <w:rFonts w:hint="eastAsia" w:ascii="黑体" w:hAnsi="黑体" w:eastAsia="黑体" w:cs="黑体"/>
          <w:kern w:val="0"/>
          <w:sz w:val="24"/>
          <w:lang w:val="en-US" w:eastAsia="zh-CN"/>
        </w:rPr>
        <w:t>.4</w:t>
      </w:r>
    </w:p>
    <w:p>
      <w:pPr>
        <w:numPr>
          <w:ilvl w:val="0"/>
          <w:numId w:val="4"/>
        </w:numPr>
        <w:adjustRightInd w:val="0"/>
        <w:snapToGrid w:val="0"/>
        <w:spacing w:line="360" w:lineRule="auto"/>
        <w:rPr>
          <w:rFonts w:ascii="Arial" w:hAnsi="Arial" w:eastAsia="黑体" w:cs="Arial"/>
          <w:sz w:val="24"/>
          <w:szCs w:val="24"/>
        </w:rPr>
      </w:pPr>
      <w:r>
        <w:rPr>
          <w:rFonts w:ascii="Arial" w:hAnsi="Arial" w:eastAsia="黑体" w:cs="Arial"/>
          <w:sz w:val="24"/>
          <w:szCs w:val="24"/>
        </w:rPr>
        <w:t>《小型锅炉与常压热水锅炉技术要求及运行管理》DB31/T213-2020</w:t>
      </w:r>
    </w:p>
    <w:p>
      <w:pPr>
        <w:spacing w:line="360" w:lineRule="auto"/>
        <w:ind w:firstLine="480" w:firstLineChars="200"/>
        <w:rPr>
          <w:rFonts w:hint="eastAsia" w:ascii="黑体" w:hAnsi="黑体" w:eastAsia="黑体" w:cs="黑体"/>
          <w:kern w:val="0"/>
          <w:sz w:val="24"/>
        </w:rPr>
      </w:pPr>
      <w:r>
        <w:rPr>
          <w:rFonts w:hint="eastAsia" w:ascii="黑体" w:hAnsi="黑体" w:eastAsia="黑体" w:cs="黑体"/>
          <w:kern w:val="0"/>
          <w:sz w:val="24"/>
        </w:rPr>
        <w:t>4.6、6.4.1、6.4.2</w:t>
      </w:r>
    </w:p>
    <w:p>
      <w:pPr>
        <w:numPr>
          <w:ilvl w:val="0"/>
          <w:numId w:val="4"/>
        </w:numPr>
        <w:adjustRightInd w:val="0"/>
        <w:snapToGrid w:val="0"/>
        <w:spacing w:line="360" w:lineRule="auto"/>
        <w:rPr>
          <w:rFonts w:ascii="Arial" w:hAnsi="Arial" w:eastAsia="黑体" w:cs="Arial"/>
          <w:sz w:val="24"/>
          <w:szCs w:val="24"/>
        </w:rPr>
      </w:pPr>
      <w:r>
        <w:rPr>
          <w:rFonts w:ascii="Arial" w:hAnsi="Arial" w:eastAsia="黑体" w:cs="Arial"/>
          <w:sz w:val="24"/>
          <w:szCs w:val="24"/>
        </w:rPr>
        <w:t>《锅炉大气污染物排放标准》DB31/387-2018</w:t>
      </w:r>
    </w:p>
    <w:p>
      <w:pPr>
        <w:spacing w:line="360" w:lineRule="auto"/>
        <w:ind w:firstLine="480" w:firstLineChars="200"/>
        <w:rPr>
          <w:rFonts w:hint="eastAsia" w:ascii="黑体" w:hAnsi="黑体" w:eastAsia="黑体" w:cs="黑体"/>
          <w:kern w:val="0"/>
          <w:sz w:val="24"/>
        </w:rPr>
      </w:pPr>
      <w:r>
        <w:rPr>
          <w:rFonts w:hint="eastAsia" w:ascii="黑体" w:hAnsi="黑体" w:eastAsia="黑体" w:cs="黑体"/>
          <w:kern w:val="0"/>
          <w:sz w:val="24"/>
        </w:rPr>
        <w:t>4.1.2</w:t>
      </w:r>
    </w:p>
    <w:p>
      <w:pPr>
        <w:numPr>
          <w:ilvl w:val="0"/>
          <w:numId w:val="4"/>
        </w:numPr>
        <w:adjustRightInd w:val="0"/>
        <w:snapToGrid w:val="0"/>
        <w:spacing w:line="360" w:lineRule="auto"/>
        <w:rPr>
          <w:rFonts w:ascii="Arial" w:hAnsi="Arial" w:eastAsia="黑体" w:cs="Arial"/>
          <w:sz w:val="24"/>
          <w:szCs w:val="24"/>
        </w:rPr>
      </w:pPr>
      <w:r>
        <w:rPr>
          <w:rFonts w:ascii="Arial" w:hAnsi="Arial" w:eastAsia="黑体" w:cs="Arial"/>
          <w:sz w:val="24"/>
          <w:szCs w:val="24"/>
        </w:rPr>
        <w:t>《城市综合体消防技术标准》DG/TJ08-2408-2022</w:t>
      </w:r>
    </w:p>
    <w:p>
      <w:pPr>
        <w:spacing w:line="360" w:lineRule="auto"/>
        <w:ind w:firstLine="480" w:firstLineChars="200"/>
        <w:rPr>
          <w:rFonts w:hint="default" w:ascii="黑体" w:hAnsi="黑体" w:eastAsia="黑体" w:cs="黑体"/>
          <w:kern w:val="0"/>
          <w:sz w:val="24"/>
          <w:lang w:val="en-US" w:eastAsia="zh-CN"/>
        </w:rPr>
      </w:pPr>
      <w:r>
        <w:rPr>
          <w:rFonts w:hint="eastAsia" w:ascii="黑体" w:hAnsi="黑体" w:eastAsia="黑体" w:cs="黑体"/>
          <w:kern w:val="0"/>
          <w:sz w:val="24"/>
        </w:rPr>
        <w:t>5.3.3</w:t>
      </w:r>
      <w:r>
        <w:rPr>
          <w:rFonts w:hint="eastAsia" w:ascii="黑体" w:hAnsi="黑体" w:eastAsia="黑体" w:cs="黑体"/>
          <w:kern w:val="0"/>
          <w:sz w:val="24"/>
          <w:lang w:val="en-US" w:eastAsia="zh-CN"/>
        </w:rPr>
        <w:t>.6</w:t>
      </w:r>
    </w:p>
    <w:p>
      <w:pPr>
        <w:spacing w:line="360" w:lineRule="auto"/>
        <w:ind w:firstLine="480" w:firstLineChars="200"/>
        <w:rPr>
          <w:rFonts w:ascii="Arial" w:hAnsi="Arial" w:cs="Arial"/>
          <w:kern w:val="0"/>
          <w:sz w:val="24"/>
          <w:szCs w:val="24"/>
        </w:rPr>
      </w:pPr>
    </w:p>
    <w:p>
      <w:pPr>
        <w:spacing w:line="360" w:lineRule="auto"/>
        <w:ind w:firstLine="480" w:firstLineChars="200"/>
        <w:rPr>
          <w:rFonts w:ascii="Arial" w:hAnsi="Arial" w:cs="Arial"/>
          <w:kern w:val="0"/>
          <w:sz w:val="24"/>
          <w:szCs w:val="24"/>
        </w:rPr>
      </w:pPr>
    </w:p>
    <w:p>
      <w:pPr>
        <w:spacing w:line="360" w:lineRule="auto"/>
      </w:pPr>
    </w:p>
    <w:p>
      <w:pPr>
        <w:spacing w:line="360" w:lineRule="auto"/>
      </w:pPr>
    </w:p>
    <w:p>
      <w:pPr>
        <w:spacing w:line="360" w:lineRule="auto"/>
      </w:pPr>
    </w:p>
    <w:p>
      <w:pPr>
        <w:spacing w:line="360" w:lineRule="auto"/>
        <w:ind w:firstLine="420" w:firstLineChars="200"/>
      </w:pPr>
    </w:p>
    <w:p>
      <w:pPr>
        <w:spacing w:line="360" w:lineRule="auto"/>
        <w:ind w:firstLine="420" w:firstLineChars="200"/>
      </w:pPr>
    </w:p>
    <w:p>
      <w:pPr>
        <w:spacing w:line="360" w:lineRule="auto"/>
        <w:ind w:firstLine="420" w:firstLineChars="200"/>
      </w:pPr>
    </w:p>
    <w:p>
      <w:pPr>
        <w:spacing w:line="360" w:lineRule="auto"/>
        <w:ind w:firstLine="420" w:firstLineChars="200"/>
      </w:pPr>
    </w:p>
    <w:p>
      <w:pPr>
        <w:spacing w:line="360" w:lineRule="auto"/>
        <w:ind w:firstLine="420" w:firstLineChars="200"/>
      </w:pPr>
    </w:p>
    <w:p>
      <w:pPr>
        <w:spacing w:line="360" w:lineRule="auto"/>
        <w:ind w:firstLine="420" w:firstLineChars="200"/>
      </w:pPr>
    </w:p>
    <w:p>
      <w:pPr>
        <w:spacing w:line="360" w:lineRule="auto"/>
        <w:ind w:firstLine="420" w:firstLineChars="200"/>
      </w:pPr>
    </w:p>
    <w:p>
      <w:pPr>
        <w:spacing w:line="360" w:lineRule="auto"/>
        <w:ind w:firstLine="420" w:firstLineChars="200"/>
      </w:pPr>
    </w:p>
    <w:p>
      <w:pPr>
        <w:spacing w:line="360" w:lineRule="auto"/>
        <w:ind w:firstLine="420" w:firstLineChars="200"/>
      </w:pPr>
    </w:p>
    <w:p>
      <w:pPr>
        <w:spacing w:line="360" w:lineRule="auto"/>
        <w:ind w:firstLine="420" w:firstLineChars="200"/>
      </w:pPr>
    </w:p>
    <w:p>
      <w:pPr>
        <w:spacing w:line="360" w:lineRule="auto"/>
        <w:ind w:firstLine="420" w:firstLineChars="200"/>
      </w:pPr>
    </w:p>
    <w:p>
      <w:pPr>
        <w:pStyle w:val="2"/>
        <w:adjustRightInd w:val="0"/>
        <w:snapToGrid w:val="0"/>
        <w:spacing w:before="312" w:after="312"/>
      </w:pPr>
      <w:bookmarkStart w:id="51" w:name="_Toc154331144"/>
      <w:r>
        <w:rPr>
          <w:rFonts w:hint="eastAsia"/>
        </w:rPr>
        <w:t>附：相关规范性文件</w:t>
      </w:r>
      <w:bookmarkEnd w:id="51"/>
    </w:p>
    <w:p>
      <w:pPr>
        <w:adjustRightInd w:val="0"/>
        <w:snapToGrid w:val="0"/>
        <w:spacing w:line="360" w:lineRule="auto"/>
        <w:rPr>
          <w:rFonts w:ascii="Arial" w:hAnsi="Arial" w:cs="Arial" w:eastAsiaTheme="minorEastAsia"/>
          <w:sz w:val="24"/>
          <w:szCs w:val="24"/>
        </w:rPr>
      </w:pPr>
      <w:r>
        <w:rPr>
          <w:rFonts w:ascii="Arial" w:hAnsi="Arial" w:cs="Arial" w:eastAsiaTheme="minorEastAsia"/>
          <w:sz w:val="24"/>
          <w:szCs w:val="24"/>
        </w:rPr>
        <w:tab/>
      </w:r>
      <w:r>
        <w:rPr>
          <w:rFonts w:ascii="Arial" w:hAnsi="Arial" w:cs="Arial" w:eastAsiaTheme="minorEastAsia"/>
          <w:sz w:val="24"/>
          <w:szCs w:val="24"/>
        </w:rPr>
        <w:t xml:space="preserve">1. </w:t>
      </w:r>
      <w:r>
        <w:rPr>
          <w:rFonts w:ascii="Arial" w:cs="Arial" w:hAnsiTheme="minorEastAsia" w:eastAsiaTheme="minorEastAsia"/>
          <w:sz w:val="24"/>
          <w:szCs w:val="24"/>
        </w:rPr>
        <w:t>上海市城乡建设和交通委员会沪建交</w:t>
      </w:r>
      <w:r>
        <w:rPr>
          <w:rFonts w:hint="eastAsia" w:ascii="Arial" w:hAnsi="Arial" w:cs="Arial" w:eastAsiaTheme="minorEastAsia"/>
          <w:sz w:val="24"/>
          <w:szCs w:val="24"/>
          <w:lang w:val="en-US" w:eastAsia="zh-CN"/>
        </w:rPr>
        <w:t>【</w:t>
      </w:r>
      <w:r>
        <w:rPr>
          <w:rFonts w:ascii="Arial" w:hAnsi="Arial" w:cs="Arial" w:eastAsiaTheme="minorEastAsia"/>
          <w:sz w:val="24"/>
          <w:szCs w:val="24"/>
        </w:rPr>
        <w:t>2012</w:t>
      </w:r>
      <w:r>
        <w:rPr>
          <w:rFonts w:hint="eastAsia" w:ascii="Arial" w:hAnsi="Arial" w:cs="Arial" w:eastAsiaTheme="minorEastAsia"/>
          <w:sz w:val="24"/>
          <w:szCs w:val="24"/>
          <w:lang w:eastAsia="zh-CN"/>
        </w:rPr>
        <w:t>】</w:t>
      </w:r>
      <w:r>
        <w:rPr>
          <w:rFonts w:ascii="Arial" w:hAnsi="Arial" w:cs="Arial" w:eastAsiaTheme="minorEastAsia"/>
          <w:sz w:val="24"/>
          <w:szCs w:val="24"/>
        </w:rPr>
        <w:t>1273</w:t>
      </w:r>
      <w:r>
        <w:rPr>
          <w:rFonts w:ascii="Arial" w:cs="Arial" w:hAnsiTheme="minorEastAsia" w:eastAsiaTheme="minorEastAsia"/>
          <w:sz w:val="24"/>
          <w:szCs w:val="24"/>
        </w:rPr>
        <w:t>号上海市城乡建设和交通委员会关于执行《上海市民用建筑工程施工图节能设计文件编制深度规定》的通知。</w:t>
      </w:r>
    </w:p>
    <w:p>
      <w:pPr>
        <w:adjustRightInd w:val="0"/>
        <w:snapToGrid w:val="0"/>
        <w:spacing w:line="360" w:lineRule="auto"/>
        <w:rPr>
          <w:rFonts w:ascii="Arial" w:hAnsi="Arial" w:cs="Arial" w:eastAsiaTheme="minorEastAsia"/>
          <w:sz w:val="24"/>
          <w:szCs w:val="24"/>
        </w:rPr>
      </w:pPr>
      <w:r>
        <w:rPr>
          <w:rFonts w:ascii="Arial" w:hAnsi="Arial" w:cs="Arial" w:eastAsiaTheme="minorEastAsia"/>
          <w:sz w:val="24"/>
          <w:szCs w:val="24"/>
        </w:rPr>
        <w:tab/>
      </w:r>
      <w:r>
        <w:rPr>
          <w:rFonts w:ascii="Arial" w:hAnsi="Arial" w:cs="Arial" w:eastAsiaTheme="minorEastAsia"/>
          <w:sz w:val="24"/>
          <w:szCs w:val="24"/>
        </w:rPr>
        <w:t xml:space="preserve">2. </w:t>
      </w:r>
      <w:r>
        <w:rPr>
          <w:rFonts w:ascii="Arial" w:cs="Arial" w:hAnsiTheme="minorEastAsia" w:eastAsiaTheme="minorEastAsia"/>
          <w:sz w:val="24"/>
          <w:szCs w:val="24"/>
        </w:rPr>
        <w:t>上海市住房和城乡建设管理委员会上海市发展和改革委员会上海市规划和自然资源局关于印发《关于推进本市新建建筑可再生能源应用的实施意见》的通知沪建建材联</w:t>
      </w:r>
      <w:r>
        <w:rPr>
          <w:rFonts w:hint="eastAsia" w:ascii="Arial" w:hAnsi="Arial" w:cs="Arial" w:eastAsiaTheme="minorEastAsia"/>
          <w:sz w:val="24"/>
          <w:szCs w:val="24"/>
          <w:lang w:eastAsia="zh-CN"/>
        </w:rPr>
        <w:t>【</w:t>
      </w:r>
      <w:r>
        <w:rPr>
          <w:rFonts w:ascii="Arial" w:hAnsi="Arial" w:cs="Arial" w:eastAsiaTheme="minorEastAsia"/>
          <w:sz w:val="24"/>
          <w:szCs w:val="24"/>
        </w:rPr>
        <w:t>2022</w:t>
      </w:r>
      <w:r>
        <w:rPr>
          <w:rFonts w:hint="eastAsia" w:ascii="Arial" w:hAnsi="Arial" w:cs="Arial" w:eastAsiaTheme="minorEastAsia"/>
          <w:sz w:val="24"/>
          <w:szCs w:val="24"/>
          <w:lang w:eastAsia="zh-CN"/>
        </w:rPr>
        <w:t>】</w:t>
      </w:r>
      <w:r>
        <w:rPr>
          <w:rFonts w:ascii="Arial" w:hAnsi="Arial" w:cs="Arial" w:eastAsiaTheme="minorEastAsia"/>
          <w:sz w:val="24"/>
          <w:szCs w:val="24"/>
        </w:rPr>
        <w:t>679</w:t>
      </w:r>
      <w:r>
        <w:rPr>
          <w:rFonts w:ascii="Arial" w:cs="Arial" w:hAnsiTheme="minorEastAsia" w:eastAsiaTheme="minorEastAsia"/>
          <w:sz w:val="24"/>
          <w:szCs w:val="24"/>
        </w:rPr>
        <w:t>号文。</w:t>
      </w:r>
    </w:p>
    <w:p>
      <w:pPr>
        <w:adjustRightInd w:val="0"/>
        <w:snapToGrid w:val="0"/>
        <w:spacing w:line="360" w:lineRule="auto"/>
        <w:rPr>
          <w:rFonts w:ascii="Arial" w:hAnsi="Arial" w:cs="Arial" w:eastAsiaTheme="minorEastAsia"/>
          <w:sz w:val="24"/>
          <w:szCs w:val="24"/>
        </w:rPr>
      </w:pPr>
      <w:r>
        <w:rPr>
          <w:rFonts w:ascii="Arial" w:hAnsi="Arial" w:cs="Arial" w:eastAsiaTheme="minorEastAsia"/>
          <w:sz w:val="24"/>
          <w:szCs w:val="24"/>
        </w:rPr>
        <w:tab/>
      </w:r>
      <w:r>
        <w:rPr>
          <w:rFonts w:ascii="Arial" w:hAnsi="Arial" w:cs="Arial" w:eastAsiaTheme="minorEastAsia"/>
          <w:sz w:val="24"/>
          <w:szCs w:val="24"/>
        </w:rPr>
        <w:t xml:space="preserve">3. </w:t>
      </w:r>
      <w:r>
        <w:rPr>
          <w:rFonts w:ascii="Arial" w:cs="Arial" w:hAnsiTheme="minorEastAsia" w:eastAsiaTheme="minorEastAsia"/>
          <w:sz w:val="24"/>
          <w:szCs w:val="24"/>
        </w:rPr>
        <w:t>上海市住房和城乡建设管理委员会沪建建材【</w:t>
      </w:r>
      <w:r>
        <w:rPr>
          <w:rFonts w:ascii="Arial" w:hAnsi="Arial" w:cs="Arial" w:eastAsiaTheme="minorEastAsia"/>
          <w:sz w:val="24"/>
          <w:szCs w:val="24"/>
        </w:rPr>
        <w:t>2021</w:t>
      </w:r>
      <w:r>
        <w:rPr>
          <w:rFonts w:ascii="Arial" w:cs="Arial" w:hAnsiTheme="minorEastAsia" w:eastAsiaTheme="minorEastAsia"/>
          <w:sz w:val="24"/>
          <w:szCs w:val="24"/>
        </w:rPr>
        <w:t>】</w:t>
      </w:r>
      <w:r>
        <w:rPr>
          <w:rFonts w:ascii="Arial" w:hAnsi="Arial" w:cs="Arial" w:eastAsiaTheme="minorEastAsia"/>
          <w:sz w:val="24"/>
          <w:szCs w:val="24"/>
        </w:rPr>
        <w:t>337</w:t>
      </w:r>
      <w:r>
        <w:rPr>
          <w:rFonts w:ascii="Arial" w:cs="Arial" w:hAnsiTheme="minorEastAsia" w:eastAsiaTheme="minorEastAsia"/>
          <w:sz w:val="24"/>
          <w:szCs w:val="24"/>
        </w:rPr>
        <w:t>号文《上海市住房和城乡建设管理委员会关于加强本市绿色建筑设计管理工作的通知》附件：《上海市绿色建筑工程设计文件编制深度规定</w:t>
      </w:r>
      <w:r>
        <w:rPr>
          <w:rFonts w:ascii="Arial" w:hAnsi="Arial" w:cs="Arial" w:eastAsiaTheme="minorEastAsia"/>
          <w:sz w:val="24"/>
          <w:szCs w:val="24"/>
        </w:rPr>
        <w:t>(2021</w:t>
      </w:r>
      <w:r>
        <w:rPr>
          <w:rFonts w:ascii="Arial" w:cs="Arial" w:hAnsiTheme="minorEastAsia" w:eastAsiaTheme="minorEastAsia"/>
          <w:sz w:val="24"/>
          <w:szCs w:val="24"/>
        </w:rPr>
        <w:t>年修订版</w:t>
      </w:r>
      <w:r>
        <w:rPr>
          <w:rFonts w:ascii="Arial" w:hAnsi="Arial" w:cs="Arial" w:eastAsiaTheme="minorEastAsia"/>
          <w:sz w:val="24"/>
          <w:szCs w:val="24"/>
        </w:rPr>
        <w:t>)</w:t>
      </w:r>
      <w:r>
        <w:rPr>
          <w:rFonts w:ascii="Arial" w:cs="Arial" w:hAnsiTheme="minorEastAsia" w:eastAsiaTheme="minorEastAsia"/>
          <w:sz w:val="24"/>
          <w:szCs w:val="24"/>
        </w:rPr>
        <w:t>》。</w:t>
      </w:r>
    </w:p>
    <w:p>
      <w:pPr>
        <w:adjustRightInd w:val="0"/>
        <w:snapToGrid w:val="0"/>
        <w:spacing w:line="360" w:lineRule="auto"/>
        <w:rPr>
          <w:rFonts w:ascii="Arial" w:hAnsi="Arial" w:cs="Arial" w:eastAsiaTheme="minorEastAsia"/>
          <w:sz w:val="24"/>
          <w:szCs w:val="24"/>
        </w:rPr>
      </w:pPr>
      <w:r>
        <w:rPr>
          <w:rFonts w:ascii="Arial" w:hAnsi="Arial" w:cs="Arial" w:eastAsiaTheme="minorEastAsia"/>
          <w:sz w:val="24"/>
          <w:szCs w:val="24"/>
        </w:rPr>
        <w:tab/>
      </w:r>
      <w:r>
        <w:rPr>
          <w:rFonts w:ascii="Arial" w:hAnsi="Arial" w:cs="Arial" w:eastAsiaTheme="minorEastAsia"/>
          <w:sz w:val="24"/>
          <w:szCs w:val="24"/>
        </w:rPr>
        <w:t xml:space="preserve">4. </w:t>
      </w:r>
      <w:r>
        <w:rPr>
          <w:rFonts w:ascii="Arial" w:cs="Arial" w:hAnsiTheme="minorEastAsia" w:eastAsiaTheme="minorEastAsia"/>
          <w:sz w:val="24"/>
          <w:szCs w:val="24"/>
        </w:rPr>
        <w:t>上海市住房和城乡建设管理委员会沪建管【</w:t>
      </w:r>
      <w:r>
        <w:rPr>
          <w:rFonts w:ascii="Arial" w:hAnsi="Arial" w:cs="Arial" w:eastAsiaTheme="minorEastAsia"/>
          <w:sz w:val="24"/>
          <w:szCs w:val="24"/>
        </w:rPr>
        <w:t>2015</w:t>
      </w:r>
      <w:r>
        <w:rPr>
          <w:rFonts w:ascii="Arial" w:cs="Arial" w:hAnsiTheme="minorEastAsia" w:eastAsiaTheme="minorEastAsia"/>
          <w:sz w:val="24"/>
          <w:szCs w:val="24"/>
        </w:rPr>
        <w:t>】</w:t>
      </w:r>
      <w:r>
        <w:rPr>
          <w:rFonts w:ascii="Arial" w:hAnsi="Arial" w:cs="Arial" w:eastAsiaTheme="minorEastAsia"/>
          <w:sz w:val="24"/>
          <w:szCs w:val="24"/>
        </w:rPr>
        <w:t>182</w:t>
      </w:r>
      <w:r>
        <w:rPr>
          <w:rFonts w:ascii="Arial" w:cs="Arial" w:hAnsiTheme="minorEastAsia" w:eastAsiaTheme="minorEastAsia"/>
          <w:sz w:val="24"/>
          <w:szCs w:val="24"/>
        </w:rPr>
        <w:t>号文关于印发《上海市装配式混凝土建筑工程设计文件编制深度规定》的通知。</w:t>
      </w:r>
    </w:p>
    <w:p>
      <w:pPr>
        <w:adjustRightInd w:val="0"/>
        <w:snapToGrid w:val="0"/>
        <w:spacing w:line="360" w:lineRule="auto"/>
        <w:rPr>
          <w:rFonts w:ascii="Arial" w:hAnsi="Arial" w:cs="Arial" w:eastAsiaTheme="minorEastAsia"/>
          <w:sz w:val="24"/>
          <w:szCs w:val="24"/>
        </w:rPr>
      </w:pPr>
      <w:r>
        <w:rPr>
          <w:rFonts w:ascii="Arial" w:hAnsi="Arial" w:cs="Arial" w:eastAsiaTheme="minorEastAsia"/>
          <w:sz w:val="24"/>
          <w:szCs w:val="24"/>
        </w:rPr>
        <w:tab/>
      </w:r>
      <w:r>
        <w:rPr>
          <w:rFonts w:ascii="Arial" w:hAnsi="Arial" w:cs="Arial" w:eastAsiaTheme="minorEastAsia"/>
          <w:sz w:val="24"/>
          <w:szCs w:val="24"/>
        </w:rPr>
        <w:t xml:space="preserve">5. </w:t>
      </w:r>
      <w:r>
        <w:rPr>
          <w:rFonts w:ascii="Arial" w:cs="Arial" w:hAnsiTheme="minorEastAsia" w:eastAsiaTheme="minorEastAsia"/>
          <w:sz w:val="24"/>
          <w:szCs w:val="24"/>
        </w:rPr>
        <w:t>上海市住房和城乡建设管理委员会沪建建材【</w:t>
      </w:r>
      <w:r>
        <w:rPr>
          <w:rFonts w:ascii="Arial" w:hAnsi="Arial" w:cs="Arial" w:eastAsiaTheme="minorEastAsia"/>
          <w:sz w:val="24"/>
          <w:szCs w:val="24"/>
        </w:rPr>
        <w:t>2022</w:t>
      </w:r>
      <w:r>
        <w:rPr>
          <w:rFonts w:ascii="Arial" w:cs="Arial" w:hAnsiTheme="minorEastAsia" w:eastAsiaTheme="minorEastAsia"/>
          <w:sz w:val="24"/>
          <w:szCs w:val="24"/>
        </w:rPr>
        <w:t>】</w:t>
      </w:r>
      <w:r>
        <w:rPr>
          <w:rFonts w:ascii="Arial" w:hAnsi="Arial" w:cs="Arial" w:eastAsiaTheme="minorEastAsia"/>
          <w:sz w:val="24"/>
          <w:szCs w:val="24"/>
        </w:rPr>
        <w:t>681</w:t>
      </w:r>
      <w:r>
        <w:rPr>
          <w:rFonts w:ascii="Arial" w:cs="Arial" w:hAnsiTheme="minorEastAsia" w:eastAsiaTheme="minorEastAsia"/>
          <w:sz w:val="24"/>
          <w:szCs w:val="24"/>
        </w:rPr>
        <w:t>号文《上海市住房和城乡建设管理委员会关于印发《关于规模化推进本市既有公共建筑节能改造的实施意见》。</w:t>
      </w:r>
    </w:p>
    <w:p>
      <w:pPr>
        <w:adjustRightInd w:val="0"/>
        <w:snapToGrid w:val="0"/>
        <w:spacing w:line="360" w:lineRule="auto"/>
        <w:rPr>
          <w:rFonts w:ascii="Arial" w:hAnsi="Arial" w:cs="Arial" w:eastAsiaTheme="minorEastAsia"/>
          <w:sz w:val="24"/>
          <w:szCs w:val="24"/>
        </w:rPr>
      </w:pPr>
      <w:r>
        <w:rPr>
          <w:rFonts w:ascii="Arial" w:hAnsi="Arial" w:cs="Arial" w:eastAsiaTheme="minorEastAsia"/>
          <w:sz w:val="24"/>
          <w:szCs w:val="24"/>
        </w:rPr>
        <w:tab/>
      </w:r>
      <w:r>
        <w:rPr>
          <w:rFonts w:ascii="Arial" w:hAnsi="Arial" w:cs="Arial" w:eastAsiaTheme="minorEastAsia"/>
          <w:sz w:val="24"/>
          <w:szCs w:val="24"/>
        </w:rPr>
        <w:t xml:space="preserve">6. </w:t>
      </w:r>
      <w:r>
        <w:rPr>
          <w:rFonts w:ascii="Arial" w:cs="Arial" w:hAnsiTheme="minorEastAsia" w:eastAsiaTheme="minorEastAsia"/>
          <w:sz w:val="24"/>
          <w:szCs w:val="24"/>
        </w:rPr>
        <w:t>上海市城市管理精细化工作推进领导小组办公室沪精推办【</w:t>
      </w:r>
      <w:r>
        <w:rPr>
          <w:rFonts w:ascii="Arial" w:hAnsi="Arial" w:cs="Arial" w:eastAsiaTheme="minorEastAsia"/>
          <w:sz w:val="24"/>
          <w:szCs w:val="24"/>
        </w:rPr>
        <w:t>2019</w:t>
      </w:r>
      <w:r>
        <w:rPr>
          <w:rFonts w:ascii="Arial" w:cs="Arial" w:hAnsiTheme="minorEastAsia" w:eastAsiaTheme="minorEastAsia"/>
          <w:sz w:val="24"/>
          <w:szCs w:val="24"/>
        </w:rPr>
        <w:t>】</w:t>
      </w:r>
      <w:r>
        <w:rPr>
          <w:rFonts w:ascii="Arial" w:hAnsi="Arial" w:cs="Arial" w:eastAsiaTheme="minorEastAsia"/>
          <w:sz w:val="24"/>
          <w:szCs w:val="24"/>
        </w:rPr>
        <w:t>5</w:t>
      </w:r>
      <w:r>
        <w:rPr>
          <w:rFonts w:ascii="Arial" w:cs="Arial" w:hAnsiTheme="minorEastAsia" w:eastAsiaTheme="minorEastAsia"/>
          <w:sz w:val="24"/>
          <w:szCs w:val="24"/>
        </w:rPr>
        <w:t>号关于印发《</w:t>
      </w:r>
      <w:r>
        <w:rPr>
          <w:rFonts w:ascii="Arial" w:hAnsi="Arial" w:cs="Arial" w:eastAsiaTheme="minorEastAsia"/>
          <w:sz w:val="24"/>
          <w:szCs w:val="24"/>
        </w:rPr>
        <w:t>2019</w:t>
      </w:r>
      <w:r>
        <w:rPr>
          <w:rFonts w:ascii="Arial" w:cs="Arial" w:hAnsiTheme="minorEastAsia" w:eastAsiaTheme="minorEastAsia"/>
          <w:sz w:val="24"/>
          <w:szCs w:val="24"/>
        </w:rPr>
        <w:t>年市政府实事项目</w:t>
      </w:r>
      <w:r>
        <w:rPr>
          <w:rFonts w:hint="eastAsia" w:ascii="Arial" w:hAnsi="Arial" w:cs="Arial" w:eastAsiaTheme="minorEastAsia"/>
          <w:sz w:val="24"/>
          <w:szCs w:val="24"/>
          <w:lang w:eastAsia="zh-CN"/>
        </w:rPr>
        <w:t>“</w:t>
      </w:r>
      <w:r>
        <w:rPr>
          <w:rFonts w:ascii="Arial" w:cs="Arial" w:hAnsiTheme="minorEastAsia" w:eastAsiaTheme="minorEastAsia"/>
          <w:sz w:val="24"/>
          <w:szCs w:val="24"/>
        </w:rPr>
        <w:t>为</w:t>
      </w:r>
      <w:r>
        <w:rPr>
          <w:rFonts w:ascii="Arial" w:hAnsi="Arial" w:cs="Arial" w:eastAsiaTheme="minorEastAsia"/>
          <w:sz w:val="24"/>
          <w:szCs w:val="24"/>
        </w:rPr>
        <w:t>700</w:t>
      </w:r>
      <w:r>
        <w:rPr>
          <w:rFonts w:ascii="Arial" w:cs="Arial" w:hAnsiTheme="minorEastAsia" w:eastAsiaTheme="minorEastAsia"/>
          <w:sz w:val="24"/>
          <w:szCs w:val="24"/>
        </w:rPr>
        <w:t>个住宅小区新增电动自行车充电设施</w:t>
      </w:r>
      <w:r>
        <w:rPr>
          <w:rFonts w:hint="eastAsia" w:ascii="Arial" w:hAnsi="Arial" w:cs="Arial" w:eastAsiaTheme="minorEastAsia"/>
          <w:sz w:val="24"/>
          <w:szCs w:val="24"/>
          <w:lang w:eastAsia="zh-CN"/>
        </w:rPr>
        <w:t>”</w:t>
      </w:r>
      <w:r>
        <w:rPr>
          <w:rFonts w:ascii="Arial" w:cs="Arial" w:hAnsiTheme="minorEastAsia" w:eastAsiaTheme="minorEastAsia"/>
          <w:sz w:val="24"/>
          <w:szCs w:val="24"/>
        </w:rPr>
        <w:t>实施方案》的通知。</w:t>
      </w:r>
    </w:p>
    <w:p>
      <w:pPr>
        <w:spacing w:line="360" w:lineRule="auto"/>
        <w:ind w:firstLine="420" w:firstLineChars="200"/>
      </w:pPr>
    </w:p>
    <w:p>
      <w:pPr>
        <w:spacing w:line="360" w:lineRule="auto"/>
        <w:ind w:firstLine="420" w:firstLineChars="200"/>
      </w:pPr>
    </w:p>
    <w:p>
      <w:pPr>
        <w:spacing w:line="360" w:lineRule="auto"/>
        <w:ind w:firstLine="420" w:firstLineChars="200"/>
      </w:pPr>
    </w:p>
    <w:p>
      <w:pPr>
        <w:spacing w:line="360" w:lineRule="auto"/>
        <w:ind w:firstLine="420" w:firstLineChars="200"/>
      </w:pPr>
    </w:p>
    <w:p>
      <w:pPr>
        <w:spacing w:line="360" w:lineRule="auto"/>
        <w:ind w:firstLine="420" w:firstLineChars="200"/>
      </w:pPr>
    </w:p>
    <w:p>
      <w:pPr>
        <w:spacing w:line="360" w:lineRule="auto"/>
        <w:ind w:firstLine="420" w:firstLineChars="200"/>
      </w:pPr>
    </w:p>
    <w:p>
      <w:pPr>
        <w:spacing w:line="360" w:lineRule="auto"/>
        <w:ind w:firstLine="420" w:firstLineChars="200"/>
      </w:pPr>
    </w:p>
    <w:p>
      <w:pPr>
        <w:spacing w:line="360" w:lineRule="auto"/>
        <w:ind w:firstLine="420" w:firstLineChars="200"/>
      </w:pPr>
    </w:p>
    <w:p>
      <w:pPr>
        <w:spacing w:line="360" w:lineRule="auto"/>
        <w:ind w:firstLine="420" w:firstLineChars="200"/>
      </w:pPr>
    </w:p>
    <w:p>
      <w:pPr>
        <w:spacing w:line="360" w:lineRule="auto"/>
        <w:ind w:firstLine="420" w:firstLineChars="200"/>
      </w:pPr>
    </w:p>
    <w:sectPr>
      <w:headerReference r:id="rId6" w:type="default"/>
      <w:footerReference r:id="rId7" w:type="default"/>
      <w:pgSz w:w="11906" w:h="16838"/>
      <w:pgMar w:top="1440" w:right="1800" w:bottom="1440" w:left="1800" w:header="851" w:footer="659"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2000000" w:usb3="00000000" w:csb0="2000019F" w:csb1="00000000"/>
  </w:font>
  <w:font w:name="方正仿宋简体">
    <w:altName w:val="方正仿宋_GBK"/>
    <w:panose1 w:val="00000000000000000000"/>
    <w:charset w:val="86"/>
    <w:family w:val="script"/>
    <w:pitch w:val="default"/>
    <w:sig w:usb0="00000000" w:usb1="00000000" w:usb2="00000010" w:usb3="00000000" w:csb0="00040000" w:csb1="00000000"/>
  </w:font>
  <w:font w:name="微软雅黑">
    <w:altName w:val="黑体"/>
    <w:panose1 w:val="020B0503020204020204"/>
    <w:charset w:val="86"/>
    <w:family w:val="auto"/>
    <w:pitch w:val="default"/>
    <w:sig w:usb0="00000000" w:usb1="00000000" w:usb2="00000016" w:usb3="00000000" w:csb0="0004001F" w:csb1="00000000"/>
  </w:font>
  <w:font w:name="Arial Unicode MS">
    <w:altName w:val="DejaVu Sans"/>
    <w:panose1 w:val="020B0604020202020204"/>
    <w:charset w:val="86"/>
    <w:family w:val="swiss"/>
    <w:pitch w:val="default"/>
    <w:sig w:usb0="00000000" w:usb1="00000000" w:usb2="0000003F" w:usb3="00000000" w:csb0="603F01FF" w:csb1="FFFF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center"/>
      <w:rPr>
        <w:rFonts w:ascii="Arial" w:hAnsi="Arial" w:cs="Arial"/>
      </w:rPr>
    </w:pPr>
    <w:r>
      <w:rPr>
        <w:rFonts w:ascii="Arial" w:hAnsi="Arial" w:cs="Arial"/>
      </w:rPr>
      <w:fldChar w:fldCharType="begin"/>
    </w:r>
    <w:r>
      <w:rPr>
        <w:rFonts w:ascii="Arial" w:hAnsi="Arial" w:cs="Arial"/>
      </w:rPr>
      <w:instrText xml:space="preserve">PAGE   \* MERGEFORMAT</w:instrText>
    </w:r>
    <w:r>
      <w:rPr>
        <w:rFonts w:ascii="Arial" w:hAnsi="Arial" w:cs="Arial"/>
      </w:rPr>
      <w:fldChar w:fldCharType="separate"/>
    </w:r>
    <w:r>
      <w:rPr>
        <w:rFonts w:ascii="Arial" w:hAnsi="Arial" w:cs="Arial"/>
        <w:lang w:val="zh-CN"/>
      </w:rPr>
      <w:t>32</w:t>
    </w:r>
    <w:r>
      <w:rPr>
        <w:rFonts w:ascii="Arial" w:hAnsi="Arial" w:cs="Arial"/>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center"/>
      <w:rPr>
        <w:rFonts w:ascii="Arial" w:hAnsi="Arial" w:cs="Arial"/>
      </w:rPr>
    </w:pPr>
    <w:r>
      <w:rPr>
        <w:rFonts w:ascii="Arial" w:hAnsi="Arial" w:cs="Arial"/>
      </w:rPr>
      <w:fldChar w:fldCharType="begin"/>
    </w:r>
    <w:r>
      <w:rPr>
        <w:rFonts w:ascii="Arial" w:hAnsi="Arial" w:cs="Arial"/>
      </w:rPr>
      <w:instrText xml:space="preserve">PAGE   \* MERGEFORMAT</w:instrText>
    </w:r>
    <w:r>
      <w:rPr>
        <w:rFonts w:ascii="Arial" w:hAnsi="Arial" w:cs="Arial"/>
      </w:rPr>
      <w:fldChar w:fldCharType="separate"/>
    </w:r>
    <w:r>
      <w:rPr>
        <w:rFonts w:ascii="Arial" w:hAnsi="Arial" w:cs="Arial"/>
        <w:lang w:val="zh-CN"/>
      </w:rPr>
      <w:t>32</w:t>
    </w:r>
    <w:r>
      <w:rPr>
        <w:rFonts w:ascii="Arial" w:hAnsi="Arial" w:cs="Arial"/>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center"/>
    </w:pPr>
    <w:r>
      <w:fldChar w:fldCharType="begin"/>
    </w:r>
    <w:r>
      <w:instrText xml:space="preserve">PAGE   \* MERGEFORMAT</w:instrText>
    </w:r>
    <w:r>
      <w:fldChar w:fldCharType="separate"/>
    </w:r>
    <w:r>
      <w:rPr>
        <w:lang w:val="zh-CN"/>
      </w:rPr>
      <w:t>41</w:t>
    </w:r>
    <w:r>
      <w:rPr>
        <w:lang w:val="zh-CN"/>
      </w:rPr>
      <w:fldChar w:fldCharType="end"/>
    </w:r>
  </w:p>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pBdr>
        <w:bottom w:val="single" w:color="auto" w:sz="4" w:space="1"/>
      </w:pBdr>
      <w:jc w:val="right"/>
      <w:rPr>
        <w:rFonts w:ascii="Arial" w:hAnsi="Arial" w:eastAsia="黑体" w:cs="Arial"/>
        <w:sz w:val="18"/>
        <w:szCs w:val="18"/>
      </w:rPr>
    </w:pPr>
    <w:r>
      <w:rPr>
        <w:rFonts w:ascii="Arial" w:hAnsi="Arial" w:eastAsia="黑体" w:cs="Arial"/>
        <w:sz w:val="18"/>
        <w:szCs w:val="18"/>
      </w:rPr>
      <w:t>上海市房屋建筑工程施工图设计文件</w:t>
    </w:r>
    <w:r>
      <w:rPr>
        <w:rFonts w:hint="eastAsia" w:ascii="Arial" w:hAnsi="Arial" w:eastAsia="黑体" w:cs="Arial"/>
        <w:sz w:val="18"/>
        <w:szCs w:val="18"/>
      </w:rPr>
      <w:t>技术</w:t>
    </w:r>
    <w:r>
      <w:rPr>
        <w:rFonts w:ascii="Arial" w:hAnsi="Arial" w:eastAsia="黑体" w:cs="Arial"/>
        <w:sz w:val="18"/>
        <w:szCs w:val="18"/>
      </w:rPr>
      <w:t>审查要点</w:t>
    </w:r>
    <w:r>
      <w:rPr>
        <w:rFonts w:hint="eastAsia" w:ascii="Arial" w:hAnsi="Arial" w:eastAsia="黑体" w:cs="Arial"/>
        <w:sz w:val="18"/>
        <w:szCs w:val="18"/>
      </w:rPr>
      <w:t>·建筑设备篇（</w:t>
    </w:r>
    <w:r>
      <w:rPr>
        <w:rFonts w:ascii="Arial" w:hAnsi="Arial" w:eastAsia="黑体" w:cs="Arial"/>
        <w:sz w:val="18"/>
        <w:szCs w:val="18"/>
      </w:rPr>
      <w:t>3</w:t>
    </w:r>
    <w:r>
      <w:rPr>
        <w:rFonts w:hint="eastAsia" w:ascii="Arial" w:hAnsi="Arial" w:eastAsia="黑体" w:cs="Arial"/>
        <w:sz w:val="18"/>
        <w:szCs w:val="18"/>
      </w:rPr>
      <w:t>.0版）</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Bdr>
        <w:bottom w:val="single" w:color="auto" w:sz="4" w:space="1"/>
      </w:pBdr>
      <w:jc w:val="right"/>
      <w:rPr>
        <w:b/>
      </w:rPr>
    </w:pPr>
    <w:r>
      <w:rPr>
        <w:rFonts w:ascii="Arial" w:hAnsi="Arial" w:eastAsia="黑体" w:cs="Arial"/>
      </w:rPr>
      <w:t>上海市房屋建筑工程施工图设计文件</w:t>
    </w:r>
    <w:r>
      <w:rPr>
        <w:rFonts w:hint="eastAsia" w:ascii="Arial" w:hAnsi="Arial" w:eastAsia="黑体" w:cs="Arial"/>
      </w:rPr>
      <w:t>技术</w:t>
    </w:r>
    <w:r>
      <w:rPr>
        <w:rFonts w:ascii="Arial" w:hAnsi="Arial" w:eastAsia="黑体" w:cs="Arial"/>
      </w:rPr>
      <w:t>审查要点</w:t>
    </w:r>
    <w:r>
      <w:rPr>
        <w:rFonts w:hint="eastAsia" w:ascii="Arial" w:hAnsi="Arial" w:eastAsia="黑体" w:cs="Arial"/>
      </w:rPr>
      <w:t>·建筑设备篇（3.0版）</w:t>
    </w:r>
  </w:p>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7953CD"/>
    <w:multiLevelType w:val="multilevel"/>
    <w:tmpl w:val="297953CD"/>
    <w:lvl w:ilvl="0" w:tentative="0">
      <w:start w:val="1"/>
      <w:numFmt w:val="decimal"/>
      <w:lvlText w:val="%1)"/>
      <w:lvlJc w:val="left"/>
      <w:pPr>
        <w:ind w:left="420" w:hanging="420"/>
      </w:pPr>
      <w:rPr>
        <w:rFonts w:hint="default"/>
        <w:sz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2C737017"/>
    <w:multiLevelType w:val="multilevel"/>
    <w:tmpl w:val="2C737017"/>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
    <w:nsid w:val="2DB0763C"/>
    <w:multiLevelType w:val="multilevel"/>
    <w:tmpl w:val="2DB0763C"/>
    <w:lvl w:ilvl="0" w:tentative="0">
      <w:start w:val="1"/>
      <w:numFmt w:val="decimal"/>
      <w:lvlText w:val="%1)"/>
      <w:lvlJc w:val="left"/>
      <w:pPr>
        <w:ind w:left="420" w:hanging="420"/>
      </w:pPr>
      <w:rPr>
        <w:rFonts w:hint="default"/>
        <w:sz w:val="24"/>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603D4A77"/>
    <w:multiLevelType w:val="singleLevel"/>
    <w:tmpl w:val="603D4A77"/>
    <w:lvl w:ilvl="0" w:tentative="0">
      <w:start w:val="2"/>
      <w:numFmt w:val="decimal"/>
      <w:suff w:val="nothing"/>
      <w:lvlText w:val="%1）"/>
      <w:lvlJc w:val="left"/>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hkNmVhMjU0YTQ0YzgzMzlkYWUxNWY3YzVlMjJlMTQifQ=="/>
  </w:docVars>
  <w:rsids>
    <w:rsidRoot w:val="00154131"/>
    <w:rsid w:val="00002B84"/>
    <w:rsid w:val="00011973"/>
    <w:rsid w:val="000176F0"/>
    <w:rsid w:val="00021004"/>
    <w:rsid w:val="0002190F"/>
    <w:rsid w:val="000248B4"/>
    <w:rsid w:val="00025059"/>
    <w:rsid w:val="000257FD"/>
    <w:rsid w:val="00026482"/>
    <w:rsid w:val="00026A0F"/>
    <w:rsid w:val="000271F8"/>
    <w:rsid w:val="00030EDB"/>
    <w:rsid w:val="000330F2"/>
    <w:rsid w:val="00034425"/>
    <w:rsid w:val="00035A53"/>
    <w:rsid w:val="0004115B"/>
    <w:rsid w:val="00042EDD"/>
    <w:rsid w:val="000430BF"/>
    <w:rsid w:val="00047B9C"/>
    <w:rsid w:val="00050F89"/>
    <w:rsid w:val="00052958"/>
    <w:rsid w:val="00053581"/>
    <w:rsid w:val="0005377E"/>
    <w:rsid w:val="00053ADE"/>
    <w:rsid w:val="0006268F"/>
    <w:rsid w:val="00070137"/>
    <w:rsid w:val="00070F18"/>
    <w:rsid w:val="00073414"/>
    <w:rsid w:val="00073928"/>
    <w:rsid w:val="0007683D"/>
    <w:rsid w:val="00080183"/>
    <w:rsid w:val="00082D1D"/>
    <w:rsid w:val="0008393E"/>
    <w:rsid w:val="00083F86"/>
    <w:rsid w:val="00085CC1"/>
    <w:rsid w:val="00091872"/>
    <w:rsid w:val="00092FB4"/>
    <w:rsid w:val="000951B7"/>
    <w:rsid w:val="00097140"/>
    <w:rsid w:val="000A1F78"/>
    <w:rsid w:val="000A332E"/>
    <w:rsid w:val="000A335F"/>
    <w:rsid w:val="000A4353"/>
    <w:rsid w:val="000A4588"/>
    <w:rsid w:val="000A656C"/>
    <w:rsid w:val="000B2125"/>
    <w:rsid w:val="000B689E"/>
    <w:rsid w:val="000B7079"/>
    <w:rsid w:val="000C0874"/>
    <w:rsid w:val="000C2D77"/>
    <w:rsid w:val="000C4320"/>
    <w:rsid w:val="000C452C"/>
    <w:rsid w:val="000C772C"/>
    <w:rsid w:val="000D0664"/>
    <w:rsid w:val="000D5075"/>
    <w:rsid w:val="000D51E0"/>
    <w:rsid w:val="000D5D06"/>
    <w:rsid w:val="000E2E6A"/>
    <w:rsid w:val="000E6608"/>
    <w:rsid w:val="000E7881"/>
    <w:rsid w:val="000F19F0"/>
    <w:rsid w:val="000F4641"/>
    <w:rsid w:val="000F4646"/>
    <w:rsid w:val="000F5845"/>
    <w:rsid w:val="000F636F"/>
    <w:rsid w:val="000F6A28"/>
    <w:rsid w:val="00101D27"/>
    <w:rsid w:val="00104895"/>
    <w:rsid w:val="00105CD9"/>
    <w:rsid w:val="00107D63"/>
    <w:rsid w:val="001150AC"/>
    <w:rsid w:val="00115681"/>
    <w:rsid w:val="00116341"/>
    <w:rsid w:val="001171F0"/>
    <w:rsid w:val="00121CB9"/>
    <w:rsid w:val="00124DFF"/>
    <w:rsid w:val="00130A61"/>
    <w:rsid w:val="001314B0"/>
    <w:rsid w:val="00131993"/>
    <w:rsid w:val="00131A26"/>
    <w:rsid w:val="00132B51"/>
    <w:rsid w:val="001340D0"/>
    <w:rsid w:val="00134A7A"/>
    <w:rsid w:val="001361B9"/>
    <w:rsid w:val="00140923"/>
    <w:rsid w:val="001433FA"/>
    <w:rsid w:val="00145369"/>
    <w:rsid w:val="00151D11"/>
    <w:rsid w:val="00153EF4"/>
    <w:rsid w:val="00154131"/>
    <w:rsid w:val="00164FF4"/>
    <w:rsid w:val="00165FC6"/>
    <w:rsid w:val="0016746C"/>
    <w:rsid w:val="001705E6"/>
    <w:rsid w:val="00170861"/>
    <w:rsid w:val="001719ED"/>
    <w:rsid w:val="00171BDD"/>
    <w:rsid w:val="00172875"/>
    <w:rsid w:val="0017355D"/>
    <w:rsid w:val="00174376"/>
    <w:rsid w:val="00180218"/>
    <w:rsid w:val="00181393"/>
    <w:rsid w:val="00186E15"/>
    <w:rsid w:val="001877A8"/>
    <w:rsid w:val="0019207B"/>
    <w:rsid w:val="00192601"/>
    <w:rsid w:val="00195491"/>
    <w:rsid w:val="001968EE"/>
    <w:rsid w:val="00196AB3"/>
    <w:rsid w:val="001A5725"/>
    <w:rsid w:val="001B3509"/>
    <w:rsid w:val="001B75F0"/>
    <w:rsid w:val="001C0BB2"/>
    <w:rsid w:val="001C1049"/>
    <w:rsid w:val="001D4769"/>
    <w:rsid w:val="001D66CA"/>
    <w:rsid w:val="001D7143"/>
    <w:rsid w:val="001D7A9C"/>
    <w:rsid w:val="001E2695"/>
    <w:rsid w:val="001F17D1"/>
    <w:rsid w:val="001F24E4"/>
    <w:rsid w:val="001F2866"/>
    <w:rsid w:val="001F2A42"/>
    <w:rsid w:val="001F40FF"/>
    <w:rsid w:val="001F7790"/>
    <w:rsid w:val="002023D5"/>
    <w:rsid w:val="00203A13"/>
    <w:rsid w:val="0021369F"/>
    <w:rsid w:val="00216E1A"/>
    <w:rsid w:val="00217567"/>
    <w:rsid w:val="00217C39"/>
    <w:rsid w:val="002209DF"/>
    <w:rsid w:val="00226283"/>
    <w:rsid w:val="00233E97"/>
    <w:rsid w:val="00245AF9"/>
    <w:rsid w:val="00245B65"/>
    <w:rsid w:val="00253E61"/>
    <w:rsid w:val="00254497"/>
    <w:rsid w:val="002558A0"/>
    <w:rsid w:val="00255BD4"/>
    <w:rsid w:val="00256BE9"/>
    <w:rsid w:val="002604B0"/>
    <w:rsid w:val="0026280A"/>
    <w:rsid w:val="00263310"/>
    <w:rsid w:val="00263429"/>
    <w:rsid w:val="0026635C"/>
    <w:rsid w:val="002706D3"/>
    <w:rsid w:val="00274E43"/>
    <w:rsid w:val="00276538"/>
    <w:rsid w:val="00280CDE"/>
    <w:rsid w:val="002829DC"/>
    <w:rsid w:val="002849D6"/>
    <w:rsid w:val="00284DD0"/>
    <w:rsid w:val="0028677A"/>
    <w:rsid w:val="00290E32"/>
    <w:rsid w:val="002A219E"/>
    <w:rsid w:val="002A418C"/>
    <w:rsid w:val="002A4A8A"/>
    <w:rsid w:val="002A5F2D"/>
    <w:rsid w:val="002A75F1"/>
    <w:rsid w:val="002A7F19"/>
    <w:rsid w:val="002B0B06"/>
    <w:rsid w:val="002B2B76"/>
    <w:rsid w:val="002B3938"/>
    <w:rsid w:val="002B416F"/>
    <w:rsid w:val="002B455F"/>
    <w:rsid w:val="002B57DA"/>
    <w:rsid w:val="002B62FF"/>
    <w:rsid w:val="002C2695"/>
    <w:rsid w:val="002C4B73"/>
    <w:rsid w:val="002C6DB2"/>
    <w:rsid w:val="002C7721"/>
    <w:rsid w:val="002C7B15"/>
    <w:rsid w:val="002D03BB"/>
    <w:rsid w:val="002D0A35"/>
    <w:rsid w:val="002D1FE5"/>
    <w:rsid w:val="002D789C"/>
    <w:rsid w:val="002E02AC"/>
    <w:rsid w:val="002E1051"/>
    <w:rsid w:val="002E1C3E"/>
    <w:rsid w:val="002E2B81"/>
    <w:rsid w:val="002F38D2"/>
    <w:rsid w:val="002F41B5"/>
    <w:rsid w:val="002F5D97"/>
    <w:rsid w:val="002F6100"/>
    <w:rsid w:val="002F73AF"/>
    <w:rsid w:val="0030006A"/>
    <w:rsid w:val="00307FC7"/>
    <w:rsid w:val="00310C25"/>
    <w:rsid w:val="0031163C"/>
    <w:rsid w:val="003128BF"/>
    <w:rsid w:val="00312EE0"/>
    <w:rsid w:val="00322342"/>
    <w:rsid w:val="00322DA0"/>
    <w:rsid w:val="00323364"/>
    <w:rsid w:val="0032686E"/>
    <w:rsid w:val="00326F14"/>
    <w:rsid w:val="0033278D"/>
    <w:rsid w:val="00334868"/>
    <w:rsid w:val="00334B4A"/>
    <w:rsid w:val="003356B9"/>
    <w:rsid w:val="00344D99"/>
    <w:rsid w:val="00347438"/>
    <w:rsid w:val="00347781"/>
    <w:rsid w:val="00347886"/>
    <w:rsid w:val="00350DE3"/>
    <w:rsid w:val="00350F15"/>
    <w:rsid w:val="003560EA"/>
    <w:rsid w:val="00360B2A"/>
    <w:rsid w:val="00361AD1"/>
    <w:rsid w:val="00363CDD"/>
    <w:rsid w:val="00364DFC"/>
    <w:rsid w:val="003667BE"/>
    <w:rsid w:val="00367CF5"/>
    <w:rsid w:val="0037281F"/>
    <w:rsid w:val="00374509"/>
    <w:rsid w:val="003747CC"/>
    <w:rsid w:val="00375C5E"/>
    <w:rsid w:val="00375CEF"/>
    <w:rsid w:val="003775F9"/>
    <w:rsid w:val="00381AAB"/>
    <w:rsid w:val="00381B5C"/>
    <w:rsid w:val="00382C8E"/>
    <w:rsid w:val="003875CD"/>
    <w:rsid w:val="00387F6F"/>
    <w:rsid w:val="00391158"/>
    <w:rsid w:val="0039320A"/>
    <w:rsid w:val="0039433B"/>
    <w:rsid w:val="00396665"/>
    <w:rsid w:val="003A3B7D"/>
    <w:rsid w:val="003A57A3"/>
    <w:rsid w:val="003A5898"/>
    <w:rsid w:val="003B03C4"/>
    <w:rsid w:val="003B4FE7"/>
    <w:rsid w:val="003C037F"/>
    <w:rsid w:val="003C4B52"/>
    <w:rsid w:val="003C7FCF"/>
    <w:rsid w:val="003D2DB8"/>
    <w:rsid w:val="003E0C03"/>
    <w:rsid w:val="003E16E9"/>
    <w:rsid w:val="003E4A18"/>
    <w:rsid w:val="003E57DF"/>
    <w:rsid w:val="003E5A9E"/>
    <w:rsid w:val="003E5FB5"/>
    <w:rsid w:val="003E7CF2"/>
    <w:rsid w:val="003F0C6E"/>
    <w:rsid w:val="003F1D1B"/>
    <w:rsid w:val="003F36C0"/>
    <w:rsid w:val="003F3DB8"/>
    <w:rsid w:val="003F6075"/>
    <w:rsid w:val="003F63A1"/>
    <w:rsid w:val="00403E58"/>
    <w:rsid w:val="00403FA3"/>
    <w:rsid w:val="00404781"/>
    <w:rsid w:val="00405020"/>
    <w:rsid w:val="004063C6"/>
    <w:rsid w:val="00407F02"/>
    <w:rsid w:val="004114DA"/>
    <w:rsid w:val="00421BEB"/>
    <w:rsid w:val="00421BF4"/>
    <w:rsid w:val="00425D60"/>
    <w:rsid w:val="00426F43"/>
    <w:rsid w:val="00430161"/>
    <w:rsid w:val="0043077E"/>
    <w:rsid w:val="00435048"/>
    <w:rsid w:val="00436E36"/>
    <w:rsid w:val="004375E8"/>
    <w:rsid w:val="004417F7"/>
    <w:rsid w:val="00445A3F"/>
    <w:rsid w:val="00453726"/>
    <w:rsid w:val="00457D8E"/>
    <w:rsid w:val="004600F6"/>
    <w:rsid w:val="00461B79"/>
    <w:rsid w:val="00473795"/>
    <w:rsid w:val="00476A29"/>
    <w:rsid w:val="0048227E"/>
    <w:rsid w:val="00482C94"/>
    <w:rsid w:val="00482DE5"/>
    <w:rsid w:val="00483836"/>
    <w:rsid w:val="00484D2D"/>
    <w:rsid w:val="00487124"/>
    <w:rsid w:val="0049076A"/>
    <w:rsid w:val="00491AAF"/>
    <w:rsid w:val="00493281"/>
    <w:rsid w:val="00493E90"/>
    <w:rsid w:val="00495124"/>
    <w:rsid w:val="00495A55"/>
    <w:rsid w:val="004971D3"/>
    <w:rsid w:val="004A14A8"/>
    <w:rsid w:val="004A3500"/>
    <w:rsid w:val="004A67FB"/>
    <w:rsid w:val="004B110A"/>
    <w:rsid w:val="004B1C44"/>
    <w:rsid w:val="004B362A"/>
    <w:rsid w:val="004B3B99"/>
    <w:rsid w:val="004B6E01"/>
    <w:rsid w:val="004B71D9"/>
    <w:rsid w:val="004C0CAD"/>
    <w:rsid w:val="004C35C1"/>
    <w:rsid w:val="004C41B3"/>
    <w:rsid w:val="004C6669"/>
    <w:rsid w:val="004C6A2E"/>
    <w:rsid w:val="004C7096"/>
    <w:rsid w:val="004C72FA"/>
    <w:rsid w:val="004D2909"/>
    <w:rsid w:val="004D2F99"/>
    <w:rsid w:val="004D7285"/>
    <w:rsid w:val="004E73D9"/>
    <w:rsid w:val="004E74FA"/>
    <w:rsid w:val="004F1484"/>
    <w:rsid w:val="004F4C7F"/>
    <w:rsid w:val="004F7F19"/>
    <w:rsid w:val="00500530"/>
    <w:rsid w:val="00504864"/>
    <w:rsid w:val="00513970"/>
    <w:rsid w:val="00513BE4"/>
    <w:rsid w:val="00514FD4"/>
    <w:rsid w:val="00516126"/>
    <w:rsid w:val="00525055"/>
    <w:rsid w:val="00526A52"/>
    <w:rsid w:val="005274AF"/>
    <w:rsid w:val="00527A70"/>
    <w:rsid w:val="00536A97"/>
    <w:rsid w:val="00540855"/>
    <w:rsid w:val="005421AF"/>
    <w:rsid w:val="005431FE"/>
    <w:rsid w:val="00547F53"/>
    <w:rsid w:val="005541B0"/>
    <w:rsid w:val="00554B99"/>
    <w:rsid w:val="00561120"/>
    <w:rsid w:val="00562A2F"/>
    <w:rsid w:val="0056589B"/>
    <w:rsid w:val="0056693F"/>
    <w:rsid w:val="00573BED"/>
    <w:rsid w:val="00574183"/>
    <w:rsid w:val="0058260F"/>
    <w:rsid w:val="00582724"/>
    <w:rsid w:val="00583324"/>
    <w:rsid w:val="00583FFB"/>
    <w:rsid w:val="0058742A"/>
    <w:rsid w:val="00587E16"/>
    <w:rsid w:val="005909F7"/>
    <w:rsid w:val="00592EE6"/>
    <w:rsid w:val="005951FA"/>
    <w:rsid w:val="005965FE"/>
    <w:rsid w:val="005977CF"/>
    <w:rsid w:val="005A11E3"/>
    <w:rsid w:val="005A752D"/>
    <w:rsid w:val="005B3CBA"/>
    <w:rsid w:val="005B482A"/>
    <w:rsid w:val="005B54C5"/>
    <w:rsid w:val="005C337C"/>
    <w:rsid w:val="005C401C"/>
    <w:rsid w:val="005C6F78"/>
    <w:rsid w:val="005D3AA5"/>
    <w:rsid w:val="005D4CE2"/>
    <w:rsid w:val="005D69F4"/>
    <w:rsid w:val="005E1677"/>
    <w:rsid w:val="005F2655"/>
    <w:rsid w:val="005F4627"/>
    <w:rsid w:val="0060257D"/>
    <w:rsid w:val="0061220C"/>
    <w:rsid w:val="0061581F"/>
    <w:rsid w:val="0062286B"/>
    <w:rsid w:val="0062483B"/>
    <w:rsid w:val="0062558E"/>
    <w:rsid w:val="00627D27"/>
    <w:rsid w:val="00630ADF"/>
    <w:rsid w:val="00631D8D"/>
    <w:rsid w:val="0063794F"/>
    <w:rsid w:val="00637B54"/>
    <w:rsid w:val="006437CD"/>
    <w:rsid w:val="0064610C"/>
    <w:rsid w:val="00647287"/>
    <w:rsid w:val="006479CE"/>
    <w:rsid w:val="00654675"/>
    <w:rsid w:val="00656761"/>
    <w:rsid w:val="006573B9"/>
    <w:rsid w:val="006636F4"/>
    <w:rsid w:val="00666F6B"/>
    <w:rsid w:val="0066717F"/>
    <w:rsid w:val="00671F58"/>
    <w:rsid w:val="00671FED"/>
    <w:rsid w:val="006734F1"/>
    <w:rsid w:val="006757CE"/>
    <w:rsid w:val="0067645A"/>
    <w:rsid w:val="00676917"/>
    <w:rsid w:val="0067731C"/>
    <w:rsid w:val="00685275"/>
    <w:rsid w:val="00685BA6"/>
    <w:rsid w:val="006874D7"/>
    <w:rsid w:val="0069067A"/>
    <w:rsid w:val="00691D29"/>
    <w:rsid w:val="00692621"/>
    <w:rsid w:val="006976DD"/>
    <w:rsid w:val="006A020A"/>
    <w:rsid w:val="006A3ED7"/>
    <w:rsid w:val="006B0FB2"/>
    <w:rsid w:val="006B3D94"/>
    <w:rsid w:val="006B5187"/>
    <w:rsid w:val="006B56B2"/>
    <w:rsid w:val="006C1553"/>
    <w:rsid w:val="006C5490"/>
    <w:rsid w:val="006D2A36"/>
    <w:rsid w:val="006D7242"/>
    <w:rsid w:val="006E29DB"/>
    <w:rsid w:val="006E2D50"/>
    <w:rsid w:val="006E3AB6"/>
    <w:rsid w:val="006E4478"/>
    <w:rsid w:val="006E71DE"/>
    <w:rsid w:val="006F081C"/>
    <w:rsid w:val="006F224F"/>
    <w:rsid w:val="006F53B7"/>
    <w:rsid w:val="006F728D"/>
    <w:rsid w:val="00705D55"/>
    <w:rsid w:val="00707934"/>
    <w:rsid w:val="00707E81"/>
    <w:rsid w:val="00710D25"/>
    <w:rsid w:val="00714672"/>
    <w:rsid w:val="00715A50"/>
    <w:rsid w:val="007165AE"/>
    <w:rsid w:val="00717C69"/>
    <w:rsid w:val="00721A00"/>
    <w:rsid w:val="00721B75"/>
    <w:rsid w:val="0072374C"/>
    <w:rsid w:val="00726341"/>
    <w:rsid w:val="00727987"/>
    <w:rsid w:val="00733FAC"/>
    <w:rsid w:val="00735E86"/>
    <w:rsid w:val="007361EA"/>
    <w:rsid w:val="00736E19"/>
    <w:rsid w:val="00737377"/>
    <w:rsid w:val="00741509"/>
    <w:rsid w:val="007447F5"/>
    <w:rsid w:val="00751D36"/>
    <w:rsid w:val="00753494"/>
    <w:rsid w:val="007563FF"/>
    <w:rsid w:val="00756AC9"/>
    <w:rsid w:val="00757890"/>
    <w:rsid w:val="00757A86"/>
    <w:rsid w:val="00763298"/>
    <w:rsid w:val="007637AD"/>
    <w:rsid w:val="00765B7B"/>
    <w:rsid w:val="00767E2A"/>
    <w:rsid w:val="00774EBA"/>
    <w:rsid w:val="007807CF"/>
    <w:rsid w:val="007827CC"/>
    <w:rsid w:val="0078443F"/>
    <w:rsid w:val="00785454"/>
    <w:rsid w:val="00785C08"/>
    <w:rsid w:val="00786683"/>
    <w:rsid w:val="0079148D"/>
    <w:rsid w:val="0079199F"/>
    <w:rsid w:val="00794451"/>
    <w:rsid w:val="007950C5"/>
    <w:rsid w:val="007968FF"/>
    <w:rsid w:val="00797633"/>
    <w:rsid w:val="00797CFD"/>
    <w:rsid w:val="007A1018"/>
    <w:rsid w:val="007A39F2"/>
    <w:rsid w:val="007A44C0"/>
    <w:rsid w:val="007A4BA0"/>
    <w:rsid w:val="007B2F7E"/>
    <w:rsid w:val="007B4B19"/>
    <w:rsid w:val="007B5715"/>
    <w:rsid w:val="007C10C1"/>
    <w:rsid w:val="007C3C0D"/>
    <w:rsid w:val="007C63DF"/>
    <w:rsid w:val="007D0501"/>
    <w:rsid w:val="007D0FE3"/>
    <w:rsid w:val="007D6748"/>
    <w:rsid w:val="007D6AA8"/>
    <w:rsid w:val="007D6E30"/>
    <w:rsid w:val="007E0271"/>
    <w:rsid w:val="007E323E"/>
    <w:rsid w:val="007E3416"/>
    <w:rsid w:val="007E7D1B"/>
    <w:rsid w:val="007F0D6F"/>
    <w:rsid w:val="007F24DD"/>
    <w:rsid w:val="007F5D56"/>
    <w:rsid w:val="007F6395"/>
    <w:rsid w:val="0081166A"/>
    <w:rsid w:val="00815605"/>
    <w:rsid w:val="00817D5D"/>
    <w:rsid w:val="00820BA5"/>
    <w:rsid w:val="00825EC2"/>
    <w:rsid w:val="0082604C"/>
    <w:rsid w:val="00826598"/>
    <w:rsid w:val="00826CF2"/>
    <w:rsid w:val="00826F50"/>
    <w:rsid w:val="00830F0F"/>
    <w:rsid w:val="00831999"/>
    <w:rsid w:val="008338E3"/>
    <w:rsid w:val="00833965"/>
    <w:rsid w:val="00834188"/>
    <w:rsid w:val="0083535E"/>
    <w:rsid w:val="00844479"/>
    <w:rsid w:val="008471E1"/>
    <w:rsid w:val="00847D03"/>
    <w:rsid w:val="00850D34"/>
    <w:rsid w:val="00856267"/>
    <w:rsid w:val="00857961"/>
    <w:rsid w:val="00862D0E"/>
    <w:rsid w:val="00862D9D"/>
    <w:rsid w:val="00866AB3"/>
    <w:rsid w:val="00867C96"/>
    <w:rsid w:val="00870858"/>
    <w:rsid w:val="00871949"/>
    <w:rsid w:val="00872DB5"/>
    <w:rsid w:val="00874443"/>
    <w:rsid w:val="00876889"/>
    <w:rsid w:val="0088006D"/>
    <w:rsid w:val="008806DD"/>
    <w:rsid w:val="00881C77"/>
    <w:rsid w:val="008842AD"/>
    <w:rsid w:val="00894BAD"/>
    <w:rsid w:val="0089564E"/>
    <w:rsid w:val="008966D1"/>
    <w:rsid w:val="008A08DF"/>
    <w:rsid w:val="008A1E91"/>
    <w:rsid w:val="008A62F7"/>
    <w:rsid w:val="008A7960"/>
    <w:rsid w:val="008B198F"/>
    <w:rsid w:val="008B5E3B"/>
    <w:rsid w:val="008B74FE"/>
    <w:rsid w:val="008C4862"/>
    <w:rsid w:val="008C63FB"/>
    <w:rsid w:val="008D0FD8"/>
    <w:rsid w:val="008D3064"/>
    <w:rsid w:val="008D3CC2"/>
    <w:rsid w:val="008D6838"/>
    <w:rsid w:val="008E340B"/>
    <w:rsid w:val="008E3EA1"/>
    <w:rsid w:val="008E5016"/>
    <w:rsid w:val="008E5A0C"/>
    <w:rsid w:val="008E5EEC"/>
    <w:rsid w:val="008F3F71"/>
    <w:rsid w:val="008F5A82"/>
    <w:rsid w:val="008F5BFE"/>
    <w:rsid w:val="00900854"/>
    <w:rsid w:val="0090124D"/>
    <w:rsid w:val="00901C78"/>
    <w:rsid w:val="00902E22"/>
    <w:rsid w:val="009033D1"/>
    <w:rsid w:val="00903B1A"/>
    <w:rsid w:val="0090513E"/>
    <w:rsid w:val="00905DD0"/>
    <w:rsid w:val="00905FCB"/>
    <w:rsid w:val="00906D49"/>
    <w:rsid w:val="00907131"/>
    <w:rsid w:val="009107E4"/>
    <w:rsid w:val="009112CA"/>
    <w:rsid w:val="00911E50"/>
    <w:rsid w:val="009125BD"/>
    <w:rsid w:val="00912F39"/>
    <w:rsid w:val="009157AF"/>
    <w:rsid w:val="00916BE9"/>
    <w:rsid w:val="00922F8A"/>
    <w:rsid w:val="009275FF"/>
    <w:rsid w:val="00930027"/>
    <w:rsid w:val="009336C1"/>
    <w:rsid w:val="00935CEA"/>
    <w:rsid w:val="00937663"/>
    <w:rsid w:val="0094280E"/>
    <w:rsid w:val="009463AA"/>
    <w:rsid w:val="009467FB"/>
    <w:rsid w:val="00950D3F"/>
    <w:rsid w:val="00953C5A"/>
    <w:rsid w:val="009609DB"/>
    <w:rsid w:val="009610DB"/>
    <w:rsid w:val="00964A59"/>
    <w:rsid w:val="00964AA5"/>
    <w:rsid w:val="00974413"/>
    <w:rsid w:val="00975BB4"/>
    <w:rsid w:val="00986D40"/>
    <w:rsid w:val="00996C10"/>
    <w:rsid w:val="009A40B9"/>
    <w:rsid w:val="009A4747"/>
    <w:rsid w:val="009A49D5"/>
    <w:rsid w:val="009A528B"/>
    <w:rsid w:val="009A5455"/>
    <w:rsid w:val="009A5A03"/>
    <w:rsid w:val="009A650C"/>
    <w:rsid w:val="009B0F15"/>
    <w:rsid w:val="009B135A"/>
    <w:rsid w:val="009B37EE"/>
    <w:rsid w:val="009B5AD0"/>
    <w:rsid w:val="009B5CFF"/>
    <w:rsid w:val="009C12E8"/>
    <w:rsid w:val="009C1A64"/>
    <w:rsid w:val="009C3163"/>
    <w:rsid w:val="009C48DC"/>
    <w:rsid w:val="009C4A24"/>
    <w:rsid w:val="009D2815"/>
    <w:rsid w:val="009D3AA2"/>
    <w:rsid w:val="009E13D0"/>
    <w:rsid w:val="009E2861"/>
    <w:rsid w:val="009E5222"/>
    <w:rsid w:val="009E5E61"/>
    <w:rsid w:val="009F0156"/>
    <w:rsid w:val="009F1846"/>
    <w:rsid w:val="009F364C"/>
    <w:rsid w:val="009F3665"/>
    <w:rsid w:val="009F3989"/>
    <w:rsid w:val="009F63D2"/>
    <w:rsid w:val="009F78AB"/>
    <w:rsid w:val="009F7FFD"/>
    <w:rsid w:val="00A037FB"/>
    <w:rsid w:val="00A07C22"/>
    <w:rsid w:val="00A101F1"/>
    <w:rsid w:val="00A11B0F"/>
    <w:rsid w:val="00A11F47"/>
    <w:rsid w:val="00A15C9C"/>
    <w:rsid w:val="00A1673C"/>
    <w:rsid w:val="00A16967"/>
    <w:rsid w:val="00A23E42"/>
    <w:rsid w:val="00A26641"/>
    <w:rsid w:val="00A278C5"/>
    <w:rsid w:val="00A3095C"/>
    <w:rsid w:val="00A31C1B"/>
    <w:rsid w:val="00A31CCC"/>
    <w:rsid w:val="00A3228A"/>
    <w:rsid w:val="00A33A9E"/>
    <w:rsid w:val="00A37BF9"/>
    <w:rsid w:val="00A40817"/>
    <w:rsid w:val="00A40E3F"/>
    <w:rsid w:val="00A41916"/>
    <w:rsid w:val="00A42BD4"/>
    <w:rsid w:val="00A43A52"/>
    <w:rsid w:val="00A4441F"/>
    <w:rsid w:val="00A44C86"/>
    <w:rsid w:val="00A45592"/>
    <w:rsid w:val="00A4614B"/>
    <w:rsid w:val="00A518A1"/>
    <w:rsid w:val="00A545CF"/>
    <w:rsid w:val="00A5571C"/>
    <w:rsid w:val="00A578C5"/>
    <w:rsid w:val="00A6058B"/>
    <w:rsid w:val="00A60CDA"/>
    <w:rsid w:val="00A622C2"/>
    <w:rsid w:val="00A678BF"/>
    <w:rsid w:val="00A70F0C"/>
    <w:rsid w:val="00A71A16"/>
    <w:rsid w:val="00A72096"/>
    <w:rsid w:val="00A724BE"/>
    <w:rsid w:val="00A749D2"/>
    <w:rsid w:val="00A75F25"/>
    <w:rsid w:val="00A805DB"/>
    <w:rsid w:val="00A817EF"/>
    <w:rsid w:val="00A824C6"/>
    <w:rsid w:val="00A82B9B"/>
    <w:rsid w:val="00A82BF9"/>
    <w:rsid w:val="00A864D3"/>
    <w:rsid w:val="00A9008A"/>
    <w:rsid w:val="00A90F05"/>
    <w:rsid w:val="00A93808"/>
    <w:rsid w:val="00AA19BD"/>
    <w:rsid w:val="00AA6BBC"/>
    <w:rsid w:val="00AB28AA"/>
    <w:rsid w:val="00AB3DE9"/>
    <w:rsid w:val="00AC233F"/>
    <w:rsid w:val="00AC25C4"/>
    <w:rsid w:val="00AC378A"/>
    <w:rsid w:val="00AC50FB"/>
    <w:rsid w:val="00AC5C0B"/>
    <w:rsid w:val="00AC69E1"/>
    <w:rsid w:val="00AE03F5"/>
    <w:rsid w:val="00AE0789"/>
    <w:rsid w:val="00AE19B6"/>
    <w:rsid w:val="00AE19CB"/>
    <w:rsid w:val="00AE38E5"/>
    <w:rsid w:val="00AE44CE"/>
    <w:rsid w:val="00AE5DAF"/>
    <w:rsid w:val="00AF356D"/>
    <w:rsid w:val="00B012D2"/>
    <w:rsid w:val="00B052E7"/>
    <w:rsid w:val="00B10545"/>
    <w:rsid w:val="00B1489C"/>
    <w:rsid w:val="00B1520D"/>
    <w:rsid w:val="00B15C57"/>
    <w:rsid w:val="00B174FD"/>
    <w:rsid w:val="00B26F38"/>
    <w:rsid w:val="00B277E6"/>
    <w:rsid w:val="00B407AC"/>
    <w:rsid w:val="00B4148F"/>
    <w:rsid w:val="00B43006"/>
    <w:rsid w:val="00B430DD"/>
    <w:rsid w:val="00B43BB4"/>
    <w:rsid w:val="00B46F0F"/>
    <w:rsid w:val="00B50B87"/>
    <w:rsid w:val="00B50D7D"/>
    <w:rsid w:val="00B51386"/>
    <w:rsid w:val="00B51E5A"/>
    <w:rsid w:val="00B52434"/>
    <w:rsid w:val="00B528A0"/>
    <w:rsid w:val="00B535CC"/>
    <w:rsid w:val="00B543AD"/>
    <w:rsid w:val="00B54810"/>
    <w:rsid w:val="00B608A0"/>
    <w:rsid w:val="00B615E8"/>
    <w:rsid w:val="00B620BB"/>
    <w:rsid w:val="00B62C86"/>
    <w:rsid w:val="00B66DDF"/>
    <w:rsid w:val="00B67039"/>
    <w:rsid w:val="00B677B8"/>
    <w:rsid w:val="00B67EF6"/>
    <w:rsid w:val="00B7464F"/>
    <w:rsid w:val="00B753F7"/>
    <w:rsid w:val="00B75808"/>
    <w:rsid w:val="00B76702"/>
    <w:rsid w:val="00B77638"/>
    <w:rsid w:val="00B77E59"/>
    <w:rsid w:val="00B80104"/>
    <w:rsid w:val="00B85A82"/>
    <w:rsid w:val="00B85E95"/>
    <w:rsid w:val="00B85F72"/>
    <w:rsid w:val="00B86094"/>
    <w:rsid w:val="00B86CD2"/>
    <w:rsid w:val="00B8705F"/>
    <w:rsid w:val="00B90F01"/>
    <w:rsid w:val="00B91524"/>
    <w:rsid w:val="00B9246D"/>
    <w:rsid w:val="00B92B8E"/>
    <w:rsid w:val="00B9410C"/>
    <w:rsid w:val="00B95C7A"/>
    <w:rsid w:val="00B97AD4"/>
    <w:rsid w:val="00B97EE8"/>
    <w:rsid w:val="00BA1D4E"/>
    <w:rsid w:val="00BA2756"/>
    <w:rsid w:val="00BA2770"/>
    <w:rsid w:val="00BA3877"/>
    <w:rsid w:val="00BA5EB6"/>
    <w:rsid w:val="00BA6150"/>
    <w:rsid w:val="00BB5D2B"/>
    <w:rsid w:val="00BB7424"/>
    <w:rsid w:val="00BB767F"/>
    <w:rsid w:val="00BB7FA2"/>
    <w:rsid w:val="00BC0B6C"/>
    <w:rsid w:val="00BC12F0"/>
    <w:rsid w:val="00BC590A"/>
    <w:rsid w:val="00BD697D"/>
    <w:rsid w:val="00BE5C8A"/>
    <w:rsid w:val="00BE79B7"/>
    <w:rsid w:val="00BF1FD5"/>
    <w:rsid w:val="00BF1FFB"/>
    <w:rsid w:val="00BF402C"/>
    <w:rsid w:val="00BF4B6E"/>
    <w:rsid w:val="00BF5261"/>
    <w:rsid w:val="00BF74E6"/>
    <w:rsid w:val="00BF7DF7"/>
    <w:rsid w:val="00C0461D"/>
    <w:rsid w:val="00C06019"/>
    <w:rsid w:val="00C07A43"/>
    <w:rsid w:val="00C1158A"/>
    <w:rsid w:val="00C122C6"/>
    <w:rsid w:val="00C13332"/>
    <w:rsid w:val="00C163F0"/>
    <w:rsid w:val="00C16890"/>
    <w:rsid w:val="00C212F1"/>
    <w:rsid w:val="00C25551"/>
    <w:rsid w:val="00C32A74"/>
    <w:rsid w:val="00C34B92"/>
    <w:rsid w:val="00C358A1"/>
    <w:rsid w:val="00C36211"/>
    <w:rsid w:val="00C42005"/>
    <w:rsid w:val="00C45E3F"/>
    <w:rsid w:val="00C46FC3"/>
    <w:rsid w:val="00C50342"/>
    <w:rsid w:val="00C51702"/>
    <w:rsid w:val="00C55EE0"/>
    <w:rsid w:val="00C623F5"/>
    <w:rsid w:val="00C72041"/>
    <w:rsid w:val="00C73FAF"/>
    <w:rsid w:val="00C7682A"/>
    <w:rsid w:val="00C76D60"/>
    <w:rsid w:val="00C80D00"/>
    <w:rsid w:val="00C828A2"/>
    <w:rsid w:val="00C84BBD"/>
    <w:rsid w:val="00C85A2D"/>
    <w:rsid w:val="00C87BDD"/>
    <w:rsid w:val="00C87FA7"/>
    <w:rsid w:val="00C94554"/>
    <w:rsid w:val="00C94E4C"/>
    <w:rsid w:val="00C951D9"/>
    <w:rsid w:val="00C95682"/>
    <w:rsid w:val="00C96A27"/>
    <w:rsid w:val="00C96D33"/>
    <w:rsid w:val="00C97FAD"/>
    <w:rsid w:val="00CB084F"/>
    <w:rsid w:val="00CB0C9E"/>
    <w:rsid w:val="00CB13FA"/>
    <w:rsid w:val="00CB5175"/>
    <w:rsid w:val="00CB60E9"/>
    <w:rsid w:val="00CB73F7"/>
    <w:rsid w:val="00CC338C"/>
    <w:rsid w:val="00CC3612"/>
    <w:rsid w:val="00CC3932"/>
    <w:rsid w:val="00CC49C4"/>
    <w:rsid w:val="00CC4ABD"/>
    <w:rsid w:val="00CC5C7F"/>
    <w:rsid w:val="00CC6219"/>
    <w:rsid w:val="00CC668B"/>
    <w:rsid w:val="00CC786E"/>
    <w:rsid w:val="00CC7EE8"/>
    <w:rsid w:val="00CD0062"/>
    <w:rsid w:val="00CD03DF"/>
    <w:rsid w:val="00CD39A9"/>
    <w:rsid w:val="00CD468F"/>
    <w:rsid w:val="00CD6B03"/>
    <w:rsid w:val="00CE0506"/>
    <w:rsid w:val="00CE49D4"/>
    <w:rsid w:val="00CF0936"/>
    <w:rsid w:val="00CF1521"/>
    <w:rsid w:val="00CF1B1A"/>
    <w:rsid w:val="00CF1B81"/>
    <w:rsid w:val="00CF1CC0"/>
    <w:rsid w:val="00CF27D1"/>
    <w:rsid w:val="00CF75B0"/>
    <w:rsid w:val="00D02746"/>
    <w:rsid w:val="00D04560"/>
    <w:rsid w:val="00D049EF"/>
    <w:rsid w:val="00D056D7"/>
    <w:rsid w:val="00D0790D"/>
    <w:rsid w:val="00D108AC"/>
    <w:rsid w:val="00D10A94"/>
    <w:rsid w:val="00D15906"/>
    <w:rsid w:val="00D1793A"/>
    <w:rsid w:val="00D20465"/>
    <w:rsid w:val="00D215E4"/>
    <w:rsid w:val="00D2372A"/>
    <w:rsid w:val="00D31826"/>
    <w:rsid w:val="00D3470E"/>
    <w:rsid w:val="00D347EF"/>
    <w:rsid w:val="00D410BC"/>
    <w:rsid w:val="00D42731"/>
    <w:rsid w:val="00D431DF"/>
    <w:rsid w:val="00D433BA"/>
    <w:rsid w:val="00D439EE"/>
    <w:rsid w:val="00D44890"/>
    <w:rsid w:val="00D47E0C"/>
    <w:rsid w:val="00D50D74"/>
    <w:rsid w:val="00D5264A"/>
    <w:rsid w:val="00D53278"/>
    <w:rsid w:val="00D60A07"/>
    <w:rsid w:val="00D622E1"/>
    <w:rsid w:val="00D62501"/>
    <w:rsid w:val="00D6691F"/>
    <w:rsid w:val="00D67DF1"/>
    <w:rsid w:val="00D704C9"/>
    <w:rsid w:val="00D7270D"/>
    <w:rsid w:val="00D73159"/>
    <w:rsid w:val="00D73347"/>
    <w:rsid w:val="00D74F7A"/>
    <w:rsid w:val="00D75C3F"/>
    <w:rsid w:val="00D8008C"/>
    <w:rsid w:val="00D83838"/>
    <w:rsid w:val="00D83C1A"/>
    <w:rsid w:val="00D83D7D"/>
    <w:rsid w:val="00D87118"/>
    <w:rsid w:val="00D93064"/>
    <w:rsid w:val="00D94DCD"/>
    <w:rsid w:val="00D96DF6"/>
    <w:rsid w:val="00DA2981"/>
    <w:rsid w:val="00DA4FAF"/>
    <w:rsid w:val="00DA6A96"/>
    <w:rsid w:val="00DA6EC1"/>
    <w:rsid w:val="00DB2ECD"/>
    <w:rsid w:val="00DB4D82"/>
    <w:rsid w:val="00DB77EC"/>
    <w:rsid w:val="00DC0A06"/>
    <w:rsid w:val="00DC1022"/>
    <w:rsid w:val="00DC1A81"/>
    <w:rsid w:val="00DC3BF8"/>
    <w:rsid w:val="00DC4D0F"/>
    <w:rsid w:val="00DC5E24"/>
    <w:rsid w:val="00DC620B"/>
    <w:rsid w:val="00DD0386"/>
    <w:rsid w:val="00DD0565"/>
    <w:rsid w:val="00DD1A41"/>
    <w:rsid w:val="00DD3BA2"/>
    <w:rsid w:val="00DE0F78"/>
    <w:rsid w:val="00DE2087"/>
    <w:rsid w:val="00DE3287"/>
    <w:rsid w:val="00DE3FF1"/>
    <w:rsid w:val="00DF6680"/>
    <w:rsid w:val="00DF6E89"/>
    <w:rsid w:val="00E021D3"/>
    <w:rsid w:val="00E036A3"/>
    <w:rsid w:val="00E07284"/>
    <w:rsid w:val="00E168A0"/>
    <w:rsid w:val="00E2021E"/>
    <w:rsid w:val="00E259AF"/>
    <w:rsid w:val="00E306ED"/>
    <w:rsid w:val="00E33979"/>
    <w:rsid w:val="00E33A4A"/>
    <w:rsid w:val="00E34E4F"/>
    <w:rsid w:val="00E36B7F"/>
    <w:rsid w:val="00E402C8"/>
    <w:rsid w:val="00E407A2"/>
    <w:rsid w:val="00E41E2E"/>
    <w:rsid w:val="00E4389E"/>
    <w:rsid w:val="00E44359"/>
    <w:rsid w:val="00E47670"/>
    <w:rsid w:val="00E62FB1"/>
    <w:rsid w:val="00E63758"/>
    <w:rsid w:val="00E67717"/>
    <w:rsid w:val="00E720B2"/>
    <w:rsid w:val="00E739A3"/>
    <w:rsid w:val="00E76781"/>
    <w:rsid w:val="00E76F2E"/>
    <w:rsid w:val="00E77B64"/>
    <w:rsid w:val="00E82E1C"/>
    <w:rsid w:val="00E8607A"/>
    <w:rsid w:val="00E87514"/>
    <w:rsid w:val="00E973F6"/>
    <w:rsid w:val="00EA211C"/>
    <w:rsid w:val="00EA383B"/>
    <w:rsid w:val="00EA4CCB"/>
    <w:rsid w:val="00EA5A9B"/>
    <w:rsid w:val="00EB028E"/>
    <w:rsid w:val="00EB1C6A"/>
    <w:rsid w:val="00EB291E"/>
    <w:rsid w:val="00EB2D32"/>
    <w:rsid w:val="00EB7DC3"/>
    <w:rsid w:val="00EC1E2F"/>
    <w:rsid w:val="00EC238E"/>
    <w:rsid w:val="00ED01F0"/>
    <w:rsid w:val="00ED0921"/>
    <w:rsid w:val="00ED1C60"/>
    <w:rsid w:val="00ED5679"/>
    <w:rsid w:val="00ED6F86"/>
    <w:rsid w:val="00EE0014"/>
    <w:rsid w:val="00EE082B"/>
    <w:rsid w:val="00EE4898"/>
    <w:rsid w:val="00EE6345"/>
    <w:rsid w:val="00EF0280"/>
    <w:rsid w:val="00EF5901"/>
    <w:rsid w:val="00EF5B49"/>
    <w:rsid w:val="00EF7F6B"/>
    <w:rsid w:val="00F01A9F"/>
    <w:rsid w:val="00F01EEA"/>
    <w:rsid w:val="00F02246"/>
    <w:rsid w:val="00F0304A"/>
    <w:rsid w:val="00F040E0"/>
    <w:rsid w:val="00F079B4"/>
    <w:rsid w:val="00F103F5"/>
    <w:rsid w:val="00F107D0"/>
    <w:rsid w:val="00F15120"/>
    <w:rsid w:val="00F16464"/>
    <w:rsid w:val="00F205DA"/>
    <w:rsid w:val="00F23CCD"/>
    <w:rsid w:val="00F249EA"/>
    <w:rsid w:val="00F261A3"/>
    <w:rsid w:val="00F32FE6"/>
    <w:rsid w:val="00F349BE"/>
    <w:rsid w:val="00F34C49"/>
    <w:rsid w:val="00F362EF"/>
    <w:rsid w:val="00F36669"/>
    <w:rsid w:val="00F36DD7"/>
    <w:rsid w:val="00F37ACF"/>
    <w:rsid w:val="00F47323"/>
    <w:rsid w:val="00F47FB7"/>
    <w:rsid w:val="00F52F1C"/>
    <w:rsid w:val="00F53FDB"/>
    <w:rsid w:val="00F5496B"/>
    <w:rsid w:val="00F5509A"/>
    <w:rsid w:val="00F57C10"/>
    <w:rsid w:val="00F626F4"/>
    <w:rsid w:val="00F62C0F"/>
    <w:rsid w:val="00F71112"/>
    <w:rsid w:val="00F7183B"/>
    <w:rsid w:val="00F71CC4"/>
    <w:rsid w:val="00F72725"/>
    <w:rsid w:val="00F9153C"/>
    <w:rsid w:val="00F94A16"/>
    <w:rsid w:val="00F9684B"/>
    <w:rsid w:val="00F9745C"/>
    <w:rsid w:val="00FA00AD"/>
    <w:rsid w:val="00FB10EE"/>
    <w:rsid w:val="00FB1BA3"/>
    <w:rsid w:val="00FB3450"/>
    <w:rsid w:val="00FB429B"/>
    <w:rsid w:val="00FB5142"/>
    <w:rsid w:val="00FB633D"/>
    <w:rsid w:val="00FB6C93"/>
    <w:rsid w:val="00FB7662"/>
    <w:rsid w:val="00FC0181"/>
    <w:rsid w:val="00FC207C"/>
    <w:rsid w:val="00FC54BE"/>
    <w:rsid w:val="00FD089A"/>
    <w:rsid w:val="00FD4769"/>
    <w:rsid w:val="00FD7292"/>
    <w:rsid w:val="00FD75DB"/>
    <w:rsid w:val="00FE0E11"/>
    <w:rsid w:val="00FE19E2"/>
    <w:rsid w:val="00FE4450"/>
    <w:rsid w:val="00FE5260"/>
    <w:rsid w:val="00FE5B02"/>
    <w:rsid w:val="00FE6FE6"/>
    <w:rsid w:val="00FE7F30"/>
    <w:rsid w:val="00FF5379"/>
    <w:rsid w:val="02485D4E"/>
    <w:rsid w:val="0D0071E7"/>
    <w:rsid w:val="0EE4486D"/>
    <w:rsid w:val="12154937"/>
    <w:rsid w:val="126D4B79"/>
    <w:rsid w:val="13DE7D51"/>
    <w:rsid w:val="18E37943"/>
    <w:rsid w:val="1C233641"/>
    <w:rsid w:val="1ECC2C27"/>
    <w:rsid w:val="1EE502E4"/>
    <w:rsid w:val="20C067BC"/>
    <w:rsid w:val="24286B52"/>
    <w:rsid w:val="26243349"/>
    <w:rsid w:val="27016CF5"/>
    <w:rsid w:val="27FFCF23"/>
    <w:rsid w:val="30A12166"/>
    <w:rsid w:val="345D45F6"/>
    <w:rsid w:val="35583272"/>
    <w:rsid w:val="37BF05AB"/>
    <w:rsid w:val="38FD04E2"/>
    <w:rsid w:val="3B506C62"/>
    <w:rsid w:val="411308A9"/>
    <w:rsid w:val="49296D45"/>
    <w:rsid w:val="4C8C73CE"/>
    <w:rsid w:val="50957345"/>
    <w:rsid w:val="50F56D5B"/>
    <w:rsid w:val="5160707C"/>
    <w:rsid w:val="52C1398B"/>
    <w:rsid w:val="53620158"/>
    <w:rsid w:val="53D70FD1"/>
    <w:rsid w:val="56DD18C2"/>
    <w:rsid w:val="59C97EE5"/>
    <w:rsid w:val="5B7242C4"/>
    <w:rsid w:val="5C774930"/>
    <w:rsid w:val="608763D3"/>
    <w:rsid w:val="60DA61E8"/>
    <w:rsid w:val="60FF7E56"/>
    <w:rsid w:val="64010727"/>
    <w:rsid w:val="66FF3DAB"/>
    <w:rsid w:val="67A55F74"/>
    <w:rsid w:val="6B2C1649"/>
    <w:rsid w:val="6C7812C6"/>
    <w:rsid w:val="6E483ADC"/>
    <w:rsid w:val="6EFC1D3A"/>
    <w:rsid w:val="71C1304D"/>
    <w:rsid w:val="73145F21"/>
    <w:rsid w:val="766320B0"/>
    <w:rsid w:val="768E6628"/>
    <w:rsid w:val="7E241D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nhideWhenUsed="0" w:uiPriority="9"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iPriority="0" w:semiHidden="0"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49"/>
    <w:qFormat/>
    <w:uiPriority w:val="0"/>
    <w:pPr>
      <w:keepNext/>
      <w:keepLines/>
      <w:spacing w:beforeLines="100" w:afterLines="100" w:line="360" w:lineRule="auto"/>
      <w:ind w:left="425" w:hanging="425"/>
      <w:jc w:val="center"/>
      <w:outlineLvl w:val="0"/>
    </w:pPr>
    <w:rPr>
      <w:rFonts w:ascii="Arial" w:hAnsi="Arial" w:eastAsia="黑体"/>
      <w:bCs/>
      <w:kern w:val="44"/>
      <w:sz w:val="44"/>
      <w:szCs w:val="44"/>
    </w:rPr>
  </w:style>
  <w:style w:type="paragraph" w:styleId="3">
    <w:name w:val="heading 2"/>
    <w:basedOn w:val="1"/>
    <w:next w:val="1"/>
    <w:link w:val="42"/>
    <w:qFormat/>
    <w:uiPriority w:val="99"/>
    <w:pPr>
      <w:keepNext/>
      <w:keepLines/>
      <w:spacing w:line="720" w:lineRule="auto"/>
      <w:jc w:val="center"/>
      <w:outlineLvl w:val="1"/>
    </w:pPr>
    <w:rPr>
      <w:rFonts w:ascii="黑体" w:hAnsi="黑体" w:eastAsia="黑体"/>
      <w:bCs/>
      <w:kern w:val="0"/>
      <w:sz w:val="32"/>
      <w:szCs w:val="32"/>
    </w:rPr>
  </w:style>
  <w:style w:type="paragraph" w:styleId="4">
    <w:name w:val="heading 3"/>
    <w:basedOn w:val="1"/>
    <w:next w:val="1"/>
    <w:link w:val="35"/>
    <w:qFormat/>
    <w:uiPriority w:val="9"/>
    <w:pPr>
      <w:keepNext/>
      <w:keepLines/>
      <w:spacing w:before="400" w:after="260" w:line="360" w:lineRule="auto"/>
      <w:ind w:left="992" w:hanging="567"/>
      <w:jc w:val="center"/>
      <w:outlineLvl w:val="2"/>
    </w:pPr>
    <w:rPr>
      <w:rFonts w:ascii="Arial" w:hAnsi="Arial" w:eastAsia="黑体"/>
      <w:bCs/>
      <w:sz w:val="32"/>
      <w:szCs w:val="32"/>
    </w:rPr>
  </w:style>
  <w:style w:type="paragraph" w:styleId="5">
    <w:name w:val="heading 4"/>
    <w:basedOn w:val="1"/>
    <w:next w:val="1"/>
    <w:link w:val="45"/>
    <w:qFormat/>
    <w:uiPriority w:val="9"/>
    <w:pPr>
      <w:keepNext/>
      <w:keepLines/>
      <w:spacing w:before="280" w:after="290" w:line="376" w:lineRule="auto"/>
      <w:outlineLvl w:val="3"/>
    </w:pPr>
    <w:rPr>
      <w:rFonts w:ascii="Cambria" w:hAnsi="Cambria"/>
      <w:b/>
      <w:bCs/>
      <w:sz w:val="28"/>
      <w:szCs w:val="28"/>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1260"/>
      <w:jc w:val="left"/>
    </w:pPr>
    <w:rPr>
      <w:rFonts w:cs="Calibri"/>
      <w:sz w:val="20"/>
      <w:szCs w:val="20"/>
    </w:rPr>
  </w:style>
  <w:style w:type="paragraph" w:styleId="7">
    <w:name w:val="Document Map"/>
    <w:basedOn w:val="1"/>
    <w:link w:val="54"/>
    <w:unhideWhenUsed/>
    <w:qFormat/>
    <w:uiPriority w:val="99"/>
    <w:rPr>
      <w:rFonts w:ascii="宋体"/>
      <w:kern w:val="0"/>
      <w:sz w:val="18"/>
      <w:szCs w:val="18"/>
    </w:rPr>
  </w:style>
  <w:style w:type="paragraph" w:styleId="8">
    <w:name w:val="annotation text"/>
    <w:basedOn w:val="1"/>
    <w:link w:val="47"/>
    <w:qFormat/>
    <w:uiPriority w:val="0"/>
    <w:pPr>
      <w:jc w:val="left"/>
    </w:pPr>
    <w:rPr>
      <w:rFonts w:ascii="Times New Roman" w:hAnsi="Times New Roman"/>
      <w:kern w:val="0"/>
      <w:sz w:val="20"/>
      <w:szCs w:val="24"/>
    </w:rPr>
  </w:style>
  <w:style w:type="paragraph" w:styleId="9">
    <w:name w:val="Body Text"/>
    <w:basedOn w:val="1"/>
    <w:link w:val="46"/>
    <w:qFormat/>
    <w:uiPriority w:val="0"/>
    <w:pPr>
      <w:spacing w:after="120"/>
    </w:pPr>
    <w:rPr>
      <w:kern w:val="0"/>
      <w:sz w:val="20"/>
      <w:szCs w:val="24"/>
    </w:rPr>
  </w:style>
  <w:style w:type="paragraph" w:styleId="10">
    <w:name w:val="Block Text"/>
    <w:basedOn w:val="1"/>
    <w:unhideWhenUsed/>
    <w:qFormat/>
    <w:uiPriority w:val="0"/>
    <w:pPr>
      <w:widowControl/>
      <w:spacing w:line="360" w:lineRule="auto"/>
      <w:ind w:left="-240" w:leftChars="-100" w:right="-360" w:rightChars="-150" w:firstLine="480" w:firstLineChars="200"/>
      <w:jc w:val="left"/>
    </w:pPr>
    <w:rPr>
      <w:rFonts w:ascii="宋体" w:hAnsi="宋体" w:eastAsia="方正仿宋简体"/>
      <w:sz w:val="30"/>
      <w:szCs w:val="20"/>
    </w:rPr>
  </w:style>
  <w:style w:type="paragraph" w:styleId="11">
    <w:name w:val="toc 5"/>
    <w:basedOn w:val="1"/>
    <w:next w:val="1"/>
    <w:unhideWhenUsed/>
    <w:qFormat/>
    <w:uiPriority w:val="39"/>
    <w:pPr>
      <w:ind w:left="840"/>
      <w:jc w:val="left"/>
    </w:pPr>
    <w:rPr>
      <w:rFonts w:cs="Calibri"/>
      <w:sz w:val="20"/>
      <w:szCs w:val="20"/>
    </w:rPr>
  </w:style>
  <w:style w:type="paragraph" w:styleId="12">
    <w:name w:val="toc 3"/>
    <w:basedOn w:val="1"/>
    <w:next w:val="1"/>
    <w:unhideWhenUsed/>
    <w:qFormat/>
    <w:uiPriority w:val="39"/>
    <w:pPr>
      <w:ind w:left="420"/>
      <w:jc w:val="left"/>
    </w:pPr>
    <w:rPr>
      <w:rFonts w:cs="Calibri"/>
      <w:sz w:val="20"/>
      <w:szCs w:val="20"/>
    </w:rPr>
  </w:style>
  <w:style w:type="paragraph" w:styleId="13">
    <w:name w:val="toc 8"/>
    <w:basedOn w:val="1"/>
    <w:next w:val="1"/>
    <w:unhideWhenUsed/>
    <w:qFormat/>
    <w:uiPriority w:val="39"/>
    <w:pPr>
      <w:ind w:left="1470"/>
      <w:jc w:val="left"/>
    </w:pPr>
    <w:rPr>
      <w:rFonts w:cs="Calibri"/>
      <w:sz w:val="20"/>
      <w:szCs w:val="20"/>
    </w:rPr>
  </w:style>
  <w:style w:type="paragraph" w:styleId="14">
    <w:name w:val="Date"/>
    <w:basedOn w:val="1"/>
    <w:next w:val="1"/>
    <w:unhideWhenUsed/>
    <w:qFormat/>
    <w:uiPriority w:val="99"/>
    <w:pPr>
      <w:widowControl/>
      <w:ind w:left="100" w:leftChars="2500"/>
      <w:jc w:val="left"/>
    </w:pPr>
  </w:style>
  <w:style w:type="paragraph" w:styleId="15">
    <w:name w:val="Balloon Text"/>
    <w:basedOn w:val="1"/>
    <w:link w:val="34"/>
    <w:qFormat/>
    <w:uiPriority w:val="0"/>
    <w:rPr>
      <w:rFonts w:ascii="Times New Roman" w:hAnsi="Times New Roman"/>
      <w:kern w:val="0"/>
      <w:sz w:val="18"/>
      <w:szCs w:val="18"/>
    </w:rPr>
  </w:style>
  <w:style w:type="paragraph" w:styleId="16">
    <w:name w:val="footer"/>
    <w:basedOn w:val="1"/>
    <w:link w:val="53"/>
    <w:unhideWhenUsed/>
    <w:qFormat/>
    <w:uiPriority w:val="99"/>
    <w:pPr>
      <w:tabs>
        <w:tab w:val="center" w:pos="4153"/>
        <w:tab w:val="right" w:pos="8306"/>
      </w:tabs>
      <w:snapToGrid w:val="0"/>
      <w:jc w:val="left"/>
    </w:pPr>
    <w:rPr>
      <w:kern w:val="0"/>
      <w:sz w:val="18"/>
      <w:szCs w:val="18"/>
    </w:rPr>
  </w:style>
  <w:style w:type="paragraph" w:styleId="17">
    <w:name w:val="header"/>
    <w:basedOn w:val="1"/>
    <w:link w:val="41"/>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8">
    <w:name w:val="toc 1"/>
    <w:basedOn w:val="1"/>
    <w:next w:val="1"/>
    <w:unhideWhenUsed/>
    <w:qFormat/>
    <w:uiPriority w:val="39"/>
    <w:pPr>
      <w:tabs>
        <w:tab w:val="left" w:pos="420"/>
        <w:tab w:val="right" w:leader="dot" w:pos="8296"/>
      </w:tabs>
      <w:spacing w:before="120"/>
      <w:jc w:val="left"/>
    </w:pPr>
    <w:rPr>
      <w:rFonts w:ascii="宋体" w:hAnsi="宋体" w:cs="Arial"/>
      <w:b/>
      <w:bCs/>
      <w:iCs/>
      <w:sz w:val="28"/>
      <w:szCs w:val="28"/>
    </w:rPr>
  </w:style>
  <w:style w:type="paragraph" w:styleId="19">
    <w:name w:val="toc 4"/>
    <w:basedOn w:val="1"/>
    <w:next w:val="1"/>
    <w:unhideWhenUsed/>
    <w:qFormat/>
    <w:uiPriority w:val="39"/>
    <w:pPr>
      <w:ind w:left="630"/>
      <w:jc w:val="left"/>
    </w:pPr>
    <w:rPr>
      <w:rFonts w:cs="Calibri"/>
      <w:sz w:val="20"/>
      <w:szCs w:val="20"/>
    </w:rPr>
  </w:style>
  <w:style w:type="paragraph" w:styleId="20">
    <w:name w:val="toc 6"/>
    <w:basedOn w:val="1"/>
    <w:next w:val="1"/>
    <w:unhideWhenUsed/>
    <w:qFormat/>
    <w:uiPriority w:val="39"/>
    <w:pPr>
      <w:ind w:left="1050"/>
      <w:jc w:val="left"/>
    </w:pPr>
    <w:rPr>
      <w:rFonts w:cs="Calibri"/>
      <w:sz w:val="20"/>
      <w:szCs w:val="20"/>
    </w:rPr>
  </w:style>
  <w:style w:type="paragraph" w:styleId="21">
    <w:name w:val="toc 2"/>
    <w:basedOn w:val="1"/>
    <w:next w:val="1"/>
    <w:unhideWhenUsed/>
    <w:qFormat/>
    <w:uiPriority w:val="39"/>
    <w:pPr>
      <w:spacing w:before="120"/>
      <w:ind w:left="210"/>
      <w:jc w:val="left"/>
    </w:pPr>
    <w:rPr>
      <w:rFonts w:cs="Calibri"/>
      <w:b/>
      <w:bCs/>
      <w:sz w:val="22"/>
    </w:rPr>
  </w:style>
  <w:style w:type="paragraph" w:styleId="22">
    <w:name w:val="toc 9"/>
    <w:basedOn w:val="1"/>
    <w:next w:val="1"/>
    <w:unhideWhenUsed/>
    <w:qFormat/>
    <w:uiPriority w:val="39"/>
    <w:pPr>
      <w:ind w:left="1680"/>
      <w:jc w:val="left"/>
    </w:pPr>
    <w:rPr>
      <w:rFonts w:cs="Calibri"/>
      <w:sz w:val="20"/>
      <w:szCs w:val="20"/>
    </w:rPr>
  </w:style>
  <w:style w:type="table" w:styleId="24">
    <w:name w:val="Table Grid"/>
    <w:basedOn w:val="23"/>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6">
    <w:name w:val="Strong"/>
    <w:qFormat/>
    <w:uiPriority w:val="0"/>
    <w:rPr>
      <w:b/>
      <w:bCs/>
    </w:rPr>
  </w:style>
  <w:style w:type="character" w:styleId="27">
    <w:name w:val="page number"/>
    <w:basedOn w:val="25"/>
    <w:qFormat/>
    <w:uiPriority w:val="0"/>
  </w:style>
  <w:style w:type="character" w:styleId="28">
    <w:name w:val="Hyperlink"/>
    <w:unhideWhenUsed/>
    <w:qFormat/>
    <w:uiPriority w:val="99"/>
    <w:rPr>
      <w:color w:val="0000FF"/>
      <w:u w:val="single"/>
    </w:rPr>
  </w:style>
  <w:style w:type="character" w:styleId="29">
    <w:name w:val="annotation reference"/>
    <w:unhideWhenUsed/>
    <w:qFormat/>
    <w:uiPriority w:val="99"/>
    <w:rPr>
      <w:sz w:val="21"/>
      <w:szCs w:val="21"/>
    </w:rPr>
  </w:style>
  <w:style w:type="character" w:customStyle="1" w:styleId="30">
    <w:name w:val="正文文本缩进 Char"/>
    <w:link w:val="31"/>
    <w:qFormat/>
    <w:uiPriority w:val="0"/>
    <w:rPr>
      <w:rFonts w:ascii="宋体" w:hAnsi="宋体"/>
      <w:sz w:val="24"/>
      <w:szCs w:val="24"/>
    </w:rPr>
  </w:style>
  <w:style w:type="paragraph" w:customStyle="1" w:styleId="31">
    <w:name w:val="正文文本缩进1"/>
    <w:basedOn w:val="1"/>
    <w:link w:val="30"/>
    <w:qFormat/>
    <w:uiPriority w:val="0"/>
    <w:pPr>
      <w:spacing w:line="360" w:lineRule="auto"/>
      <w:ind w:left="902" w:firstLine="181"/>
    </w:pPr>
    <w:rPr>
      <w:rFonts w:ascii="宋体" w:hAnsi="宋体"/>
      <w:kern w:val="0"/>
      <w:sz w:val="24"/>
      <w:szCs w:val="24"/>
    </w:rPr>
  </w:style>
  <w:style w:type="character" w:customStyle="1" w:styleId="32">
    <w:name w:val="日期 Char"/>
    <w:link w:val="33"/>
    <w:qFormat/>
    <w:uiPriority w:val="99"/>
    <w:rPr>
      <w:szCs w:val="24"/>
    </w:rPr>
  </w:style>
  <w:style w:type="paragraph" w:customStyle="1" w:styleId="33">
    <w:name w:val="日期1"/>
    <w:basedOn w:val="1"/>
    <w:next w:val="1"/>
    <w:link w:val="32"/>
    <w:qFormat/>
    <w:uiPriority w:val="99"/>
    <w:pPr>
      <w:ind w:left="100" w:leftChars="2500"/>
    </w:pPr>
    <w:rPr>
      <w:kern w:val="0"/>
      <w:sz w:val="20"/>
      <w:szCs w:val="24"/>
    </w:rPr>
  </w:style>
  <w:style w:type="character" w:customStyle="1" w:styleId="34">
    <w:name w:val="批注框文本 Char"/>
    <w:link w:val="15"/>
    <w:qFormat/>
    <w:uiPriority w:val="0"/>
    <w:rPr>
      <w:rFonts w:ascii="Times New Roman" w:hAnsi="Times New Roman" w:eastAsia="宋体" w:cs="Times New Roman"/>
      <w:sz w:val="18"/>
      <w:szCs w:val="18"/>
    </w:rPr>
  </w:style>
  <w:style w:type="character" w:customStyle="1" w:styleId="35">
    <w:name w:val="标题 3 Char1"/>
    <w:link w:val="4"/>
    <w:qFormat/>
    <w:uiPriority w:val="9"/>
    <w:rPr>
      <w:rFonts w:ascii="Arial" w:hAnsi="Arial" w:eastAsia="黑体"/>
      <w:bCs/>
      <w:kern w:val="2"/>
      <w:sz w:val="32"/>
      <w:szCs w:val="32"/>
    </w:rPr>
  </w:style>
  <w:style w:type="character" w:customStyle="1" w:styleId="36">
    <w:name w:val="正文首行缩进 Char"/>
    <w:link w:val="37"/>
    <w:qFormat/>
    <w:uiPriority w:val="0"/>
    <w:rPr>
      <w:szCs w:val="24"/>
    </w:rPr>
  </w:style>
  <w:style w:type="paragraph" w:customStyle="1" w:styleId="37">
    <w:name w:val="正文首行缩进1"/>
    <w:basedOn w:val="9"/>
    <w:link w:val="36"/>
    <w:qFormat/>
    <w:uiPriority w:val="0"/>
    <w:pPr>
      <w:ind w:firstLine="420" w:firstLineChars="100"/>
    </w:pPr>
  </w:style>
  <w:style w:type="character" w:customStyle="1" w:styleId="38">
    <w:name w:val="正文首行缩进 2 Char"/>
    <w:link w:val="39"/>
    <w:qFormat/>
    <w:uiPriority w:val="0"/>
    <w:rPr>
      <w:rFonts w:ascii="宋体" w:hAnsi="宋体"/>
      <w:sz w:val="24"/>
      <w:szCs w:val="24"/>
    </w:rPr>
  </w:style>
  <w:style w:type="paragraph" w:customStyle="1" w:styleId="39">
    <w:name w:val="正文首行缩进 21"/>
    <w:basedOn w:val="31"/>
    <w:link w:val="38"/>
    <w:qFormat/>
    <w:uiPriority w:val="0"/>
    <w:pPr>
      <w:spacing w:after="120" w:line="240" w:lineRule="auto"/>
      <w:ind w:left="420" w:leftChars="200" w:firstLine="420" w:firstLineChars="200"/>
    </w:pPr>
  </w:style>
  <w:style w:type="character" w:customStyle="1" w:styleId="40">
    <w:name w:val="正文文本 Char1"/>
    <w:basedOn w:val="25"/>
    <w:semiHidden/>
    <w:qFormat/>
    <w:uiPriority w:val="99"/>
  </w:style>
  <w:style w:type="character" w:customStyle="1" w:styleId="41">
    <w:name w:val="页眉 Char"/>
    <w:link w:val="17"/>
    <w:qFormat/>
    <w:uiPriority w:val="99"/>
    <w:rPr>
      <w:sz w:val="18"/>
      <w:szCs w:val="18"/>
    </w:rPr>
  </w:style>
  <w:style w:type="character" w:customStyle="1" w:styleId="42">
    <w:name w:val="标题 2 Char"/>
    <w:link w:val="3"/>
    <w:qFormat/>
    <w:uiPriority w:val="99"/>
    <w:rPr>
      <w:rFonts w:ascii="黑体" w:hAnsi="黑体" w:eastAsia="黑体"/>
      <w:bCs/>
      <w:sz w:val="32"/>
      <w:szCs w:val="32"/>
    </w:rPr>
  </w:style>
  <w:style w:type="character" w:customStyle="1" w:styleId="43">
    <w:name w:val="MTEquationSection"/>
    <w:qFormat/>
    <w:uiPriority w:val="0"/>
    <w:rPr>
      <w:vanish/>
      <w:color w:val="FF0000"/>
      <w:sz w:val="24"/>
    </w:rPr>
  </w:style>
  <w:style w:type="character" w:styleId="44">
    <w:name w:val="Placeholder Text"/>
    <w:semiHidden/>
    <w:qFormat/>
    <w:uiPriority w:val="99"/>
    <w:rPr>
      <w:color w:val="808080"/>
    </w:rPr>
  </w:style>
  <w:style w:type="character" w:customStyle="1" w:styleId="45">
    <w:name w:val="标题 4 Char"/>
    <w:link w:val="5"/>
    <w:qFormat/>
    <w:uiPriority w:val="9"/>
    <w:rPr>
      <w:rFonts w:ascii="Cambria" w:hAnsi="Cambria" w:eastAsia="宋体" w:cs="Times New Roman"/>
      <w:b/>
      <w:bCs/>
      <w:kern w:val="2"/>
      <w:sz w:val="28"/>
      <w:szCs w:val="28"/>
    </w:rPr>
  </w:style>
  <w:style w:type="character" w:customStyle="1" w:styleId="46">
    <w:name w:val="正文文本 Char"/>
    <w:link w:val="9"/>
    <w:qFormat/>
    <w:uiPriority w:val="0"/>
    <w:rPr>
      <w:szCs w:val="24"/>
    </w:rPr>
  </w:style>
  <w:style w:type="character" w:customStyle="1" w:styleId="47">
    <w:name w:val="批注文字 Char"/>
    <w:link w:val="8"/>
    <w:qFormat/>
    <w:uiPriority w:val="0"/>
    <w:rPr>
      <w:rFonts w:ascii="Times New Roman" w:hAnsi="Times New Roman" w:eastAsia="宋体" w:cs="Times New Roman"/>
      <w:szCs w:val="24"/>
    </w:rPr>
  </w:style>
  <w:style w:type="character" w:customStyle="1" w:styleId="48">
    <w:name w:val="页码1"/>
    <w:basedOn w:val="25"/>
    <w:qFormat/>
    <w:uiPriority w:val="0"/>
  </w:style>
  <w:style w:type="character" w:customStyle="1" w:styleId="49">
    <w:name w:val="标题 1 Char"/>
    <w:link w:val="2"/>
    <w:qFormat/>
    <w:uiPriority w:val="0"/>
    <w:rPr>
      <w:rFonts w:ascii="Arial" w:hAnsi="Arial" w:eastAsia="黑体"/>
      <w:bCs/>
      <w:kern w:val="44"/>
      <w:sz w:val="44"/>
      <w:szCs w:val="44"/>
    </w:rPr>
  </w:style>
  <w:style w:type="character" w:customStyle="1" w:styleId="50">
    <w:name w:val="批注引用1"/>
    <w:qFormat/>
    <w:uiPriority w:val="0"/>
    <w:rPr>
      <w:sz w:val="21"/>
      <w:szCs w:val="21"/>
    </w:rPr>
  </w:style>
  <w:style w:type="character" w:customStyle="1" w:styleId="51">
    <w:name w:val="批注主题 Char"/>
    <w:link w:val="52"/>
    <w:qFormat/>
    <w:uiPriority w:val="0"/>
    <w:rPr>
      <w:b/>
      <w:bCs/>
      <w:szCs w:val="24"/>
    </w:rPr>
  </w:style>
  <w:style w:type="paragraph" w:customStyle="1" w:styleId="52">
    <w:name w:val="批注主题1"/>
    <w:basedOn w:val="8"/>
    <w:next w:val="8"/>
    <w:link w:val="51"/>
    <w:qFormat/>
    <w:uiPriority w:val="0"/>
    <w:rPr>
      <w:rFonts w:ascii="Calibri" w:hAnsi="Calibri"/>
      <w:b/>
      <w:bCs/>
    </w:rPr>
  </w:style>
  <w:style w:type="character" w:customStyle="1" w:styleId="53">
    <w:name w:val="页脚 Char"/>
    <w:link w:val="16"/>
    <w:qFormat/>
    <w:uiPriority w:val="99"/>
    <w:rPr>
      <w:sz w:val="18"/>
      <w:szCs w:val="18"/>
    </w:rPr>
  </w:style>
  <w:style w:type="character" w:customStyle="1" w:styleId="54">
    <w:name w:val="文档结构图 Char"/>
    <w:link w:val="7"/>
    <w:semiHidden/>
    <w:qFormat/>
    <w:uiPriority w:val="99"/>
    <w:rPr>
      <w:rFonts w:ascii="宋体" w:eastAsia="宋体"/>
      <w:sz w:val="18"/>
      <w:szCs w:val="18"/>
    </w:rPr>
  </w:style>
  <w:style w:type="character" w:customStyle="1" w:styleId="55">
    <w:name w:val="日期 Char1"/>
    <w:basedOn w:val="25"/>
    <w:semiHidden/>
    <w:qFormat/>
    <w:uiPriority w:val="99"/>
  </w:style>
  <w:style w:type="paragraph" w:customStyle="1" w:styleId="56">
    <w:name w:val="MTDisplayEquation"/>
    <w:basedOn w:val="1"/>
    <w:qFormat/>
    <w:uiPriority w:val="0"/>
    <w:pPr>
      <w:ind w:firstLine="480" w:firstLineChars="200"/>
    </w:pPr>
    <w:rPr>
      <w:rFonts w:ascii="宋体" w:hAnsi="宋体"/>
      <w:sz w:val="24"/>
      <w:szCs w:val="24"/>
    </w:rPr>
  </w:style>
  <w:style w:type="paragraph" w:customStyle="1" w:styleId="57">
    <w:name w:val="列表 21"/>
    <w:basedOn w:val="1"/>
    <w:qFormat/>
    <w:uiPriority w:val="0"/>
    <w:pPr>
      <w:ind w:left="100" w:leftChars="200" w:hanging="200" w:hangingChars="200"/>
      <w:contextualSpacing/>
    </w:pPr>
    <w:rPr>
      <w:rFonts w:ascii="Times New Roman" w:hAnsi="Times New Roman"/>
      <w:szCs w:val="24"/>
    </w:rPr>
  </w:style>
  <w:style w:type="paragraph" w:customStyle="1" w:styleId="58">
    <w:name w:val="正文文本缩进 21"/>
    <w:basedOn w:val="1"/>
    <w:qFormat/>
    <w:uiPriority w:val="0"/>
    <w:pPr>
      <w:spacing w:after="120" w:line="480" w:lineRule="auto"/>
      <w:ind w:left="420" w:leftChars="200"/>
    </w:pPr>
    <w:rPr>
      <w:rFonts w:ascii="Times New Roman" w:hAnsi="Times New Roman"/>
      <w:szCs w:val="24"/>
    </w:rPr>
  </w:style>
  <w:style w:type="paragraph" w:customStyle="1" w:styleId="59">
    <w:name w:val="列表 31"/>
    <w:basedOn w:val="1"/>
    <w:qFormat/>
    <w:uiPriority w:val="0"/>
    <w:pPr>
      <w:ind w:left="100" w:leftChars="400" w:hanging="200" w:hangingChars="200"/>
      <w:contextualSpacing/>
    </w:pPr>
    <w:rPr>
      <w:rFonts w:ascii="Times New Roman" w:hAnsi="Times New Roman"/>
      <w:szCs w:val="24"/>
    </w:rPr>
  </w:style>
  <w:style w:type="paragraph" w:customStyle="1" w:styleId="60">
    <w:name w:val="正文缩进1"/>
    <w:basedOn w:val="1"/>
    <w:qFormat/>
    <w:uiPriority w:val="0"/>
    <w:pPr>
      <w:ind w:firstLine="420" w:firstLineChars="200"/>
    </w:pPr>
    <w:rPr>
      <w:rFonts w:ascii="Times New Roman" w:hAnsi="Times New Roman"/>
      <w:szCs w:val="24"/>
    </w:rPr>
  </w:style>
  <w:style w:type="paragraph" w:customStyle="1" w:styleId="61">
    <w:name w:val="列表1"/>
    <w:basedOn w:val="1"/>
    <w:qFormat/>
    <w:uiPriority w:val="0"/>
    <w:pPr>
      <w:ind w:left="200" w:hanging="200" w:hangingChars="200"/>
      <w:contextualSpacing/>
    </w:pPr>
    <w:rPr>
      <w:rFonts w:ascii="Times New Roman" w:hAnsi="Times New Roman"/>
      <w:szCs w:val="24"/>
    </w:rPr>
  </w:style>
  <w:style w:type="paragraph" w:customStyle="1" w:styleId="62">
    <w:name w:val="标题 21"/>
    <w:basedOn w:val="1"/>
    <w:qFormat/>
    <w:uiPriority w:val="1"/>
    <w:pPr>
      <w:autoSpaceDE w:val="0"/>
      <w:autoSpaceDN w:val="0"/>
      <w:adjustRightInd w:val="0"/>
      <w:ind w:left="3185"/>
      <w:jc w:val="left"/>
      <w:outlineLvl w:val="1"/>
    </w:pPr>
    <w:rPr>
      <w:rFonts w:ascii="黑体" w:hAnsi="Times New Roman" w:eastAsia="黑体" w:cs="黑体"/>
      <w:kern w:val="0"/>
      <w:sz w:val="44"/>
      <w:szCs w:val="44"/>
    </w:rPr>
  </w:style>
  <w:style w:type="paragraph" w:customStyle="1" w:styleId="63">
    <w:name w:val="标题 41"/>
    <w:basedOn w:val="1"/>
    <w:qFormat/>
    <w:uiPriority w:val="1"/>
    <w:pPr>
      <w:autoSpaceDE w:val="0"/>
      <w:autoSpaceDN w:val="0"/>
      <w:adjustRightInd w:val="0"/>
      <w:jc w:val="left"/>
      <w:outlineLvl w:val="3"/>
    </w:pPr>
    <w:rPr>
      <w:rFonts w:ascii="黑体" w:hAnsi="Times New Roman" w:eastAsia="黑体" w:cs="黑体"/>
      <w:kern w:val="0"/>
      <w:sz w:val="32"/>
      <w:szCs w:val="32"/>
    </w:rPr>
  </w:style>
  <w:style w:type="paragraph" w:styleId="64">
    <w:name w:val="List Paragraph"/>
    <w:basedOn w:val="1"/>
    <w:qFormat/>
    <w:uiPriority w:val="34"/>
    <w:pPr>
      <w:ind w:firstLine="420" w:firstLineChars="200"/>
    </w:pPr>
  </w:style>
  <w:style w:type="paragraph" w:styleId="65">
    <w:name w:val="No Spacing"/>
    <w:qFormat/>
    <w:uiPriority w:val="1"/>
    <w:pPr>
      <w:widowControl w:val="0"/>
      <w:jc w:val="both"/>
    </w:pPr>
    <w:rPr>
      <w:rFonts w:ascii="Calibri" w:hAnsi="Calibri" w:eastAsia="宋体" w:cs="Times New Roman"/>
      <w:kern w:val="2"/>
      <w:sz w:val="21"/>
      <w:szCs w:val="22"/>
      <w:lang w:val="en-US" w:eastAsia="zh-CN" w:bidi="ar-SA"/>
    </w:rPr>
  </w:style>
  <w:style w:type="paragraph" w:customStyle="1" w:styleId="66">
    <w:name w:val="普通(网站)1"/>
    <w:basedOn w:val="1"/>
    <w:qFormat/>
    <w:uiPriority w:val="0"/>
    <w:pPr>
      <w:widowControl/>
      <w:spacing w:before="100" w:beforeAutospacing="1" w:after="100" w:afterAutospacing="1" w:line="283" w:lineRule="atLeast"/>
      <w:jc w:val="left"/>
    </w:pPr>
    <w:rPr>
      <w:rFonts w:ascii="宋体" w:hAnsi="宋体" w:cs="宋体"/>
      <w:kern w:val="0"/>
      <w:sz w:val="22"/>
    </w:rPr>
  </w:style>
  <w:style w:type="paragraph" w:customStyle="1" w:styleId="67">
    <w:name w:val="news"/>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68">
    <w:name w:val="Table Paragraph"/>
    <w:basedOn w:val="1"/>
    <w:qFormat/>
    <w:uiPriority w:val="1"/>
    <w:pPr>
      <w:autoSpaceDE w:val="0"/>
      <w:autoSpaceDN w:val="0"/>
      <w:adjustRightInd w:val="0"/>
      <w:jc w:val="left"/>
    </w:pPr>
    <w:rPr>
      <w:rFonts w:ascii="Times New Roman" w:hAnsi="Times New Roman"/>
      <w:kern w:val="0"/>
      <w:sz w:val="24"/>
      <w:szCs w:val="24"/>
    </w:rPr>
  </w:style>
  <w:style w:type="paragraph" w:customStyle="1" w:styleId="69">
    <w:name w:val="列出段落1"/>
    <w:basedOn w:val="1"/>
    <w:qFormat/>
    <w:uiPriority w:val="0"/>
    <w:pPr>
      <w:ind w:firstLine="420" w:firstLineChars="200"/>
    </w:pPr>
    <w:rPr>
      <w:rFonts w:ascii="Times New Roman" w:hAnsi="Times New Roman"/>
      <w:szCs w:val="24"/>
    </w:rPr>
  </w:style>
  <w:style w:type="table" w:customStyle="1" w:styleId="70">
    <w:name w:val="网格型1"/>
    <w:basedOn w:val="23"/>
    <w:qFormat/>
    <w:uiPriority w:val="59"/>
    <w:rPr>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customStyle="1" w:styleId="71">
    <w:name w:val="标题 3 Char"/>
    <w:basedOn w:val="25"/>
    <w:qFormat/>
    <w:uiPriority w:val="9"/>
    <w:rPr>
      <w:rFonts w:ascii="Arial" w:hAnsi="Arial" w:eastAsia="黑体" w:cs="Times New Roman"/>
      <w:bCs/>
      <w:sz w:val="32"/>
      <w:szCs w:val="32"/>
    </w:rPr>
  </w:style>
  <w:style w:type="character" w:customStyle="1" w:styleId="72">
    <w:name w:val="标题 2 字符"/>
    <w:qFormat/>
    <w:uiPriority w:val="99"/>
    <w:rPr>
      <w:rFonts w:ascii="黑体" w:hAnsi="黑体" w:eastAsia="黑体"/>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41</Pages>
  <Words>3861</Words>
  <Characters>22013</Characters>
  <Lines>183</Lines>
  <Paragraphs>51</Paragraphs>
  <TotalTime>0</TotalTime>
  <ScaleCrop>false</ScaleCrop>
  <LinksUpToDate>false</LinksUpToDate>
  <CharactersWithSpaces>25823</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2023-12-25T00:36:00Z</dcterms:created>
  <dc:creator>luck</dc:creator>
  <cp:lastModifiedBy>zjw</cp:lastModifiedBy>
  <cp:lastPrinted>2024-01-03T00:37:00Z</cp:lastPrinted>
  <dcterms:modified xsi:type="dcterms:W3CDTF">2024-01-11T10:49:58Z</dcterms:modified>
  <dc:title>上海市房屋建筑工程</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4DC903C7659A4E448F0227D14BED712E_13</vt:lpwstr>
  </property>
</Properties>
</file>