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宋体" w:hAnsi="宋体"/>
          <w:b/>
          <w:bCs/>
          <w:sz w:val="36"/>
          <w:szCs w:val="36"/>
        </w:rPr>
      </w:pPr>
      <w:bookmarkStart w:id="0" w:name="_Toc397928612"/>
      <w:bookmarkStart w:id="1" w:name="_Toc358476596"/>
      <w:bookmarkStart w:id="981" w:name="_GoBack"/>
      <w:bookmarkEnd w:id="981"/>
    </w:p>
    <w:p>
      <w:pPr>
        <w:spacing w:line="360" w:lineRule="auto"/>
        <w:jc w:val="center"/>
        <w:rPr>
          <w:rFonts w:ascii="宋体" w:hAnsi="宋体"/>
          <w:b/>
          <w:bCs/>
          <w:sz w:val="36"/>
          <w:szCs w:val="36"/>
        </w:rPr>
      </w:pPr>
    </w:p>
    <w:p>
      <w:pPr>
        <w:spacing w:line="360" w:lineRule="auto"/>
        <w:jc w:val="center"/>
        <w:rPr>
          <w:rFonts w:ascii="宋体" w:hAnsi="宋体"/>
          <w:b/>
          <w:bCs/>
          <w:sz w:val="36"/>
          <w:szCs w:val="36"/>
        </w:rPr>
      </w:pPr>
    </w:p>
    <w:p>
      <w:pPr>
        <w:adjustRightInd w:val="0"/>
        <w:snapToGrid w:val="0"/>
        <w:spacing w:line="360" w:lineRule="auto"/>
        <w:jc w:val="center"/>
        <w:rPr>
          <w:color w:val="auto"/>
          <w:sz w:val="44"/>
          <w:szCs w:val="44"/>
          <w:highlight w:val="none"/>
        </w:rPr>
      </w:pPr>
      <w:r>
        <w:rPr>
          <w:rFonts w:hint="eastAsia"/>
          <w:color w:val="auto"/>
          <w:sz w:val="44"/>
          <w:szCs w:val="44"/>
          <w:highlight w:val="none"/>
        </w:rPr>
        <w:t>泰州市房屋建筑和市政基础设施项目</w:t>
      </w:r>
    </w:p>
    <w:p>
      <w:pPr>
        <w:adjustRightInd w:val="0"/>
        <w:snapToGrid w:val="0"/>
        <w:spacing w:line="360" w:lineRule="auto"/>
        <w:jc w:val="center"/>
        <w:rPr>
          <w:rFonts w:ascii="黑体" w:eastAsia="黑体"/>
          <w:color w:val="auto"/>
          <w:spacing w:val="-30"/>
          <w:sz w:val="72"/>
          <w:szCs w:val="72"/>
          <w:highlight w:val="none"/>
        </w:rPr>
      </w:pPr>
      <w:r>
        <w:rPr>
          <w:rFonts w:hint="eastAsia" w:ascii="黑体" w:eastAsia="黑体"/>
          <w:color w:val="auto"/>
          <w:spacing w:val="-30"/>
          <w:sz w:val="72"/>
          <w:szCs w:val="72"/>
          <w:highlight w:val="none"/>
        </w:rPr>
        <w:t>工程总承包招标文件示范文本</w:t>
      </w:r>
    </w:p>
    <w:p>
      <w:pPr>
        <w:adjustRightInd w:val="0"/>
        <w:snapToGrid w:val="0"/>
        <w:spacing w:line="360" w:lineRule="auto"/>
        <w:jc w:val="center"/>
        <w:rPr>
          <w:color w:val="auto"/>
          <w:sz w:val="44"/>
          <w:szCs w:val="44"/>
          <w:highlight w:val="none"/>
        </w:rPr>
      </w:pPr>
      <w:r>
        <w:rPr>
          <w:rFonts w:hint="eastAsia"/>
          <w:color w:val="auto"/>
          <w:sz w:val="44"/>
          <w:szCs w:val="44"/>
          <w:highlight w:val="none"/>
        </w:rPr>
        <w:t>（202</w:t>
      </w:r>
      <w:r>
        <w:rPr>
          <w:rFonts w:hint="eastAsia"/>
          <w:color w:val="auto"/>
          <w:sz w:val="44"/>
          <w:szCs w:val="44"/>
          <w:highlight w:val="none"/>
          <w:lang w:val="en-US" w:eastAsia="zh-CN"/>
        </w:rPr>
        <w:t>3</w:t>
      </w:r>
      <w:r>
        <w:rPr>
          <w:rFonts w:hint="eastAsia"/>
          <w:color w:val="auto"/>
          <w:sz w:val="44"/>
          <w:szCs w:val="44"/>
          <w:highlight w:val="none"/>
        </w:rPr>
        <w:t>年版）</w:t>
      </w: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line="360" w:lineRule="auto"/>
        <w:jc w:val="center"/>
        <w:rPr>
          <w:rFonts w:ascii="宋体" w:hAnsi="宋体"/>
          <w:b/>
          <w:bCs/>
          <w:color w:val="auto"/>
          <w:sz w:val="36"/>
          <w:szCs w:val="36"/>
          <w:highlight w:val="none"/>
        </w:rPr>
      </w:pPr>
    </w:p>
    <w:p>
      <w:pPr>
        <w:spacing w:after="120" w:afterLines="50"/>
        <w:jc w:val="both"/>
        <w:rPr>
          <w:rFonts w:ascii="黑体" w:eastAsia="黑体"/>
          <w:color w:val="auto"/>
          <w:sz w:val="32"/>
          <w:szCs w:val="32"/>
          <w:highlight w:val="none"/>
        </w:rPr>
        <w:sectPr>
          <w:headerReference r:id="rId3" w:type="first"/>
          <w:footerReference r:id="rId4" w:type="default"/>
          <w:footerReference r:id="rId5" w:type="even"/>
          <w:pgSz w:w="11850" w:h="16783"/>
          <w:pgMar w:top="1440" w:right="1559" w:bottom="1440" w:left="1560" w:header="851" w:footer="851" w:gutter="0"/>
          <w:cols w:space="720" w:num="1"/>
          <w:titlePg/>
          <w:docGrid w:linePitch="312" w:charSpace="0"/>
        </w:sectPr>
      </w:pPr>
    </w:p>
    <w:p>
      <w:pPr>
        <w:spacing w:after="120" w:afterLines="50"/>
        <w:jc w:val="center"/>
        <w:rPr>
          <w:rFonts w:ascii="黑体" w:eastAsia="黑体"/>
          <w:color w:val="auto"/>
          <w:sz w:val="32"/>
          <w:szCs w:val="32"/>
          <w:highlight w:val="none"/>
        </w:rPr>
      </w:pPr>
      <w:r>
        <w:rPr>
          <w:rFonts w:hint="eastAsia" w:ascii="黑体" w:eastAsia="黑体"/>
          <w:color w:val="auto"/>
          <w:sz w:val="32"/>
          <w:szCs w:val="32"/>
          <w:highlight w:val="none"/>
        </w:rPr>
        <w:t>使用说明</w:t>
      </w:r>
    </w:p>
    <w:p>
      <w:pPr>
        <w:numPr>
          <w:ilvl w:val="0"/>
          <w:numId w:val="4"/>
        </w:numPr>
        <w:spacing w:line="540" w:lineRule="exact"/>
        <w:ind w:firstLine="540"/>
        <w:rPr>
          <w:rFonts w:ascii="宋体" w:hAnsi="宋体"/>
          <w:color w:val="auto"/>
          <w:szCs w:val="21"/>
          <w:highlight w:val="none"/>
        </w:rPr>
      </w:pPr>
      <w:r>
        <w:rPr>
          <w:rFonts w:hint="eastAsia" w:ascii="宋体" w:hAnsi="宋体"/>
          <w:color w:val="auto"/>
          <w:szCs w:val="21"/>
          <w:highlight w:val="none"/>
        </w:rPr>
        <w:t>《泰州市房屋建筑和市政基础设施项目工程总承包招标文件示范文本（202</w:t>
      </w:r>
      <w:r>
        <w:rPr>
          <w:rFonts w:hint="eastAsia" w:ascii="宋体" w:hAnsi="宋体"/>
          <w:color w:val="auto"/>
          <w:szCs w:val="21"/>
          <w:highlight w:val="none"/>
          <w:lang w:val="en-US" w:eastAsia="zh-CN"/>
        </w:rPr>
        <w:t>3</w:t>
      </w:r>
      <w:r>
        <w:rPr>
          <w:rFonts w:hint="eastAsia" w:ascii="宋体" w:hAnsi="宋体"/>
          <w:color w:val="auto"/>
          <w:szCs w:val="21"/>
          <w:highlight w:val="none"/>
        </w:rPr>
        <w:t>年版）》(以下简称《工程总承包招标文件》</w:t>
      </w:r>
      <w:r>
        <w:rPr>
          <w:rFonts w:ascii="宋体" w:hAnsi="宋体"/>
          <w:color w:val="auto"/>
          <w:szCs w:val="21"/>
          <w:highlight w:val="none"/>
        </w:rPr>
        <w:t>)。</w:t>
      </w:r>
      <w:r>
        <w:rPr>
          <w:rFonts w:hint="eastAsia" w:ascii="宋体" w:hAnsi="宋体"/>
          <w:color w:val="auto"/>
          <w:szCs w:val="21"/>
          <w:highlight w:val="none"/>
        </w:rPr>
        <w:t>适用于泰州市国有资金占控股或者主导地位的房屋建筑和市政基础设施项目采用工程总承包模式进行招标的项目。</w:t>
      </w:r>
    </w:p>
    <w:p>
      <w:pPr>
        <w:spacing w:line="540" w:lineRule="exact"/>
        <w:ind w:firstLine="420" w:firstLineChars="200"/>
        <w:rPr>
          <w:rFonts w:ascii="宋体" w:hAnsi="宋体"/>
          <w:color w:val="auto"/>
          <w:szCs w:val="21"/>
          <w:highlight w:val="none"/>
        </w:rPr>
      </w:pPr>
      <w:r>
        <w:rPr>
          <w:rFonts w:hint="eastAsia" w:ascii="宋体" w:hAnsi="宋体"/>
          <w:color w:val="auto"/>
          <w:szCs w:val="21"/>
          <w:highlight w:val="none"/>
        </w:rPr>
        <w:t>二、《工程总承包招标文件》用相同序号标示的章、节、条、款、项、目，供招标人和投标人选择使用；以空格标示的系由招标人填写的内容，招标人应根据招标项目具体特点和实际需要具体化，无需填写的在空格中用“／”标示；以“□”标识的，由招标人根据具体特点和实际需要勾选。</w:t>
      </w:r>
    </w:p>
    <w:p>
      <w:pPr>
        <w:spacing w:line="540" w:lineRule="exact"/>
        <w:ind w:firstLine="540"/>
        <w:rPr>
          <w:rFonts w:ascii="宋体" w:hAnsi="宋体"/>
          <w:color w:val="auto"/>
          <w:szCs w:val="21"/>
          <w:highlight w:val="none"/>
        </w:rPr>
      </w:pPr>
      <w:r>
        <w:rPr>
          <w:rFonts w:hint="eastAsia" w:ascii="宋体" w:hAnsi="宋体"/>
          <w:color w:val="auto"/>
          <w:szCs w:val="21"/>
          <w:highlight w:val="none"/>
        </w:rPr>
        <w:t>三、招标人按照《工程总承包招标文件》第一章“招标公告”的格式发布招标公告后，将实际发布的招标公告编入招标文件中，作为投标邀请。</w:t>
      </w:r>
    </w:p>
    <w:p>
      <w:pPr>
        <w:spacing w:line="540" w:lineRule="exact"/>
        <w:ind w:firstLine="540"/>
        <w:rPr>
          <w:rFonts w:ascii="宋体" w:hAnsi="宋体"/>
          <w:color w:val="auto"/>
          <w:szCs w:val="21"/>
          <w:highlight w:val="none"/>
        </w:rPr>
      </w:pPr>
      <w:r>
        <w:rPr>
          <w:rFonts w:hint="eastAsia" w:ascii="宋体" w:hAnsi="宋体"/>
          <w:color w:val="auto"/>
          <w:szCs w:val="21"/>
          <w:highlight w:val="none"/>
        </w:rPr>
        <w:t>四、《工程总承包招标文件》第二章“投标人须知”正文和前附表，除以空格标示的由招标人填空的内容、选择性内容和可补充内容外，均应不加修改地直接引用。填空、选择和补充内容由招标人根据国家和地方有关法律法规的规定以及招标项目具体情况确定。</w:t>
      </w:r>
    </w:p>
    <w:p>
      <w:pPr>
        <w:spacing w:line="540" w:lineRule="exact"/>
        <w:ind w:firstLine="540"/>
        <w:rPr>
          <w:rFonts w:ascii="宋体" w:hAnsi="宋体"/>
          <w:color w:val="auto"/>
          <w:szCs w:val="21"/>
          <w:highlight w:val="none"/>
        </w:rPr>
      </w:pPr>
      <w:r>
        <w:rPr>
          <w:rFonts w:hint="eastAsia" w:ascii="宋体" w:hAnsi="宋体"/>
          <w:color w:val="auto"/>
          <w:szCs w:val="21"/>
          <w:highlight w:val="none"/>
        </w:rPr>
        <w:t>五、《工程总承包招标文件》第三章“评标办法”，分综合评估法和评定分离法。综合评估法包括可行性研究完成后、方案设计完成后、初步设计完成后、专业工程等四种方法。招标人根据招标项目的具体特点和实际需要选择使用，具体评审因素的评审标准、分值和权重等由招标人根据有关规定和招标项目具体情况确定。</w:t>
      </w:r>
    </w:p>
    <w:p>
      <w:pPr>
        <w:spacing w:line="540" w:lineRule="exact"/>
        <w:ind w:firstLine="540"/>
        <w:rPr>
          <w:rFonts w:ascii="宋体" w:hAnsi="宋体"/>
          <w:color w:val="auto"/>
          <w:szCs w:val="21"/>
          <w:highlight w:val="none"/>
        </w:rPr>
      </w:pPr>
      <w:r>
        <w:rPr>
          <w:rFonts w:hint="eastAsia" w:ascii="宋体" w:hAnsi="宋体"/>
          <w:color w:val="auto"/>
          <w:szCs w:val="21"/>
          <w:highlight w:val="none"/>
        </w:rPr>
        <w:t>第三章“评标办法”前附表应列明全部评审因素和评审标准，并在本章(前附表及正文</w:t>
      </w:r>
      <w:r>
        <w:rPr>
          <w:rFonts w:ascii="宋体" w:hAnsi="宋体"/>
          <w:color w:val="auto"/>
          <w:szCs w:val="21"/>
          <w:highlight w:val="none"/>
        </w:rPr>
        <w:t>)标明投标人不满足其要求即导致投标被否决的全部条款。</w:t>
      </w:r>
    </w:p>
    <w:p>
      <w:pPr>
        <w:numPr>
          <w:ilvl w:val="0"/>
          <w:numId w:val="5"/>
        </w:numPr>
        <w:spacing w:line="540" w:lineRule="exact"/>
        <w:ind w:firstLine="540"/>
        <w:rPr>
          <w:rFonts w:ascii="宋体" w:hAnsi="宋体"/>
          <w:color w:val="auto"/>
          <w:szCs w:val="21"/>
          <w:highlight w:val="none"/>
        </w:rPr>
      </w:pPr>
      <w:r>
        <w:rPr>
          <w:rFonts w:hint="eastAsia" w:ascii="宋体" w:hAnsi="宋体"/>
          <w:color w:val="auto"/>
          <w:szCs w:val="21"/>
          <w:highlight w:val="none"/>
        </w:rPr>
        <w:t>《工程总承包招标文件》第四章“合同条款及格式”由招标人参照住房和城乡建设部、国家</w:t>
      </w:r>
      <w:r>
        <w:rPr>
          <w:rFonts w:hint="eastAsia" w:ascii="宋体" w:hAnsi="宋体"/>
          <w:color w:val="auto"/>
          <w:szCs w:val="21"/>
          <w:highlight w:val="none"/>
          <w:lang w:val="en-US" w:eastAsia="zh-CN"/>
        </w:rPr>
        <w:t>市场监督管理总局</w:t>
      </w:r>
      <w:r>
        <w:rPr>
          <w:rFonts w:hint="eastAsia" w:ascii="宋体" w:hAnsi="宋体"/>
          <w:color w:val="auto"/>
          <w:szCs w:val="21"/>
          <w:highlight w:val="none"/>
        </w:rPr>
        <w:t>印发的《建设项目工程总承包合同</w:t>
      </w:r>
      <w:r>
        <w:rPr>
          <w:rFonts w:hint="eastAsia" w:ascii="宋体" w:hAnsi="宋体"/>
          <w:color w:val="auto"/>
          <w:szCs w:val="21"/>
          <w:highlight w:val="none"/>
          <w:lang w:eastAsia="zh-CN"/>
        </w:rPr>
        <w:t>（</w:t>
      </w:r>
      <w:r>
        <w:rPr>
          <w:rFonts w:hint="eastAsia" w:ascii="宋体" w:hAnsi="宋体"/>
          <w:color w:val="auto"/>
          <w:szCs w:val="21"/>
          <w:highlight w:val="none"/>
        </w:rPr>
        <w:t>示范文本）》（</w:t>
      </w:r>
      <w:r>
        <w:rPr>
          <w:rFonts w:ascii="宋体" w:hAnsi="宋体"/>
          <w:color w:val="auto"/>
          <w:szCs w:val="21"/>
          <w:highlight w:val="none"/>
        </w:rPr>
        <w:t>GF-20</w:t>
      </w:r>
      <w:r>
        <w:rPr>
          <w:rFonts w:hint="eastAsia" w:ascii="宋体" w:hAnsi="宋体"/>
          <w:color w:val="auto"/>
          <w:szCs w:val="21"/>
          <w:highlight w:val="none"/>
          <w:lang w:val="en-US" w:eastAsia="zh-CN"/>
        </w:rPr>
        <w:t>20</w:t>
      </w:r>
      <w:r>
        <w:rPr>
          <w:rFonts w:ascii="宋体" w:hAnsi="宋体"/>
          <w:color w:val="auto"/>
          <w:szCs w:val="21"/>
          <w:highlight w:val="none"/>
        </w:rPr>
        <w:t>-0216）以及招标项目具体情况自行编制。</w:t>
      </w:r>
    </w:p>
    <w:p>
      <w:pPr>
        <w:spacing w:line="540" w:lineRule="exact"/>
        <w:ind w:firstLine="540"/>
        <w:rPr>
          <w:rFonts w:ascii="宋体" w:hAnsi="宋体"/>
          <w:color w:val="auto"/>
          <w:szCs w:val="21"/>
          <w:highlight w:val="none"/>
        </w:rPr>
      </w:pPr>
      <w:r>
        <w:rPr>
          <w:rFonts w:hint="eastAsia" w:ascii="宋体" w:hAnsi="宋体"/>
          <w:color w:val="auto"/>
          <w:szCs w:val="21"/>
          <w:highlight w:val="none"/>
        </w:rPr>
        <w:t>七、《工程总承包招标文件》第五章“报价清单”及第六章“发包人要求”由招标人根据招标项目具体特点和实际需要编制。</w:t>
      </w:r>
    </w:p>
    <w:p>
      <w:pPr>
        <w:spacing w:line="540" w:lineRule="exact"/>
        <w:ind w:firstLine="540"/>
        <w:rPr>
          <w:rFonts w:ascii="宋体" w:hAnsi="宋体"/>
          <w:color w:val="auto"/>
          <w:szCs w:val="21"/>
          <w:highlight w:val="none"/>
        </w:rPr>
        <w:sectPr>
          <w:headerReference r:id="rId6" w:type="first"/>
          <w:footerReference r:id="rId8" w:type="first"/>
          <w:footerReference r:id="rId7" w:type="default"/>
          <w:pgSz w:w="11906" w:h="16838"/>
          <w:pgMar w:top="1440" w:right="1559" w:bottom="1440" w:left="1560" w:header="851" w:footer="851" w:gutter="0"/>
          <w:cols w:space="720" w:num="1"/>
          <w:titlePg/>
          <w:docGrid w:linePitch="312" w:charSpace="0"/>
        </w:sectPr>
      </w:pPr>
    </w:p>
    <w:p>
      <w:pPr>
        <w:spacing w:line="540" w:lineRule="exact"/>
        <w:ind w:firstLine="540"/>
        <w:rPr>
          <w:rFonts w:ascii="宋体" w:hAnsi="宋体"/>
          <w:color w:val="auto"/>
          <w:szCs w:val="21"/>
          <w:highlight w:val="none"/>
        </w:rPr>
      </w:pPr>
      <w:r>
        <w:rPr>
          <w:rFonts w:hint="eastAsia" w:ascii="宋体" w:hAnsi="宋体"/>
          <w:color w:val="auto"/>
          <w:szCs w:val="21"/>
          <w:highlight w:val="none"/>
        </w:rPr>
        <w:t>八、《工程总承包招标文件》第七章“发包人提供的资料”由招标人根据招标项目具体特点和实际需要编制，并与一至六章内容相衔接。</w:t>
      </w:r>
    </w:p>
    <w:p>
      <w:pPr>
        <w:spacing w:line="540" w:lineRule="exact"/>
        <w:ind w:firstLine="540"/>
        <w:rPr>
          <w:rFonts w:ascii="宋体" w:hAnsi="宋体"/>
          <w:color w:val="auto"/>
          <w:sz w:val="28"/>
          <w:szCs w:val="28"/>
          <w:highlight w:val="none"/>
        </w:rPr>
      </w:pPr>
      <w:r>
        <w:rPr>
          <w:rFonts w:hint="eastAsia" w:ascii="宋体" w:hAnsi="宋体"/>
          <w:color w:val="auto"/>
          <w:szCs w:val="21"/>
          <w:highlight w:val="none"/>
        </w:rPr>
        <w:t>九、《工程总承包招标文件》</w:t>
      </w:r>
      <w:r>
        <w:rPr>
          <w:rFonts w:ascii="宋体" w:hAnsi="宋体"/>
          <w:color w:val="auto"/>
          <w:szCs w:val="21"/>
          <w:highlight w:val="none"/>
        </w:rPr>
        <w:t>，</w:t>
      </w:r>
      <w:r>
        <w:rPr>
          <w:rFonts w:hint="eastAsia" w:ascii="宋体" w:hAnsi="宋体"/>
          <w:color w:val="auto"/>
          <w:szCs w:val="21"/>
          <w:highlight w:val="none"/>
        </w:rPr>
        <w:t>将根据实际执行过程中出现的问题及时进行修改</w:t>
      </w:r>
      <w:r>
        <w:rPr>
          <w:rFonts w:ascii="宋体" w:hAnsi="宋体"/>
          <w:color w:val="auto"/>
          <w:szCs w:val="21"/>
          <w:highlight w:val="none"/>
        </w:rPr>
        <w:t>。各使用单位或个人对《</w:t>
      </w:r>
      <w:r>
        <w:rPr>
          <w:rFonts w:hint="eastAsia" w:ascii="宋体" w:hAnsi="宋体"/>
          <w:color w:val="auto"/>
          <w:szCs w:val="21"/>
          <w:highlight w:val="none"/>
        </w:rPr>
        <w:t>工程总承包招标文件</w:t>
      </w:r>
      <w:r>
        <w:rPr>
          <w:rFonts w:ascii="宋体" w:hAnsi="宋体"/>
          <w:color w:val="auto"/>
          <w:szCs w:val="21"/>
          <w:highlight w:val="none"/>
        </w:rPr>
        <w:t>》的修改意见和建议，可向</w:t>
      </w:r>
      <w:r>
        <w:rPr>
          <w:rFonts w:hint="eastAsia" w:ascii="宋体" w:hAnsi="宋体"/>
          <w:color w:val="auto"/>
          <w:szCs w:val="21"/>
          <w:highlight w:val="none"/>
        </w:rPr>
        <w:t>泰州市住建局招投标与造价管理处反映</w:t>
      </w:r>
      <w:r>
        <w:rPr>
          <w:rFonts w:ascii="宋体" w:hAnsi="宋体"/>
          <w:color w:val="auto"/>
          <w:szCs w:val="21"/>
          <w:highlight w:val="none"/>
        </w:rPr>
        <w:t>。</w:t>
      </w:r>
    </w:p>
    <w:p>
      <w:pPr>
        <w:spacing w:line="540" w:lineRule="exact"/>
        <w:ind w:firstLine="437"/>
        <w:rPr>
          <w:color w:val="auto"/>
          <w:sz w:val="28"/>
          <w:szCs w:val="28"/>
          <w:highlight w:val="none"/>
        </w:rPr>
      </w:pPr>
    </w:p>
    <w:p>
      <w:pPr>
        <w:spacing w:line="360" w:lineRule="auto"/>
        <w:jc w:val="center"/>
        <w:rPr>
          <w:rFonts w:ascii="宋体" w:hAnsi="宋体"/>
          <w:color w:val="auto"/>
          <w:sz w:val="44"/>
          <w:szCs w:val="44"/>
          <w:highlight w:val="none"/>
          <w:u w:val="single"/>
        </w:rPr>
        <w:sectPr>
          <w:footerReference r:id="rId11" w:type="first"/>
          <w:headerReference r:id="rId9" w:type="default"/>
          <w:footerReference r:id="rId10" w:type="default"/>
          <w:pgSz w:w="11850" w:h="16783"/>
          <w:pgMar w:top="1440" w:right="1559" w:bottom="1440" w:left="1560" w:header="851" w:footer="851" w:gutter="0"/>
          <w:cols w:space="720" w:num="1"/>
          <w:docGrid w:linePitch="312" w:charSpace="0"/>
        </w:sectPr>
      </w:pP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p>
    <w:p>
      <w:pPr>
        <w:spacing w:line="360" w:lineRule="auto"/>
        <w:jc w:val="center"/>
        <w:rPr>
          <w:rFonts w:ascii="宋体" w:hAnsi="宋体"/>
          <w:color w:val="auto"/>
          <w:sz w:val="44"/>
          <w:szCs w:val="44"/>
          <w:highlight w:val="none"/>
        </w:rPr>
      </w:pPr>
      <w:r>
        <w:rPr>
          <w:rFonts w:hint="eastAsia" w:ascii="宋体" w:hAnsi="宋体"/>
          <w:color w:val="auto"/>
          <w:sz w:val="44"/>
          <w:szCs w:val="44"/>
          <w:highlight w:val="none"/>
          <w:u w:val="single"/>
        </w:rPr>
        <w:t>（项目名称及标段名称）</w:t>
      </w:r>
      <w:r>
        <w:rPr>
          <w:rFonts w:hint="eastAsia" w:ascii="宋体" w:hAnsi="宋体"/>
          <w:color w:val="auto"/>
          <w:sz w:val="44"/>
          <w:szCs w:val="44"/>
          <w:highlight w:val="none"/>
        </w:rPr>
        <w:t>招标</w:t>
      </w: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p>
    <w:p>
      <w:pPr>
        <w:spacing w:line="360" w:lineRule="auto"/>
        <w:jc w:val="center"/>
        <w:rPr>
          <w:rFonts w:ascii="宋体" w:hAnsi="宋体"/>
          <w:color w:val="auto"/>
          <w:sz w:val="72"/>
          <w:szCs w:val="72"/>
          <w:highlight w:val="none"/>
        </w:rPr>
      </w:pPr>
      <w:r>
        <w:rPr>
          <w:rFonts w:hint="eastAsia" w:ascii="宋体" w:hAnsi="宋体"/>
          <w:color w:val="auto"/>
          <w:sz w:val="72"/>
          <w:szCs w:val="72"/>
          <w:highlight w:val="none"/>
        </w:rPr>
        <w:t>招标文件</w:t>
      </w:r>
    </w:p>
    <w:p>
      <w:pPr>
        <w:spacing w:line="360" w:lineRule="auto"/>
        <w:jc w:val="center"/>
        <w:rPr>
          <w:rFonts w:ascii="宋体" w:hAnsi="宋体"/>
          <w:color w:val="auto"/>
          <w:sz w:val="72"/>
          <w:szCs w:val="72"/>
          <w:highlight w:val="none"/>
        </w:rPr>
      </w:pPr>
    </w:p>
    <w:p>
      <w:pPr>
        <w:spacing w:line="360" w:lineRule="auto"/>
        <w:ind w:firstLine="3360" w:firstLineChars="1200"/>
        <w:rPr>
          <w:rFonts w:ascii="宋体" w:hAnsi="宋体"/>
          <w:color w:val="auto"/>
          <w:sz w:val="28"/>
          <w:szCs w:val="28"/>
          <w:highlight w:val="none"/>
        </w:rPr>
      </w:pPr>
      <w:r>
        <w:rPr>
          <w:rFonts w:hint="eastAsia" w:ascii="宋体" w:hAnsi="宋体"/>
          <w:color w:val="auto"/>
          <w:sz w:val="28"/>
          <w:szCs w:val="28"/>
          <w:highlight w:val="none"/>
        </w:rPr>
        <w:t xml:space="preserve">标段编号： </w:t>
      </w:r>
    </w:p>
    <w:p>
      <w:pPr>
        <w:spacing w:line="360" w:lineRule="auto"/>
        <w:jc w:val="center"/>
        <w:rPr>
          <w:rFonts w:ascii="宋体" w:hAnsi="宋体"/>
          <w:color w:val="auto"/>
          <w:sz w:val="28"/>
          <w:szCs w:val="28"/>
          <w:highlight w:val="none"/>
        </w:rPr>
      </w:pPr>
    </w:p>
    <w:p>
      <w:pPr>
        <w:spacing w:line="360" w:lineRule="auto"/>
        <w:jc w:val="center"/>
        <w:rPr>
          <w:rFonts w:ascii="宋体" w:hAnsi="宋体"/>
          <w:color w:val="auto"/>
          <w:sz w:val="28"/>
          <w:szCs w:val="28"/>
          <w:highlight w:val="none"/>
        </w:rPr>
      </w:pPr>
    </w:p>
    <w:p>
      <w:pPr>
        <w:spacing w:line="360" w:lineRule="auto"/>
        <w:rPr>
          <w:rFonts w:ascii="宋体" w:hAnsi="宋体"/>
          <w:color w:val="auto"/>
          <w:sz w:val="28"/>
          <w:szCs w:val="28"/>
          <w:highlight w:val="none"/>
        </w:rPr>
      </w:pPr>
    </w:p>
    <w:p>
      <w:pPr>
        <w:spacing w:line="360" w:lineRule="auto"/>
        <w:jc w:val="center"/>
        <w:rPr>
          <w:rFonts w:ascii="宋体" w:hAnsi="宋体"/>
          <w:color w:val="auto"/>
          <w:sz w:val="28"/>
          <w:szCs w:val="28"/>
          <w:highlight w:val="none"/>
        </w:rPr>
      </w:pPr>
    </w:p>
    <w:p>
      <w:pPr>
        <w:spacing w:line="360" w:lineRule="auto"/>
        <w:jc w:val="center"/>
        <w:rPr>
          <w:rFonts w:ascii="宋体" w:hAnsi="宋体"/>
          <w:color w:val="auto"/>
          <w:sz w:val="28"/>
          <w:szCs w:val="28"/>
          <w:highlight w:val="none"/>
        </w:rPr>
      </w:pPr>
    </w:p>
    <w:p>
      <w:pPr>
        <w:spacing w:line="360" w:lineRule="auto"/>
        <w:jc w:val="center"/>
        <w:rPr>
          <w:rFonts w:ascii="宋体" w:hAnsi="宋体"/>
          <w:color w:val="auto"/>
          <w:sz w:val="28"/>
          <w:szCs w:val="28"/>
          <w:highlight w:val="none"/>
        </w:rPr>
      </w:pPr>
    </w:p>
    <w:p>
      <w:pPr>
        <w:spacing w:line="360" w:lineRule="auto"/>
        <w:jc w:val="center"/>
        <w:rPr>
          <w:rFonts w:ascii="宋体" w:hAnsi="宋体"/>
          <w:color w:val="auto"/>
          <w:sz w:val="28"/>
          <w:szCs w:val="28"/>
          <w:highlight w:val="none"/>
        </w:rPr>
      </w:pPr>
    </w:p>
    <w:p>
      <w:pPr>
        <w:ind w:firstLine="420" w:firstLineChars="150"/>
        <w:jc w:val="center"/>
        <w:rPr>
          <w:rFonts w:ascii="宋体" w:hAnsi="宋体"/>
          <w:color w:val="auto"/>
          <w:sz w:val="28"/>
          <w:szCs w:val="28"/>
          <w:highlight w:val="none"/>
        </w:rPr>
      </w:pPr>
      <w:r>
        <w:rPr>
          <w:rFonts w:hint="eastAsia" w:ascii="宋体" w:hAnsi="宋体"/>
          <w:color w:val="auto"/>
          <w:sz w:val="28"/>
          <w:szCs w:val="28"/>
          <w:highlight w:val="none"/>
        </w:rPr>
        <w:t>招   标   人：</w:t>
      </w:r>
      <w:r>
        <w:rPr>
          <w:rFonts w:hint="eastAsia" w:ascii="宋体" w:hAnsi="宋体"/>
          <w:color w:val="auto"/>
          <w:sz w:val="28"/>
          <w:szCs w:val="28"/>
          <w:highlight w:val="none"/>
          <w:u w:val="single"/>
        </w:rPr>
        <w:t xml:space="preserve"> </w:t>
      </w:r>
      <w:r>
        <w:rPr>
          <w:rFonts w:hint="eastAsia"/>
          <w:color w:val="auto"/>
          <w:sz w:val="28"/>
          <w:szCs w:val="28"/>
          <w:highlight w:val="none"/>
          <w:u w:val="single"/>
        </w:rPr>
        <w:t xml:space="preserve">                     </w:t>
      </w:r>
      <w:r>
        <w:rPr>
          <w:rFonts w:hint="eastAsia" w:ascii="宋体" w:hAnsi="宋体"/>
          <w:color w:val="auto"/>
          <w:sz w:val="28"/>
          <w:szCs w:val="28"/>
          <w:highlight w:val="none"/>
        </w:rPr>
        <w:t>(盖单位章)</w:t>
      </w:r>
    </w:p>
    <w:p>
      <w:pPr>
        <w:ind w:firstLine="420" w:firstLineChars="150"/>
        <w:jc w:val="center"/>
        <w:rPr>
          <w:rFonts w:ascii="黑体" w:eastAsia="黑体"/>
          <w:color w:val="auto"/>
          <w:sz w:val="28"/>
          <w:szCs w:val="28"/>
          <w:highlight w:val="none"/>
        </w:rPr>
      </w:pPr>
    </w:p>
    <w:p>
      <w:pPr>
        <w:ind w:firstLine="420" w:firstLineChars="150"/>
        <w:jc w:val="center"/>
        <w:rPr>
          <w:rFonts w:ascii="黑体" w:eastAsia="黑体"/>
          <w:color w:val="auto"/>
          <w:sz w:val="28"/>
          <w:szCs w:val="28"/>
          <w:highlight w:val="none"/>
        </w:rPr>
      </w:pPr>
    </w:p>
    <w:p>
      <w:pPr>
        <w:ind w:firstLine="420" w:firstLineChars="150"/>
        <w:jc w:val="center"/>
        <w:rPr>
          <w:rFonts w:ascii="黑体" w:eastAsia="黑体"/>
          <w:color w:val="auto"/>
          <w:sz w:val="28"/>
          <w:szCs w:val="28"/>
          <w:highlight w:val="none"/>
        </w:rPr>
      </w:pPr>
      <w:r>
        <w:rPr>
          <w:rFonts w:hint="eastAsia"/>
          <w:color w:val="auto"/>
          <w:sz w:val="28"/>
          <w:szCs w:val="28"/>
          <w:highlight w:val="none"/>
        </w:rPr>
        <w:t>招标代理机构：</w:t>
      </w:r>
      <w:r>
        <w:rPr>
          <w:rFonts w:hint="eastAsia"/>
          <w:color w:val="auto"/>
          <w:sz w:val="28"/>
          <w:szCs w:val="28"/>
          <w:highlight w:val="none"/>
          <w:u w:val="single"/>
        </w:rPr>
        <w:t xml:space="preserve">                      </w:t>
      </w:r>
      <w:r>
        <w:rPr>
          <w:rFonts w:hint="eastAsia" w:ascii="黑体" w:eastAsia="黑体"/>
          <w:color w:val="auto"/>
          <w:sz w:val="28"/>
          <w:szCs w:val="28"/>
          <w:highlight w:val="none"/>
        </w:rPr>
        <w:t>(</w:t>
      </w:r>
      <w:r>
        <w:rPr>
          <w:rFonts w:hint="eastAsia" w:ascii="宋体"/>
          <w:color w:val="auto"/>
          <w:sz w:val="28"/>
          <w:szCs w:val="28"/>
          <w:highlight w:val="none"/>
        </w:rPr>
        <w:t>盖单位章</w:t>
      </w:r>
      <w:r>
        <w:rPr>
          <w:rFonts w:hint="eastAsia" w:ascii="黑体" w:eastAsia="黑体"/>
          <w:color w:val="auto"/>
          <w:sz w:val="28"/>
          <w:szCs w:val="28"/>
          <w:highlight w:val="none"/>
        </w:rPr>
        <w:t>)</w:t>
      </w:r>
    </w:p>
    <w:p>
      <w:pPr>
        <w:spacing w:line="360" w:lineRule="auto"/>
        <w:ind w:firstLine="1377" w:firstLineChars="492"/>
        <w:jc w:val="center"/>
        <w:rPr>
          <w:rFonts w:ascii="宋体" w:hAnsi="宋体"/>
          <w:color w:val="auto"/>
          <w:sz w:val="28"/>
          <w:szCs w:val="28"/>
          <w:highlight w:val="none"/>
          <w:u w:val="single"/>
        </w:rPr>
      </w:pPr>
    </w:p>
    <w:p>
      <w:pPr>
        <w:pStyle w:val="148"/>
        <w:ind w:firstLine="3080" w:firstLineChars="1100"/>
        <w:rPr>
          <w:color w:val="auto"/>
          <w:sz w:val="32"/>
          <w:szCs w:val="32"/>
          <w:highlight w:val="none"/>
        </w:rPr>
        <w:sectPr>
          <w:footerReference r:id="rId12" w:type="default"/>
          <w:pgSz w:w="11906" w:h="16838"/>
          <w:pgMar w:top="1440" w:right="1559" w:bottom="1440" w:left="1560" w:header="851" w:footer="851" w:gutter="0"/>
          <w:cols w:space="720" w:num="1"/>
          <w:docGrid w:linePitch="312" w:charSpace="0"/>
        </w:sectPr>
      </w:pPr>
      <w:r>
        <w:rPr>
          <w:rFonts w:hint="eastAsia" w:ascii="宋体" w:hAnsi="宋体"/>
          <w:color w:val="auto"/>
          <w:sz w:val="28"/>
          <w:szCs w:val="28"/>
          <w:highlight w:val="none"/>
        </w:rPr>
        <w:t xml:space="preserve"> </w:t>
      </w:r>
      <w:r>
        <w:rPr>
          <w:rFonts w:hint="eastAsia" w:ascii="宋体" w:hAnsi="宋体"/>
          <w:color w:val="auto"/>
          <w:sz w:val="28"/>
          <w:szCs w:val="28"/>
          <w:highlight w:val="none"/>
          <w:u w:val="single"/>
        </w:rPr>
        <w:t xml:space="preserve">     </w:t>
      </w:r>
      <w:r>
        <w:rPr>
          <w:rFonts w:hint="eastAsia" w:ascii="宋体" w:hAnsi="宋体"/>
          <w:color w:val="auto"/>
          <w:sz w:val="28"/>
          <w:szCs w:val="28"/>
          <w:highlight w:val="none"/>
        </w:rPr>
        <w:t>年</w:t>
      </w:r>
      <w:r>
        <w:rPr>
          <w:rFonts w:hint="eastAsia" w:ascii="宋体" w:hAnsi="宋体"/>
          <w:color w:val="auto"/>
          <w:sz w:val="28"/>
          <w:szCs w:val="28"/>
          <w:highlight w:val="none"/>
          <w:u w:val="single"/>
        </w:rPr>
        <w:t xml:space="preserve">    </w:t>
      </w:r>
      <w:r>
        <w:rPr>
          <w:rFonts w:hint="eastAsia" w:ascii="宋体" w:hAnsi="宋体"/>
          <w:color w:val="auto"/>
          <w:sz w:val="28"/>
          <w:szCs w:val="28"/>
          <w:highlight w:val="none"/>
        </w:rPr>
        <w:t>月</w:t>
      </w:r>
      <w:r>
        <w:rPr>
          <w:rFonts w:hint="eastAsia" w:ascii="宋体" w:hAnsi="宋体"/>
          <w:color w:val="auto"/>
          <w:sz w:val="28"/>
          <w:szCs w:val="28"/>
          <w:highlight w:val="none"/>
          <w:u w:val="single"/>
        </w:rPr>
        <w:t xml:space="preserve">     </w:t>
      </w:r>
      <w:r>
        <w:rPr>
          <w:rFonts w:hint="eastAsia" w:ascii="宋体" w:hAnsi="宋体"/>
          <w:color w:val="auto"/>
          <w:sz w:val="28"/>
          <w:szCs w:val="28"/>
          <w:highlight w:val="none"/>
        </w:rPr>
        <w:t xml:space="preserve"> 日</w:t>
      </w:r>
    </w:p>
    <w:p>
      <w:pPr>
        <w:spacing w:after="240" w:afterLines="100" w:line="540" w:lineRule="exact"/>
        <w:jc w:val="center"/>
        <w:rPr>
          <w:bCs/>
          <w:color w:val="auto"/>
          <w:sz w:val="44"/>
          <w:szCs w:val="44"/>
          <w:highlight w:val="none"/>
        </w:rPr>
      </w:pPr>
      <w:r>
        <w:rPr>
          <w:bCs/>
          <w:color w:val="auto"/>
          <w:sz w:val="44"/>
          <w:szCs w:val="44"/>
          <w:highlight w:val="none"/>
        </w:rPr>
        <w:t>目</w:t>
      </w:r>
      <w:r>
        <w:rPr>
          <w:rFonts w:hint="eastAsia"/>
          <w:bCs/>
          <w:color w:val="auto"/>
          <w:sz w:val="44"/>
          <w:szCs w:val="44"/>
          <w:highlight w:val="none"/>
        </w:rPr>
        <w:t xml:space="preserve"> </w:t>
      </w:r>
      <w:r>
        <w:rPr>
          <w:bCs/>
          <w:color w:val="auto"/>
          <w:sz w:val="44"/>
          <w:szCs w:val="44"/>
          <w:highlight w:val="none"/>
        </w:rPr>
        <w:t>录</w:t>
      </w:r>
    </w:p>
    <w:p>
      <w:pPr>
        <w:pStyle w:val="31"/>
        <w:tabs>
          <w:tab w:val="right" w:leader="dot" w:pos="8787"/>
        </w:tabs>
      </w:pPr>
      <w:r>
        <w:rPr>
          <w:color w:val="auto"/>
          <w:highlight w:val="none"/>
        </w:rPr>
        <w:fldChar w:fldCharType="begin"/>
      </w:r>
      <w:r>
        <w:rPr>
          <w:color w:val="auto"/>
          <w:highlight w:val="none"/>
        </w:rPr>
        <w:instrText xml:space="preserve"> TOC \o "1-1" \h \z \t "标题 2,2,标题 3,3" </w:instrText>
      </w:r>
      <w:r>
        <w:rPr>
          <w:color w:val="auto"/>
          <w:highlight w:val="none"/>
        </w:rPr>
        <w:fldChar w:fldCharType="separate"/>
      </w:r>
      <w:r>
        <w:rPr>
          <w:rFonts w:eastAsia="黑体"/>
          <w:color w:val="auto"/>
          <w:highlight w:val="none"/>
        </w:rPr>
        <w:fldChar w:fldCharType="begin"/>
      </w:r>
      <w:r>
        <w:rPr>
          <w:rFonts w:eastAsia="黑体"/>
          <w:highlight w:val="none"/>
        </w:rPr>
        <w:instrText xml:space="preserve"> HYPERLINK \l _Toc6058 </w:instrText>
      </w:r>
      <w:r>
        <w:rPr>
          <w:rFonts w:eastAsia="黑体"/>
          <w:highlight w:val="none"/>
        </w:rPr>
        <w:fldChar w:fldCharType="separate"/>
      </w:r>
      <w:r>
        <w:rPr>
          <w:rFonts w:hint="eastAsia"/>
          <w:szCs w:val="32"/>
          <w:highlight w:val="none"/>
        </w:rPr>
        <w:t>第一章</w:t>
      </w:r>
      <w:r>
        <w:rPr>
          <w:szCs w:val="32"/>
          <w:highlight w:val="none"/>
        </w:rPr>
        <w:t xml:space="preserve"> </w:t>
      </w:r>
      <w:r>
        <w:rPr>
          <w:rFonts w:hint="eastAsia"/>
          <w:szCs w:val="32"/>
          <w:highlight w:val="none"/>
        </w:rPr>
        <w:t>招标公告</w:t>
      </w:r>
      <w:r>
        <w:tab/>
      </w:r>
      <w:r>
        <w:fldChar w:fldCharType="begin"/>
      </w:r>
      <w:r>
        <w:instrText xml:space="preserve"> PAGEREF _Toc6058 \h </w:instrText>
      </w:r>
      <w:r>
        <w:fldChar w:fldCharType="separate"/>
      </w:r>
      <w:r>
        <w:t>1</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_Toc516 </w:instrText>
      </w:r>
      <w:r>
        <w:rPr>
          <w:rFonts w:eastAsia="黑体"/>
          <w:highlight w:val="none"/>
        </w:rPr>
        <w:fldChar w:fldCharType="separate"/>
      </w:r>
      <w:r>
        <w:rPr>
          <w:rFonts w:hint="eastAsia" w:ascii="宋体" w:hAnsi="宋体" w:cs="宋体"/>
          <w:highlight w:val="none"/>
        </w:rPr>
        <w:t>1. 招标条件</w:t>
      </w:r>
      <w:r>
        <w:tab/>
      </w:r>
      <w:r>
        <w:fldChar w:fldCharType="begin"/>
      </w:r>
      <w:r>
        <w:instrText xml:space="preserve"> PAGEREF _Toc516 \h </w:instrText>
      </w:r>
      <w:r>
        <w:fldChar w:fldCharType="separate"/>
      </w:r>
      <w:r>
        <w:t>1</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_Toc15827 </w:instrText>
      </w:r>
      <w:r>
        <w:rPr>
          <w:rFonts w:eastAsia="黑体"/>
          <w:highlight w:val="none"/>
        </w:rPr>
        <w:fldChar w:fldCharType="separate"/>
      </w:r>
      <w:r>
        <w:rPr>
          <w:rFonts w:hint="eastAsia" w:ascii="宋体" w:hAnsi="宋体" w:cs="宋体"/>
          <w:szCs w:val="21"/>
          <w:highlight w:val="none"/>
        </w:rPr>
        <w:t>2. 项目概况与招标范围</w:t>
      </w:r>
      <w:r>
        <w:tab/>
      </w:r>
      <w:r>
        <w:fldChar w:fldCharType="begin"/>
      </w:r>
      <w:r>
        <w:instrText xml:space="preserve"> PAGEREF _Toc15827 \h </w:instrText>
      </w:r>
      <w:r>
        <w:fldChar w:fldCharType="separate"/>
      </w:r>
      <w:r>
        <w:t>1</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_Toc1157 </w:instrText>
      </w:r>
      <w:r>
        <w:rPr>
          <w:rFonts w:eastAsia="黑体"/>
          <w:highlight w:val="none"/>
        </w:rPr>
        <w:fldChar w:fldCharType="separate"/>
      </w:r>
      <w:r>
        <w:rPr>
          <w:rFonts w:hint="eastAsia" w:ascii="宋体" w:hAnsi="宋体" w:cs="宋体"/>
          <w:highlight w:val="none"/>
        </w:rPr>
        <w:t>3. 投标人资格要求</w:t>
      </w:r>
      <w:r>
        <w:tab/>
      </w:r>
      <w:r>
        <w:fldChar w:fldCharType="begin"/>
      </w:r>
      <w:r>
        <w:instrText xml:space="preserve"> PAGEREF _Toc1157 \h </w:instrText>
      </w:r>
      <w:r>
        <w:fldChar w:fldCharType="separate"/>
      </w:r>
      <w:r>
        <w:t>1</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_Toc16898 </w:instrText>
      </w:r>
      <w:r>
        <w:rPr>
          <w:rFonts w:eastAsia="黑体"/>
          <w:highlight w:val="none"/>
        </w:rPr>
        <w:fldChar w:fldCharType="separate"/>
      </w:r>
      <w:r>
        <w:rPr>
          <w:rFonts w:hint="eastAsia" w:ascii="宋体" w:hAnsi="宋体" w:cs="宋体"/>
          <w:highlight w:val="none"/>
        </w:rPr>
        <w:t>4. 招标文件的获取</w:t>
      </w:r>
      <w:r>
        <w:tab/>
      </w:r>
      <w:r>
        <w:fldChar w:fldCharType="begin"/>
      </w:r>
      <w:r>
        <w:instrText xml:space="preserve"> PAGEREF _Toc16898 \h </w:instrText>
      </w:r>
      <w:r>
        <w:fldChar w:fldCharType="separate"/>
      </w:r>
      <w:r>
        <w:t>3</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_Toc5380 </w:instrText>
      </w:r>
      <w:r>
        <w:rPr>
          <w:rFonts w:eastAsia="黑体"/>
          <w:highlight w:val="none"/>
        </w:rPr>
        <w:fldChar w:fldCharType="separate"/>
      </w:r>
      <w:r>
        <w:rPr>
          <w:rFonts w:hint="eastAsia" w:ascii="宋体" w:hAnsi="宋体" w:cs="宋体"/>
          <w:highlight w:val="none"/>
        </w:rPr>
        <w:t>5. 投标截止时间</w:t>
      </w:r>
      <w:r>
        <w:tab/>
      </w:r>
      <w:r>
        <w:fldChar w:fldCharType="begin"/>
      </w:r>
      <w:r>
        <w:instrText xml:space="preserve"> PAGEREF _Toc5380 \h </w:instrText>
      </w:r>
      <w:r>
        <w:fldChar w:fldCharType="separate"/>
      </w:r>
      <w:r>
        <w:t>3</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_Toc30978 </w:instrText>
      </w:r>
      <w:r>
        <w:rPr>
          <w:rFonts w:eastAsia="黑体"/>
          <w:highlight w:val="none"/>
        </w:rPr>
        <w:fldChar w:fldCharType="separate"/>
      </w:r>
      <w:r>
        <w:rPr>
          <w:rFonts w:hint="eastAsia" w:ascii="宋体" w:hAnsi="宋体" w:cs="宋体"/>
          <w:szCs w:val="21"/>
          <w:highlight w:val="none"/>
        </w:rPr>
        <w:t>6. 评标办法</w:t>
      </w:r>
      <w:r>
        <w:tab/>
      </w:r>
      <w:r>
        <w:fldChar w:fldCharType="begin"/>
      </w:r>
      <w:r>
        <w:instrText xml:space="preserve"> PAGEREF _Toc30978 \h </w:instrText>
      </w:r>
      <w:r>
        <w:fldChar w:fldCharType="separate"/>
      </w:r>
      <w:r>
        <w:t>3</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_Toc30634 </w:instrText>
      </w:r>
      <w:r>
        <w:rPr>
          <w:rFonts w:eastAsia="黑体"/>
          <w:highlight w:val="none"/>
        </w:rPr>
        <w:fldChar w:fldCharType="separate"/>
      </w:r>
      <w:r>
        <w:rPr>
          <w:rFonts w:hint="eastAsia" w:ascii="宋体" w:hAnsi="宋体" w:cs="宋体"/>
          <w:highlight w:val="none"/>
        </w:rPr>
        <w:t>7. 发布公告的媒介</w:t>
      </w:r>
      <w:r>
        <w:tab/>
      </w:r>
      <w:r>
        <w:fldChar w:fldCharType="begin"/>
      </w:r>
      <w:r>
        <w:instrText xml:space="preserve"> PAGEREF _Toc30634 \h </w:instrText>
      </w:r>
      <w:r>
        <w:fldChar w:fldCharType="separate"/>
      </w:r>
      <w:r>
        <w:t>3</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_Toc30395 </w:instrText>
      </w:r>
      <w:r>
        <w:rPr>
          <w:rFonts w:eastAsia="黑体"/>
          <w:highlight w:val="none"/>
        </w:rPr>
        <w:fldChar w:fldCharType="separate"/>
      </w:r>
      <w:r>
        <w:rPr>
          <w:rFonts w:ascii="宋体" w:hAnsi="宋体" w:cs="宋体"/>
        </w:rPr>
        <w:t xml:space="preserve">8. </w:t>
      </w:r>
      <w:r>
        <w:rPr>
          <w:rFonts w:hint="eastAsia" w:ascii="宋体" w:hAnsi="宋体" w:cs="宋体"/>
          <w:highlight w:val="none"/>
        </w:rPr>
        <w:t>联系方式</w:t>
      </w:r>
      <w:r>
        <w:tab/>
      </w:r>
      <w:r>
        <w:fldChar w:fldCharType="begin"/>
      </w:r>
      <w:r>
        <w:instrText xml:space="preserve"> PAGEREF _Toc30395 \h </w:instrText>
      </w:r>
      <w:r>
        <w:fldChar w:fldCharType="separate"/>
      </w:r>
      <w:r>
        <w:t>4</w:t>
      </w:r>
      <w:r>
        <w:fldChar w:fldCharType="end"/>
      </w:r>
      <w:r>
        <w:rPr>
          <w:rFonts w:eastAsia="黑体"/>
          <w:color w:val="auto"/>
          <w:highlight w:val="none"/>
        </w:rPr>
        <w:fldChar w:fldCharType="end"/>
      </w:r>
    </w:p>
    <w:p>
      <w:pPr>
        <w:pStyle w:val="31"/>
        <w:tabs>
          <w:tab w:val="right" w:leader="dot" w:pos="8787"/>
        </w:tabs>
      </w:pPr>
      <w:r>
        <w:rPr>
          <w:rFonts w:eastAsia="黑体"/>
          <w:color w:val="auto"/>
          <w:highlight w:val="none"/>
        </w:rPr>
        <w:fldChar w:fldCharType="begin"/>
      </w:r>
      <w:r>
        <w:rPr>
          <w:rFonts w:eastAsia="黑体"/>
          <w:highlight w:val="none"/>
        </w:rPr>
        <w:instrText xml:space="preserve"> HYPERLINK \l _Toc22425 </w:instrText>
      </w:r>
      <w:r>
        <w:rPr>
          <w:rFonts w:eastAsia="黑体"/>
          <w:highlight w:val="none"/>
        </w:rPr>
        <w:fldChar w:fldCharType="separate"/>
      </w:r>
      <w:r>
        <w:rPr>
          <w:rFonts w:hint="eastAsia"/>
          <w:bCs/>
          <w:highlight w:val="none"/>
        </w:rPr>
        <w:t>第二章 投标人须知</w:t>
      </w:r>
      <w:r>
        <w:tab/>
      </w:r>
      <w:r>
        <w:fldChar w:fldCharType="begin"/>
      </w:r>
      <w:r>
        <w:instrText xml:space="preserve"> PAGEREF _Toc22425 \h </w:instrText>
      </w:r>
      <w:r>
        <w:fldChar w:fldCharType="separate"/>
      </w:r>
      <w:r>
        <w:t>5</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_Toc27962 </w:instrText>
      </w:r>
      <w:r>
        <w:rPr>
          <w:rFonts w:eastAsia="黑体"/>
          <w:highlight w:val="none"/>
        </w:rPr>
        <w:fldChar w:fldCharType="separate"/>
      </w:r>
      <w:r>
        <w:rPr>
          <w:rFonts w:hint="eastAsia" w:ascii="黑体" w:hAnsi="黑体" w:eastAsia="黑体" w:cs="黑体"/>
          <w:bCs w:val="0"/>
          <w:highlight w:val="none"/>
        </w:rPr>
        <w:t>投标人须知前附表</w:t>
      </w:r>
      <w:r>
        <w:tab/>
      </w:r>
      <w:r>
        <w:fldChar w:fldCharType="begin"/>
      </w:r>
      <w:r>
        <w:instrText xml:space="preserve"> PAGEREF _Toc27962 \h </w:instrText>
      </w:r>
      <w:r>
        <w:fldChar w:fldCharType="separate"/>
      </w:r>
      <w:r>
        <w:t>5</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_Toc19546 </w:instrText>
      </w:r>
      <w:r>
        <w:rPr>
          <w:rFonts w:eastAsia="黑体"/>
          <w:highlight w:val="none"/>
        </w:rPr>
        <w:fldChar w:fldCharType="separate"/>
      </w:r>
      <w:r>
        <w:rPr>
          <w:rFonts w:hint="eastAsia" w:ascii="黑体" w:hAnsi="黑体" w:eastAsia="黑体" w:cs="黑体"/>
          <w:bCs w:val="0"/>
          <w:highlight w:val="none"/>
        </w:rPr>
        <w:t>投标人须知</w:t>
      </w:r>
      <w:r>
        <w:tab/>
      </w:r>
      <w:r>
        <w:fldChar w:fldCharType="begin"/>
      </w:r>
      <w:r>
        <w:instrText xml:space="preserve"> PAGEREF _Toc19546 \h </w:instrText>
      </w:r>
      <w:r>
        <w:fldChar w:fldCharType="separate"/>
      </w:r>
      <w:r>
        <w:t>17</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_Toc13543 </w:instrText>
      </w:r>
      <w:r>
        <w:rPr>
          <w:rFonts w:eastAsia="黑体"/>
          <w:highlight w:val="none"/>
        </w:rPr>
        <w:fldChar w:fldCharType="separate"/>
      </w:r>
      <w:r>
        <w:rPr>
          <w:rFonts w:hint="eastAsia" w:ascii="宋体" w:hAnsi="宋体" w:cs="宋体"/>
          <w:highlight w:val="none"/>
        </w:rPr>
        <w:t>1 总则</w:t>
      </w:r>
      <w:r>
        <w:tab/>
      </w:r>
      <w:r>
        <w:fldChar w:fldCharType="begin"/>
      </w:r>
      <w:r>
        <w:instrText xml:space="preserve"> PAGEREF _Toc13543 \h </w:instrText>
      </w:r>
      <w:r>
        <w:fldChar w:fldCharType="separate"/>
      </w:r>
      <w:r>
        <w:t>17</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_Toc30630 </w:instrText>
      </w:r>
      <w:r>
        <w:rPr>
          <w:rFonts w:eastAsia="黑体"/>
          <w:highlight w:val="none"/>
        </w:rPr>
        <w:fldChar w:fldCharType="separate"/>
      </w:r>
      <w:r>
        <w:rPr>
          <w:rFonts w:hint="eastAsia" w:ascii="宋体" w:hAnsi="宋体" w:cs="宋体"/>
          <w:highlight w:val="none"/>
        </w:rPr>
        <w:t>1.1 项目概况</w:t>
      </w:r>
      <w:r>
        <w:tab/>
      </w:r>
      <w:r>
        <w:fldChar w:fldCharType="begin"/>
      </w:r>
      <w:r>
        <w:instrText xml:space="preserve"> PAGEREF _Toc30630 \h </w:instrText>
      </w:r>
      <w:r>
        <w:fldChar w:fldCharType="separate"/>
      </w:r>
      <w:r>
        <w:t>17</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_Toc20390 </w:instrText>
      </w:r>
      <w:r>
        <w:rPr>
          <w:rFonts w:eastAsia="黑体"/>
          <w:highlight w:val="none"/>
        </w:rPr>
        <w:fldChar w:fldCharType="separate"/>
      </w:r>
      <w:r>
        <w:rPr>
          <w:rFonts w:hint="eastAsia" w:ascii="宋体" w:hAnsi="宋体" w:cs="宋体"/>
          <w:highlight w:val="none"/>
        </w:rPr>
        <w:t>1.2 资金来源和落实情况</w:t>
      </w:r>
      <w:r>
        <w:tab/>
      </w:r>
      <w:r>
        <w:fldChar w:fldCharType="begin"/>
      </w:r>
      <w:r>
        <w:instrText xml:space="preserve"> PAGEREF _Toc20390 \h </w:instrText>
      </w:r>
      <w:r>
        <w:fldChar w:fldCharType="separate"/>
      </w:r>
      <w:r>
        <w:t>17</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_Toc26273 </w:instrText>
      </w:r>
      <w:r>
        <w:rPr>
          <w:rFonts w:eastAsia="黑体"/>
          <w:highlight w:val="none"/>
        </w:rPr>
        <w:fldChar w:fldCharType="separate"/>
      </w:r>
      <w:r>
        <w:rPr>
          <w:rFonts w:hint="eastAsia" w:ascii="宋体" w:hAnsi="宋体" w:cs="宋体"/>
          <w:highlight w:val="none"/>
        </w:rPr>
        <w:t>1.3 招标范围、计划工期和质量要求</w:t>
      </w:r>
      <w:r>
        <w:tab/>
      </w:r>
      <w:r>
        <w:fldChar w:fldCharType="begin"/>
      </w:r>
      <w:r>
        <w:instrText xml:space="preserve"> PAGEREF _Toc26273 \h </w:instrText>
      </w:r>
      <w:r>
        <w:fldChar w:fldCharType="separate"/>
      </w:r>
      <w:r>
        <w:t>17</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_Toc1454 </w:instrText>
      </w:r>
      <w:r>
        <w:rPr>
          <w:rFonts w:eastAsia="黑体"/>
          <w:highlight w:val="none"/>
        </w:rPr>
        <w:fldChar w:fldCharType="separate"/>
      </w:r>
      <w:r>
        <w:rPr>
          <w:rFonts w:hint="eastAsia" w:ascii="宋体" w:hAnsi="宋体" w:cs="宋体"/>
          <w:highlight w:val="none"/>
        </w:rPr>
        <w:t>1.4 投标人资格要求</w:t>
      </w:r>
      <w:r>
        <w:tab/>
      </w:r>
      <w:r>
        <w:fldChar w:fldCharType="begin"/>
      </w:r>
      <w:r>
        <w:instrText xml:space="preserve"> PAGEREF _Toc1454 \h </w:instrText>
      </w:r>
      <w:r>
        <w:fldChar w:fldCharType="separate"/>
      </w:r>
      <w:r>
        <w:t>17</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_Toc31167 </w:instrText>
      </w:r>
      <w:r>
        <w:rPr>
          <w:rFonts w:eastAsia="黑体"/>
          <w:highlight w:val="none"/>
        </w:rPr>
        <w:fldChar w:fldCharType="separate"/>
      </w:r>
      <w:r>
        <w:rPr>
          <w:rFonts w:hint="eastAsia" w:ascii="宋体" w:hAnsi="宋体" w:cs="宋体"/>
          <w:highlight w:val="none"/>
        </w:rPr>
        <w:t>1.5</w:t>
      </w:r>
      <w:r>
        <w:rPr>
          <w:rFonts w:ascii="宋体" w:hAnsi="宋体" w:cs="宋体"/>
          <w:highlight w:val="none"/>
        </w:rPr>
        <w:t xml:space="preserve"> </w:t>
      </w:r>
      <w:r>
        <w:rPr>
          <w:rFonts w:hint="eastAsia"/>
          <w:highlight w:val="none"/>
        </w:rPr>
        <w:t>费用承担和设计成果补偿标准</w:t>
      </w:r>
      <w:r>
        <w:tab/>
      </w:r>
      <w:r>
        <w:fldChar w:fldCharType="begin"/>
      </w:r>
      <w:r>
        <w:instrText xml:space="preserve"> PAGEREF _Toc31167 \h </w:instrText>
      </w:r>
      <w:r>
        <w:fldChar w:fldCharType="separate"/>
      </w:r>
      <w:r>
        <w:t>18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_Toc29270 </w:instrText>
      </w:r>
      <w:r>
        <w:rPr>
          <w:rFonts w:eastAsia="黑体"/>
          <w:highlight w:val="none"/>
        </w:rPr>
        <w:fldChar w:fldCharType="separate"/>
      </w:r>
      <w:r>
        <w:rPr>
          <w:rFonts w:hint="eastAsia" w:ascii="宋体" w:hAnsi="宋体" w:cs="宋体"/>
          <w:highlight w:val="none"/>
        </w:rPr>
        <w:t>1.6 保密</w:t>
      </w:r>
      <w:r>
        <w:tab/>
      </w:r>
      <w:r>
        <w:fldChar w:fldCharType="begin"/>
      </w:r>
      <w:r>
        <w:instrText xml:space="preserve"> PAGEREF _Toc29270 \h </w:instrText>
      </w:r>
      <w:r>
        <w:fldChar w:fldCharType="separate"/>
      </w:r>
      <w:r>
        <w:t>18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_Toc28899 </w:instrText>
      </w:r>
      <w:r>
        <w:rPr>
          <w:rFonts w:eastAsia="黑体"/>
          <w:highlight w:val="none"/>
        </w:rPr>
        <w:fldChar w:fldCharType="separate"/>
      </w:r>
      <w:r>
        <w:rPr>
          <w:rFonts w:hint="eastAsia" w:ascii="宋体" w:hAnsi="宋体" w:cs="宋体"/>
          <w:highlight w:val="none"/>
        </w:rPr>
        <w:t>1.7 语言文字</w:t>
      </w:r>
      <w:r>
        <w:tab/>
      </w:r>
      <w:r>
        <w:fldChar w:fldCharType="begin"/>
      </w:r>
      <w:r>
        <w:instrText xml:space="preserve"> PAGEREF _Toc28899 \h </w:instrText>
      </w:r>
      <w:r>
        <w:fldChar w:fldCharType="separate"/>
      </w:r>
      <w:r>
        <w:t>19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_Toc18485 </w:instrText>
      </w:r>
      <w:r>
        <w:rPr>
          <w:rFonts w:eastAsia="黑体"/>
          <w:highlight w:val="none"/>
        </w:rPr>
        <w:fldChar w:fldCharType="separate"/>
      </w:r>
      <w:r>
        <w:rPr>
          <w:rFonts w:hint="eastAsia" w:ascii="宋体" w:hAnsi="宋体" w:cs="宋体"/>
          <w:highlight w:val="none"/>
        </w:rPr>
        <w:t>1.8 计量单位</w:t>
      </w:r>
      <w:r>
        <w:tab/>
      </w:r>
      <w:r>
        <w:fldChar w:fldCharType="begin"/>
      </w:r>
      <w:r>
        <w:instrText xml:space="preserve"> PAGEREF _Toc18485 \h </w:instrText>
      </w:r>
      <w:r>
        <w:fldChar w:fldCharType="separate"/>
      </w:r>
      <w:r>
        <w:t>19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_Toc25986 </w:instrText>
      </w:r>
      <w:r>
        <w:rPr>
          <w:rFonts w:eastAsia="黑体"/>
          <w:highlight w:val="none"/>
        </w:rPr>
        <w:fldChar w:fldCharType="separate"/>
      </w:r>
      <w:r>
        <w:rPr>
          <w:rFonts w:hint="eastAsia" w:ascii="宋体" w:hAnsi="宋体" w:cs="宋体"/>
          <w:highlight w:val="none"/>
        </w:rPr>
        <w:t>1.9 踏勘现场</w:t>
      </w:r>
      <w:r>
        <w:tab/>
      </w:r>
      <w:r>
        <w:fldChar w:fldCharType="begin"/>
      </w:r>
      <w:r>
        <w:instrText xml:space="preserve"> PAGEREF _Toc25986 \h </w:instrText>
      </w:r>
      <w:r>
        <w:fldChar w:fldCharType="separate"/>
      </w:r>
      <w:r>
        <w:t>19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_Toc3903 </w:instrText>
      </w:r>
      <w:r>
        <w:rPr>
          <w:rFonts w:eastAsia="黑体"/>
          <w:highlight w:val="none"/>
        </w:rPr>
        <w:fldChar w:fldCharType="separate"/>
      </w:r>
      <w:r>
        <w:rPr>
          <w:rFonts w:hint="eastAsia" w:ascii="宋体" w:hAnsi="宋体" w:cs="宋体"/>
          <w:highlight w:val="none"/>
        </w:rPr>
        <w:t>1.10</w:t>
      </w:r>
      <w:r>
        <w:rPr>
          <w:rFonts w:ascii="宋体" w:hAnsi="宋体" w:cs="宋体"/>
          <w:highlight w:val="none"/>
        </w:rPr>
        <w:t xml:space="preserve"> </w:t>
      </w:r>
      <w:r>
        <w:rPr>
          <w:rFonts w:hint="eastAsia" w:ascii="宋体" w:hAnsi="宋体" w:cs="宋体"/>
          <w:highlight w:val="none"/>
        </w:rPr>
        <w:t>分包</w:t>
      </w:r>
      <w:r>
        <w:tab/>
      </w:r>
      <w:r>
        <w:fldChar w:fldCharType="begin"/>
      </w:r>
      <w:r>
        <w:instrText xml:space="preserve"> PAGEREF _Toc3903 \h </w:instrText>
      </w:r>
      <w:r>
        <w:fldChar w:fldCharType="separate"/>
      </w:r>
      <w:r>
        <w:t>19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_Toc2765 </w:instrText>
      </w:r>
      <w:r>
        <w:rPr>
          <w:rFonts w:eastAsia="黑体"/>
          <w:highlight w:val="none"/>
        </w:rPr>
        <w:fldChar w:fldCharType="separate"/>
      </w:r>
      <w:r>
        <w:rPr>
          <w:rFonts w:hint="eastAsia" w:ascii="宋体" w:hAnsi="宋体" w:cs="宋体"/>
          <w:highlight w:val="none"/>
        </w:rPr>
        <w:t>1.1</w:t>
      </w:r>
      <w:r>
        <w:rPr>
          <w:rFonts w:hint="eastAsia" w:ascii="宋体" w:hAnsi="宋体" w:cs="宋体"/>
          <w:highlight w:val="none"/>
          <w:lang w:val="en-US" w:eastAsia="zh-CN"/>
        </w:rPr>
        <w:t>1</w:t>
      </w:r>
      <w:r>
        <w:rPr>
          <w:rFonts w:ascii="宋体" w:hAnsi="宋体" w:cs="宋体"/>
          <w:highlight w:val="none"/>
        </w:rPr>
        <w:t xml:space="preserve"> </w:t>
      </w:r>
      <w:r>
        <w:rPr>
          <w:rFonts w:hint="eastAsia" w:ascii="宋体" w:hAnsi="宋体" w:cs="宋体"/>
          <w:highlight w:val="none"/>
        </w:rPr>
        <w:t>知识产权</w:t>
      </w:r>
      <w:r>
        <w:tab/>
      </w:r>
      <w:r>
        <w:fldChar w:fldCharType="begin"/>
      </w:r>
      <w:r>
        <w:instrText xml:space="preserve"> PAGEREF _Toc2765 \h </w:instrText>
      </w:r>
      <w:r>
        <w:fldChar w:fldCharType="separate"/>
      </w:r>
      <w:r>
        <w:t>19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_Toc29893 </w:instrText>
      </w:r>
      <w:r>
        <w:rPr>
          <w:rFonts w:eastAsia="黑体"/>
          <w:highlight w:val="none"/>
        </w:rPr>
        <w:fldChar w:fldCharType="separate"/>
      </w:r>
      <w:r>
        <w:rPr>
          <w:rFonts w:hint="eastAsia" w:ascii="宋体" w:hAnsi="宋体" w:cs="宋体"/>
          <w:highlight w:val="none"/>
        </w:rPr>
        <w:t>1.1</w:t>
      </w:r>
      <w:r>
        <w:rPr>
          <w:rFonts w:hint="eastAsia" w:ascii="宋体" w:hAnsi="宋体" w:cs="宋体"/>
          <w:highlight w:val="none"/>
          <w:lang w:val="en-US" w:eastAsia="zh-CN"/>
        </w:rPr>
        <w:t>2</w:t>
      </w:r>
      <w:r>
        <w:rPr>
          <w:rFonts w:ascii="宋体" w:hAnsi="宋体" w:cs="宋体"/>
          <w:highlight w:val="none"/>
        </w:rPr>
        <w:t xml:space="preserve">  </w:t>
      </w:r>
      <w:r>
        <w:rPr>
          <w:rFonts w:hint="eastAsia" w:ascii="宋体" w:hAnsi="宋体" w:cs="宋体"/>
          <w:highlight w:val="none"/>
        </w:rPr>
        <w:t>同义词语</w:t>
      </w:r>
      <w:r>
        <w:tab/>
      </w:r>
      <w:r>
        <w:fldChar w:fldCharType="begin"/>
      </w:r>
      <w:r>
        <w:instrText xml:space="preserve"> PAGEREF _Toc29893 \h </w:instrText>
      </w:r>
      <w:r>
        <w:fldChar w:fldCharType="separate"/>
      </w:r>
      <w:r>
        <w:t>19</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_Toc3114 </w:instrText>
      </w:r>
      <w:r>
        <w:rPr>
          <w:rFonts w:eastAsia="黑体"/>
          <w:highlight w:val="none"/>
        </w:rPr>
        <w:fldChar w:fldCharType="separate"/>
      </w:r>
      <w:r>
        <w:rPr>
          <w:rFonts w:hint="eastAsia" w:ascii="宋体" w:hAnsi="宋体" w:cs="宋体"/>
          <w:highlight w:val="none"/>
        </w:rPr>
        <w:t>2 招标文件</w:t>
      </w:r>
      <w:r>
        <w:tab/>
      </w:r>
      <w:r>
        <w:fldChar w:fldCharType="begin"/>
      </w:r>
      <w:r>
        <w:instrText xml:space="preserve"> PAGEREF _Toc3114 \h </w:instrText>
      </w:r>
      <w:r>
        <w:fldChar w:fldCharType="separate"/>
      </w:r>
      <w:r>
        <w:t>19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_Toc17539 </w:instrText>
      </w:r>
      <w:r>
        <w:rPr>
          <w:rFonts w:eastAsia="黑体"/>
          <w:highlight w:val="none"/>
        </w:rPr>
        <w:fldChar w:fldCharType="separate"/>
      </w:r>
      <w:r>
        <w:rPr>
          <w:rFonts w:hint="eastAsia" w:ascii="宋体" w:hAnsi="宋体" w:cs="宋体"/>
          <w:highlight w:val="none"/>
        </w:rPr>
        <w:t>2.1 招标文件的组成</w:t>
      </w:r>
      <w:r>
        <w:tab/>
      </w:r>
      <w:r>
        <w:fldChar w:fldCharType="begin"/>
      </w:r>
      <w:r>
        <w:instrText xml:space="preserve"> PAGEREF _Toc17539 \h </w:instrText>
      </w:r>
      <w:r>
        <w:fldChar w:fldCharType="separate"/>
      </w:r>
      <w:r>
        <w:t>19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_Toc25739 </w:instrText>
      </w:r>
      <w:r>
        <w:rPr>
          <w:rFonts w:eastAsia="黑体"/>
          <w:highlight w:val="none"/>
        </w:rPr>
        <w:fldChar w:fldCharType="separate"/>
      </w:r>
      <w:r>
        <w:rPr>
          <w:rFonts w:hint="eastAsia" w:ascii="宋体" w:hAnsi="宋体" w:cs="宋体"/>
          <w:highlight w:val="none"/>
        </w:rPr>
        <w:t>2.2 招标文件的澄清</w:t>
      </w:r>
      <w:r>
        <w:tab/>
      </w:r>
      <w:r>
        <w:fldChar w:fldCharType="begin"/>
      </w:r>
      <w:r>
        <w:instrText xml:space="preserve"> PAGEREF _Toc25739 \h </w:instrText>
      </w:r>
      <w:r>
        <w:fldChar w:fldCharType="separate"/>
      </w:r>
      <w:r>
        <w:t>20</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_Toc6953 </w:instrText>
      </w:r>
      <w:r>
        <w:rPr>
          <w:rFonts w:eastAsia="黑体"/>
          <w:highlight w:val="none"/>
        </w:rPr>
        <w:fldChar w:fldCharType="separate"/>
      </w:r>
      <w:r>
        <w:rPr>
          <w:rFonts w:hint="eastAsia" w:ascii="宋体" w:hAnsi="宋体" w:cs="宋体"/>
          <w:highlight w:val="none"/>
        </w:rPr>
        <w:t>2.3 招标文件的修改</w:t>
      </w:r>
      <w:r>
        <w:tab/>
      </w:r>
      <w:r>
        <w:fldChar w:fldCharType="begin"/>
      </w:r>
      <w:r>
        <w:instrText xml:space="preserve"> PAGEREF _Toc6953 \h </w:instrText>
      </w:r>
      <w:r>
        <w:fldChar w:fldCharType="separate"/>
      </w:r>
      <w:r>
        <w:t>20</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_Toc7521 </w:instrText>
      </w:r>
      <w:r>
        <w:rPr>
          <w:rFonts w:eastAsia="黑体"/>
          <w:highlight w:val="none"/>
        </w:rPr>
        <w:fldChar w:fldCharType="separate"/>
      </w:r>
      <w:r>
        <w:rPr>
          <w:rFonts w:hint="eastAsia" w:ascii="宋体" w:hAnsi="宋体" w:cs="宋体"/>
          <w:highlight w:val="none"/>
        </w:rPr>
        <w:t>2.4 最高投标限价</w:t>
      </w:r>
      <w:r>
        <w:tab/>
      </w:r>
      <w:r>
        <w:fldChar w:fldCharType="begin"/>
      </w:r>
      <w:r>
        <w:instrText xml:space="preserve"> PAGEREF _Toc7521 \h </w:instrText>
      </w:r>
      <w:r>
        <w:fldChar w:fldCharType="separate"/>
      </w:r>
      <w:r>
        <w:t>20</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_Toc9715 </w:instrText>
      </w:r>
      <w:r>
        <w:rPr>
          <w:rFonts w:eastAsia="黑体"/>
          <w:highlight w:val="none"/>
        </w:rPr>
        <w:fldChar w:fldCharType="separate"/>
      </w:r>
      <w:r>
        <w:rPr>
          <w:rFonts w:hint="eastAsia" w:ascii="宋体" w:hAnsi="宋体" w:cs="宋体"/>
          <w:highlight w:val="none"/>
        </w:rPr>
        <w:t>2.5</w:t>
      </w:r>
      <w:r>
        <w:rPr>
          <w:rFonts w:ascii="宋体" w:hAnsi="宋体"/>
          <w:szCs w:val="21"/>
          <w:highlight w:val="none"/>
        </w:rPr>
        <w:t>招标文件的异议</w:t>
      </w:r>
      <w:r>
        <w:tab/>
      </w:r>
      <w:r>
        <w:fldChar w:fldCharType="begin"/>
      </w:r>
      <w:r>
        <w:instrText xml:space="preserve"> PAGEREF _Toc9715 \h </w:instrText>
      </w:r>
      <w:r>
        <w:fldChar w:fldCharType="separate"/>
      </w:r>
      <w:r>
        <w:t>20</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_Toc6715 </w:instrText>
      </w:r>
      <w:r>
        <w:rPr>
          <w:rFonts w:eastAsia="黑体"/>
          <w:highlight w:val="none"/>
        </w:rPr>
        <w:fldChar w:fldCharType="separate"/>
      </w:r>
      <w:r>
        <w:rPr>
          <w:rFonts w:hint="eastAsia" w:ascii="宋体" w:hAnsi="宋体" w:cs="宋体"/>
          <w:highlight w:val="none"/>
        </w:rPr>
        <w:t>3 投标文件</w:t>
      </w:r>
      <w:r>
        <w:tab/>
      </w:r>
      <w:r>
        <w:fldChar w:fldCharType="begin"/>
      </w:r>
      <w:r>
        <w:instrText xml:space="preserve"> PAGEREF _Toc6715 \h </w:instrText>
      </w:r>
      <w:r>
        <w:fldChar w:fldCharType="separate"/>
      </w:r>
      <w:r>
        <w:t>21</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_Toc8279 </w:instrText>
      </w:r>
      <w:r>
        <w:rPr>
          <w:rFonts w:eastAsia="黑体"/>
          <w:highlight w:val="none"/>
        </w:rPr>
        <w:fldChar w:fldCharType="separate"/>
      </w:r>
      <w:r>
        <w:rPr>
          <w:rFonts w:hint="eastAsia" w:ascii="宋体" w:hAnsi="宋体" w:cs="宋体"/>
          <w:highlight w:val="none"/>
        </w:rPr>
        <w:t>3.1 投标文件的组成</w:t>
      </w:r>
      <w:r>
        <w:tab/>
      </w:r>
      <w:r>
        <w:fldChar w:fldCharType="begin"/>
      </w:r>
      <w:r>
        <w:instrText xml:space="preserve"> PAGEREF _Toc8279 \h </w:instrText>
      </w:r>
      <w:r>
        <w:fldChar w:fldCharType="separate"/>
      </w:r>
      <w:r>
        <w:t>21</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_Toc32342 </w:instrText>
      </w:r>
      <w:r>
        <w:rPr>
          <w:rFonts w:eastAsia="黑体"/>
          <w:highlight w:val="none"/>
        </w:rPr>
        <w:fldChar w:fldCharType="separate"/>
      </w:r>
      <w:r>
        <w:rPr>
          <w:rFonts w:hint="eastAsia" w:ascii="宋体" w:hAnsi="宋体" w:cs="宋体"/>
          <w:highlight w:val="none"/>
        </w:rPr>
        <w:t>3.2 投标报价</w:t>
      </w:r>
      <w:r>
        <w:tab/>
      </w:r>
      <w:r>
        <w:fldChar w:fldCharType="begin"/>
      </w:r>
      <w:r>
        <w:instrText xml:space="preserve"> PAGEREF _Toc32342 \h </w:instrText>
      </w:r>
      <w:r>
        <w:fldChar w:fldCharType="separate"/>
      </w:r>
      <w:r>
        <w:t>21</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_Toc2002 </w:instrText>
      </w:r>
      <w:r>
        <w:rPr>
          <w:rFonts w:eastAsia="黑体"/>
          <w:highlight w:val="none"/>
        </w:rPr>
        <w:fldChar w:fldCharType="separate"/>
      </w:r>
      <w:r>
        <w:rPr>
          <w:rFonts w:hint="eastAsia" w:ascii="宋体" w:hAnsi="宋体" w:cs="宋体"/>
          <w:highlight w:val="none"/>
        </w:rPr>
        <w:t>3.3 投标有效期</w:t>
      </w:r>
      <w:r>
        <w:tab/>
      </w:r>
      <w:r>
        <w:fldChar w:fldCharType="begin"/>
      </w:r>
      <w:r>
        <w:instrText xml:space="preserve"> PAGEREF _Toc2002 \h </w:instrText>
      </w:r>
      <w:r>
        <w:fldChar w:fldCharType="separate"/>
      </w:r>
      <w:r>
        <w:t>21</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_Toc25506 </w:instrText>
      </w:r>
      <w:r>
        <w:rPr>
          <w:rFonts w:eastAsia="黑体"/>
          <w:highlight w:val="none"/>
        </w:rPr>
        <w:fldChar w:fldCharType="separate"/>
      </w:r>
      <w:r>
        <w:rPr>
          <w:rFonts w:hint="eastAsia" w:ascii="宋体" w:hAnsi="宋体" w:cs="宋体"/>
          <w:highlight w:val="none"/>
        </w:rPr>
        <w:t>3.4 投标保证金</w:t>
      </w:r>
      <w:r>
        <w:tab/>
      </w:r>
      <w:r>
        <w:fldChar w:fldCharType="begin"/>
      </w:r>
      <w:r>
        <w:instrText xml:space="preserve"> PAGEREF _Toc25506 \h </w:instrText>
      </w:r>
      <w:r>
        <w:fldChar w:fldCharType="separate"/>
      </w:r>
      <w:r>
        <w:t>21</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_Toc32595 </w:instrText>
      </w:r>
      <w:r>
        <w:rPr>
          <w:rFonts w:eastAsia="黑体"/>
          <w:highlight w:val="none"/>
        </w:rPr>
        <w:fldChar w:fldCharType="separate"/>
      </w:r>
      <w:r>
        <w:rPr>
          <w:rFonts w:hint="eastAsia" w:ascii="宋体" w:hAnsi="宋体" w:cs="宋体"/>
          <w:highlight w:val="none"/>
        </w:rPr>
        <w:t>3.5 备选投标方案</w:t>
      </w:r>
      <w:r>
        <w:tab/>
      </w:r>
      <w:r>
        <w:fldChar w:fldCharType="begin"/>
      </w:r>
      <w:r>
        <w:instrText xml:space="preserve"> PAGEREF _Toc32595 \h </w:instrText>
      </w:r>
      <w:r>
        <w:fldChar w:fldCharType="separate"/>
      </w:r>
      <w:r>
        <w:t>22</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_Toc5904 </w:instrText>
      </w:r>
      <w:r>
        <w:rPr>
          <w:rFonts w:eastAsia="黑体"/>
          <w:highlight w:val="none"/>
        </w:rPr>
        <w:fldChar w:fldCharType="separate"/>
      </w:r>
      <w:r>
        <w:rPr>
          <w:rFonts w:hint="eastAsia" w:ascii="宋体" w:hAnsi="宋体" w:cs="宋体"/>
          <w:highlight w:val="none"/>
        </w:rPr>
        <w:t>3.6 资格审查资料及项目管理机构加分资料</w:t>
      </w:r>
      <w:r>
        <w:rPr>
          <w:rFonts w:hint="eastAsia" w:ascii="宋体" w:hAnsi="宋体" w:cs="宋体"/>
          <w:highlight w:val="none"/>
          <w:lang w:val="en-US" w:eastAsia="zh-CN"/>
        </w:rPr>
        <w:t>、工程业绩加分资料</w:t>
      </w:r>
      <w:r>
        <w:tab/>
      </w:r>
      <w:r>
        <w:fldChar w:fldCharType="begin"/>
      </w:r>
      <w:r>
        <w:instrText xml:space="preserve"> PAGEREF _Toc5904 \h </w:instrText>
      </w:r>
      <w:r>
        <w:fldChar w:fldCharType="separate"/>
      </w:r>
      <w:r>
        <w:t>22</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_Toc26332 </w:instrText>
      </w:r>
      <w:r>
        <w:rPr>
          <w:rFonts w:eastAsia="黑体"/>
          <w:highlight w:val="none"/>
        </w:rPr>
        <w:fldChar w:fldCharType="separate"/>
      </w:r>
      <w:r>
        <w:rPr>
          <w:rFonts w:hint="eastAsia" w:ascii="宋体" w:hAnsi="宋体" w:cs="宋体"/>
          <w:highlight w:val="none"/>
        </w:rPr>
        <w:t>3.7 投标文件的编制</w:t>
      </w:r>
      <w:r>
        <w:tab/>
      </w:r>
      <w:r>
        <w:fldChar w:fldCharType="begin"/>
      </w:r>
      <w:r>
        <w:instrText xml:space="preserve"> PAGEREF _Toc26332 \h </w:instrText>
      </w:r>
      <w:r>
        <w:fldChar w:fldCharType="separate"/>
      </w:r>
      <w:r>
        <w:t>23</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_Toc27678 </w:instrText>
      </w:r>
      <w:r>
        <w:rPr>
          <w:rFonts w:eastAsia="黑体"/>
          <w:highlight w:val="none"/>
        </w:rPr>
        <w:fldChar w:fldCharType="separate"/>
      </w:r>
      <w:r>
        <w:rPr>
          <w:rFonts w:hint="eastAsia" w:ascii="宋体" w:hAnsi="宋体" w:cs="宋体"/>
          <w:highlight w:val="none"/>
        </w:rPr>
        <w:t>4 投标</w:t>
      </w:r>
      <w:r>
        <w:tab/>
      </w:r>
      <w:r>
        <w:fldChar w:fldCharType="begin"/>
      </w:r>
      <w:r>
        <w:instrText xml:space="preserve"> PAGEREF _Toc27678 \h </w:instrText>
      </w:r>
      <w:r>
        <w:fldChar w:fldCharType="separate"/>
      </w:r>
      <w:r>
        <w:t>24</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_Toc4433 </w:instrText>
      </w:r>
      <w:r>
        <w:rPr>
          <w:rFonts w:eastAsia="黑体"/>
          <w:highlight w:val="none"/>
        </w:rPr>
        <w:fldChar w:fldCharType="separate"/>
      </w:r>
      <w:r>
        <w:rPr>
          <w:rFonts w:hint="eastAsia" w:ascii="宋体" w:hAnsi="宋体" w:cs="宋体"/>
          <w:highlight w:val="none"/>
        </w:rPr>
        <w:t xml:space="preserve">4.1 </w:t>
      </w:r>
      <w:r>
        <w:rPr>
          <w:rFonts w:hint="eastAsia" w:ascii="宋体" w:hAnsi="宋体" w:cs="宋体"/>
          <w:szCs w:val="24"/>
          <w:highlight w:val="none"/>
        </w:rPr>
        <w:t>投标文件</w:t>
      </w:r>
      <w:r>
        <w:rPr>
          <w:rFonts w:hint="eastAsia" w:ascii="宋体" w:hAnsi="宋体" w:cs="宋体"/>
          <w:szCs w:val="24"/>
          <w:highlight w:val="none"/>
          <w:lang w:val="en-US" w:eastAsia="zh-CN"/>
        </w:rPr>
        <w:t>的加密</w:t>
      </w:r>
      <w:r>
        <w:tab/>
      </w:r>
      <w:r>
        <w:fldChar w:fldCharType="begin"/>
      </w:r>
      <w:r>
        <w:instrText xml:space="preserve"> PAGEREF _Toc4433 \h </w:instrText>
      </w:r>
      <w:r>
        <w:fldChar w:fldCharType="separate"/>
      </w:r>
      <w:r>
        <w:t>24</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_Toc2562 </w:instrText>
      </w:r>
      <w:r>
        <w:rPr>
          <w:rFonts w:eastAsia="黑体"/>
          <w:highlight w:val="none"/>
        </w:rPr>
        <w:fldChar w:fldCharType="separate"/>
      </w:r>
      <w:r>
        <w:rPr>
          <w:rFonts w:hint="eastAsia" w:ascii="宋体" w:hAnsi="宋体" w:cs="宋体"/>
          <w:highlight w:val="none"/>
        </w:rPr>
        <w:t>4.2 投标文件的</w:t>
      </w:r>
      <w:r>
        <w:rPr>
          <w:rFonts w:hint="eastAsia" w:ascii="宋体" w:hAnsi="宋体" w:cs="宋体"/>
          <w:highlight w:val="none"/>
          <w:lang w:eastAsia="zh-CN"/>
        </w:rPr>
        <w:t>提交</w:t>
      </w:r>
      <w:r>
        <w:tab/>
      </w:r>
      <w:r>
        <w:fldChar w:fldCharType="begin"/>
      </w:r>
      <w:r>
        <w:instrText xml:space="preserve"> PAGEREF _Toc2562 \h </w:instrText>
      </w:r>
      <w:r>
        <w:fldChar w:fldCharType="separate"/>
      </w:r>
      <w:r>
        <w:t>24</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_Toc4487 </w:instrText>
      </w:r>
      <w:r>
        <w:rPr>
          <w:rFonts w:eastAsia="黑体"/>
          <w:highlight w:val="none"/>
        </w:rPr>
        <w:fldChar w:fldCharType="separate"/>
      </w:r>
      <w:r>
        <w:rPr>
          <w:rFonts w:hint="eastAsia" w:ascii="宋体" w:hAnsi="宋体" w:cs="宋体"/>
          <w:highlight w:val="none"/>
        </w:rPr>
        <w:t>4.3 投标文件的修改与撤回</w:t>
      </w:r>
      <w:r>
        <w:tab/>
      </w:r>
      <w:r>
        <w:fldChar w:fldCharType="begin"/>
      </w:r>
      <w:r>
        <w:instrText xml:space="preserve"> PAGEREF _Toc4487 \h </w:instrText>
      </w:r>
      <w:r>
        <w:fldChar w:fldCharType="separate"/>
      </w:r>
      <w:r>
        <w:t>24</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_Toc2527 </w:instrText>
      </w:r>
      <w:r>
        <w:rPr>
          <w:rFonts w:eastAsia="黑体"/>
          <w:highlight w:val="none"/>
        </w:rPr>
        <w:fldChar w:fldCharType="separate"/>
      </w:r>
      <w:r>
        <w:rPr>
          <w:rFonts w:hint="eastAsia" w:ascii="宋体" w:hAnsi="宋体" w:cs="宋体"/>
          <w:highlight w:val="none"/>
        </w:rPr>
        <w:t>5 开标</w:t>
      </w:r>
      <w:r>
        <w:tab/>
      </w:r>
      <w:r>
        <w:fldChar w:fldCharType="begin"/>
      </w:r>
      <w:r>
        <w:instrText xml:space="preserve"> PAGEREF _Toc2527 \h </w:instrText>
      </w:r>
      <w:r>
        <w:fldChar w:fldCharType="separate"/>
      </w:r>
      <w:r>
        <w:t>24</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_Toc30345 </w:instrText>
      </w:r>
      <w:r>
        <w:rPr>
          <w:rFonts w:eastAsia="黑体"/>
          <w:highlight w:val="none"/>
        </w:rPr>
        <w:fldChar w:fldCharType="separate"/>
      </w:r>
      <w:r>
        <w:rPr>
          <w:rFonts w:hint="eastAsia" w:ascii="宋体" w:hAnsi="宋体" w:cs="宋体"/>
          <w:highlight w:val="none"/>
        </w:rPr>
        <w:t>5.1 开标时间、地点和开标会要求</w:t>
      </w:r>
      <w:r>
        <w:tab/>
      </w:r>
      <w:r>
        <w:fldChar w:fldCharType="begin"/>
      </w:r>
      <w:r>
        <w:instrText xml:space="preserve"> PAGEREF _Toc30345 \h </w:instrText>
      </w:r>
      <w:r>
        <w:fldChar w:fldCharType="separate"/>
      </w:r>
      <w:r>
        <w:t>24</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_Toc13131 </w:instrText>
      </w:r>
      <w:r>
        <w:rPr>
          <w:rFonts w:eastAsia="黑体"/>
          <w:highlight w:val="none"/>
        </w:rPr>
        <w:fldChar w:fldCharType="separate"/>
      </w:r>
      <w:r>
        <w:rPr>
          <w:rFonts w:hint="eastAsia" w:ascii="宋体" w:hAnsi="宋体" w:cs="宋体"/>
          <w:highlight w:val="none"/>
        </w:rPr>
        <w:t>5.2 开标程序</w:t>
      </w:r>
      <w:r>
        <w:tab/>
      </w:r>
      <w:r>
        <w:fldChar w:fldCharType="begin"/>
      </w:r>
      <w:r>
        <w:instrText xml:space="preserve"> PAGEREF _Toc13131 \h </w:instrText>
      </w:r>
      <w:r>
        <w:fldChar w:fldCharType="separate"/>
      </w:r>
      <w:r>
        <w:t>24</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_Toc19888 </w:instrText>
      </w:r>
      <w:r>
        <w:rPr>
          <w:rFonts w:eastAsia="黑体"/>
          <w:highlight w:val="none"/>
        </w:rPr>
        <w:fldChar w:fldCharType="separate"/>
      </w:r>
      <w:r>
        <w:rPr>
          <w:rFonts w:hint="eastAsia" w:ascii="宋体" w:hAnsi="宋体" w:cs="宋体"/>
          <w:highlight w:val="none"/>
        </w:rPr>
        <w:t>6 评标</w:t>
      </w:r>
      <w:r>
        <w:tab/>
      </w:r>
      <w:r>
        <w:fldChar w:fldCharType="begin"/>
      </w:r>
      <w:r>
        <w:instrText xml:space="preserve"> PAGEREF _Toc19888 \h </w:instrText>
      </w:r>
      <w:r>
        <w:fldChar w:fldCharType="separate"/>
      </w:r>
      <w:r>
        <w:t>25</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_Toc16815 </w:instrText>
      </w:r>
      <w:r>
        <w:rPr>
          <w:rFonts w:eastAsia="黑体"/>
          <w:highlight w:val="none"/>
        </w:rPr>
        <w:fldChar w:fldCharType="separate"/>
      </w:r>
      <w:r>
        <w:rPr>
          <w:rFonts w:hint="eastAsia" w:ascii="宋体" w:hAnsi="宋体" w:cs="宋体"/>
          <w:highlight w:val="none"/>
        </w:rPr>
        <w:t>6.1 评标委员会</w:t>
      </w:r>
      <w:r>
        <w:tab/>
      </w:r>
      <w:r>
        <w:fldChar w:fldCharType="begin"/>
      </w:r>
      <w:r>
        <w:instrText xml:space="preserve"> PAGEREF _Toc16815 \h </w:instrText>
      </w:r>
      <w:r>
        <w:fldChar w:fldCharType="separate"/>
      </w:r>
      <w:r>
        <w:t>25</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_Toc15514 </w:instrText>
      </w:r>
      <w:r>
        <w:rPr>
          <w:rFonts w:eastAsia="黑体"/>
          <w:highlight w:val="none"/>
        </w:rPr>
        <w:fldChar w:fldCharType="separate"/>
      </w:r>
      <w:r>
        <w:rPr>
          <w:rFonts w:hint="eastAsia" w:ascii="宋体" w:hAnsi="宋体" w:cs="宋体"/>
          <w:highlight w:val="none"/>
        </w:rPr>
        <w:t>6.2 评标原则</w:t>
      </w:r>
      <w:r>
        <w:tab/>
      </w:r>
      <w:r>
        <w:fldChar w:fldCharType="begin"/>
      </w:r>
      <w:r>
        <w:instrText xml:space="preserve"> PAGEREF _Toc15514 \h </w:instrText>
      </w:r>
      <w:r>
        <w:fldChar w:fldCharType="separate"/>
      </w:r>
      <w:r>
        <w:t>26</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_Toc9681 </w:instrText>
      </w:r>
      <w:r>
        <w:rPr>
          <w:rFonts w:eastAsia="黑体"/>
          <w:highlight w:val="none"/>
        </w:rPr>
        <w:fldChar w:fldCharType="separate"/>
      </w:r>
      <w:r>
        <w:rPr>
          <w:rFonts w:hint="eastAsia" w:ascii="宋体" w:hAnsi="宋体" w:cs="宋体"/>
          <w:highlight w:val="none"/>
        </w:rPr>
        <w:t>6.3 评标</w:t>
      </w:r>
      <w:r>
        <w:tab/>
      </w:r>
      <w:r>
        <w:fldChar w:fldCharType="begin"/>
      </w:r>
      <w:r>
        <w:instrText xml:space="preserve"> PAGEREF _Toc9681 \h </w:instrText>
      </w:r>
      <w:r>
        <w:fldChar w:fldCharType="separate"/>
      </w:r>
      <w:r>
        <w:t>26</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_Toc53 </w:instrText>
      </w:r>
      <w:r>
        <w:rPr>
          <w:rFonts w:eastAsia="黑体"/>
          <w:highlight w:val="none"/>
        </w:rPr>
        <w:fldChar w:fldCharType="separate"/>
      </w:r>
      <w:r>
        <w:rPr>
          <w:rFonts w:hint="eastAsia" w:ascii="宋体" w:hAnsi="宋体" w:cs="宋体"/>
          <w:highlight w:val="none"/>
        </w:rPr>
        <w:t>6.4 评标结果公示</w:t>
      </w:r>
      <w:r>
        <w:tab/>
      </w:r>
      <w:r>
        <w:fldChar w:fldCharType="begin"/>
      </w:r>
      <w:r>
        <w:instrText xml:space="preserve"> PAGEREF _Toc53 \h </w:instrText>
      </w:r>
      <w:r>
        <w:fldChar w:fldCharType="separate"/>
      </w:r>
      <w:r>
        <w:t>26</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_Toc803 </w:instrText>
      </w:r>
      <w:r>
        <w:rPr>
          <w:rFonts w:eastAsia="黑体"/>
          <w:highlight w:val="none"/>
        </w:rPr>
        <w:fldChar w:fldCharType="separate"/>
      </w:r>
      <w:r>
        <w:rPr>
          <w:rFonts w:hint="eastAsia" w:ascii="宋体" w:hAnsi="宋体" w:cs="宋体"/>
          <w:highlight w:val="none"/>
        </w:rPr>
        <w:t>7 合同授予</w:t>
      </w:r>
      <w:r>
        <w:tab/>
      </w:r>
      <w:r>
        <w:fldChar w:fldCharType="begin"/>
      </w:r>
      <w:r>
        <w:instrText xml:space="preserve"> PAGEREF _Toc803 \h </w:instrText>
      </w:r>
      <w:r>
        <w:fldChar w:fldCharType="separate"/>
      </w:r>
      <w:r>
        <w:t>26</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_Toc1915 </w:instrText>
      </w:r>
      <w:r>
        <w:rPr>
          <w:rFonts w:eastAsia="黑体"/>
          <w:highlight w:val="none"/>
        </w:rPr>
        <w:fldChar w:fldCharType="separate"/>
      </w:r>
      <w:r>
        <w:rPr>
          <w:rFonts w:hint="eastAsia" w:ascii="宋体" w:hAnsi="宋体" w:cs="宋体"/>
          <w:highlight w:val="none"/>
        </w:rPr>
        <w:t>7.1 定标方式</w:t>
      </w:r>
      <w:r>
        <w:tab/>
      </w:r>
      <w:r>
        <w:fldChar w:fldCharType="begin"/>
      </w:r>
      <w:r>
        <w:instrText xml:space="preserve"> PAGEREF _Toc1915 \h </w:instrText>
      </w:r>
      <w:r>
        <w:fldChar w:fldCharType="separate"/>
      </w:r>
      <w:r>
        <w:t>26</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_Toc18620 </w:instrText>
      </w:r>
      <w:r>
        <w:rPr>
          <w:rFonts w:eastAsia="黑体"/>
          <w:highlight w:val="none"/>
        </w:rPr>
        <w:fldChar w:fldCharType="separate"/>
      </w:r>
      <w:r>
        <w:rPr>
          <w:rFonts w:hint="eastAsia" w:ascii="宋体" w:hAnsi="宋体" w:cs="宋体"/>
          <w:highlight w:val="none"/>
        </w:rPr>
        <w:t>7.2 中标通知、</w:t>
      </w:r>
      <w:r>
        <w:rPr>
          <w:rFonts w:hint="eastAsia"/>
          <w:snapToGrid w:val="0"/>
          <w:kern w:val="32"/>
          <w:szCs w:val="20"/>
          <w:highlight w:val="none"/>
        </w:rPr>
        <w:t>拟定中标人公示</w:t>
      </w:r>
      <w:r>
        <w:rPr>
          <w:rFonts w:hint="eastAsia" w:ascii="宋体" w:hAnsi="宋体" w:cs="宋体"/>
          <w:highlight w:val="none"/>
        </w:rPr>
        <w:t>及中标结果公告</w:t>
      </w:r>
      <w:r>
        <w:tab/>
      </w:r>
      <w:r>
        <w:fldChar w:fldCharType="begin"/>
      </w:r>
      <w:r>
        <w:instrText xml:space="preserve"> PAGEREF _Toc18620 \h </w:instrText>
      </w:r>
      <w:r>
        <w:fldChar w:fldCharType="separate"/>
      </w:r>
      <w:r>
        <w:t>27</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_Toc30985 </w:instrText>
      </w:r>
      <w:r>
        <w:rPr>
          <w:rFonts w:eastAsia="黑体"/>
          <w:highlight w:val="none"/>
        </w:rPr>
        <w:fldChar w:fldCharType="separate"/>
      </w:r>
      <w:r>
        <w:rPr>
          <w:rFonts w:hint="eastAsia" w:ascii="宋体" w:hAnsi="宋体" w:cs="宋体"/>
          <w:highlight w:val="none"/>
        </w:rPr>
        <w:t>7.3 履约保证金</w:t>
      </w:r>
      <w:r>
        <w:tab/>
      </w:r>
      <w:r>
        <w:fldChar w:fldCharType="begin"/>
      </w:r>
      <w:r>
        <w:instrText xml:space="preserve"> PAGEREF _Toc30985 \h </w:instrText>
      </w:r>
      <w:r>
        <w:fldChar w:fldCharType="separate"/>
      </w:r>
      <w:r>
        <w:t>27</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_Toc12069 </w:instrText>
      </w:r>
      <w:r>
        <w:rPr>
          <w:rFonts w:eastAsia="黑体"/>
          <w:highlight w:val="none"/>
        </w:rPr>
        <w:fldChar w:fldCharType="separate"/>
      </w:r>
      <w:r>
        <w:rPr>
          <w:rFonts w:hint="eastAsia" w:ascii="宋体" w:hAnsi="宋体" w:cs="宋体"/>
          <w:highlight w:val="none"/>
        </w:rPr>
        <w:t>7.4 签订合同</w:t>
      </w:r>
      <w:r>
        <w:tab/>
      </w:r>
      <w:r>
        <w:fldChar w:fldCharType="begin"/>
      </w:r>
      <w:r>
        <w:instrText xml:space="preserve"> PAGEREF _Toc12069 \h </w:instrText>
      </w:r>
      <w:r>
        <w:fldChar w:fldCharType="separate"/>
      </w:r>
      <w:r>
        <w:t>27</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_Toc3639 </w:instrText>
      </w:r>
      <w:r>
        <w:rPr>
          <w:rFonts w:eastAsia="黑体"/>
          <w:highlight w:val="none"/>
        </w:rPr>
        <w:fldChar w:fldCharType="separate"/>
      </w:r>
      <w:r>
        <w:rPr>
          <w:rFonts w:hint="eastAsia" w:ascii="宋体" w:hAnsi="宋体" w:cs="宋体"/>
          <w:highlight w:val="none"/>
        </w:rPr>
        <w:t>8 纪律和监督</w:t>
      </w:r>
      <w:r>
        <w:tab/>
      </w:r>
      <w:r>
        <w:fldChar w:fldCharType="begin"/>
      </w:r>
      <w:r>
        <w:instrText xml:space="preserve"> PAGEREF _Toc3639 \h </w:instrText>
      </w:r>
      <w:r>
        <w:fldChar w:fldCharType="separate"/>
      </w:r>
      <w:r>
        <w:t>28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_Toc10619 </w:instrText>
      </w:r>
      <w:r>
        <w:rPr>
          <w:rFonts w:eastAsia="黑体"/>
          <w:highlight w:val="none"/>
        </w:rPr>
        <w:fldChar w:fldCharType="separate"/>
      </w:r>
      <w:r>
        <w:rPr>
          <w:rFonts w:hint="eastAsia" w:ascii="宋体" w:hAnsi="宋体" w:cs="宋体"/>
          <w:highlight w:val="none"/>
        </w:rPr>
        <w:t>8.1 对招标人的纪律要求</w:t>
      </w:r>
      <w:r>
        <w:tab/>
      </w:r>
      <w:r>
        <w:fldChar w:fldCharType="begin"/>
      </w:r>
      <w:r>
        <w:instrText xml:space="preserve"> PAGEREF _Toc10619 \h </w:instrText>
      </w:r>
      <w:r>
        <w:fldChar w:fldCharType="separate"/>
      </w:r>
      <w:r>
        <w:t>28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_Toc14387 </w:instrText>
      </w:r>
      <w:r>
        <w:rPr>
          <w:rFonts w:eastAsia="黑体"/>
          <w:highlight w:val="none"/>
        </w:rPr>
        <w:fldChar w:fldCharType="separate"/>
      </w:r>
      <w:r>
        <w:rPr>
          <w:rFonts w:hint="eastAsia" w:ascii="宋体" w:hAnsi="宋体" w:cs="宋体"/>
          <w:highlight w:val="none"/>
        </w:rPr>
        <w:t>8.2 对投标人的纪律要求</w:t>
      </w:r>
      <w:r>
        <w:tab/>
      </w:r>
      <w:r>
        <w:fldChar w:fldCharType="begin"/>
      </w:r>
      <w:r>
        <w:instrText xml:space="preserve"> PAGEREF _Toc14387 \h </w:instrText>
      </w:r>
      <w:r>
        <w:fldChar w:fldCharType="separate"/>
      </w:r>
      <w:r>
        <w:t>28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_Toc3252 </w:instrText>
      </w:r>
      <w:r>
        <w:rPr>
          <w:rFonts w:eastAsia="黑体"/>
          <w:highlight w:val="none"/>
        </w:rPr>
        <w:fldChar w:fldCharType="separate"/>
      </w:r>
      <w:r>
        <w:rPr>
          <w:rFonts w:hint="eastAsia" w:ascii="宋体" w:hAnsi="宋体" w:cs="宋体"/>
          <w:highlight w:val="none"/>
        </w:rPr>
        <w:t>8.3 对评标委员会成员的纪律要求</w:t>
      </w:r>
      <w:r>
        <w:tab/>
      </w:r>
      <w:r>
        <w:fldChar w:fldCharType="begin"/>
      </w:r>
      <w:r>
        <w:instrText xml:space="preserve"> PAGEREF _Toc3252 \h </w:instrText>
      </w:r>
      <w:r>
        <w:fldChar w:fldCharType="separate"/>
      </w:r>
      <w:r>
        <w:t>28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_Toc26281 </w:instrText>
      </w:r>
      <w:r>
        <w:rPr>
          <w:rFonts w:eastAsia="黑体"/>
          <w:highlight w:val="none"/>
        </w:rPr>
        <w:fldChar w:fldCharType="separate"/>
      </w:r>
      <w:r>
        <w:rPr>
          <w:rFonts w:hint="eastAsia" w:ascii="宋体" w:hAnsi="宋体" w:cs="宋体"/>
          <w:highlight w:val="none"/>
        </w:rPr>
        <w:t>8.4 对与评标活动有关的工作人员的纪律要求</w:t>
      </w:r>
      <w:r>
        <w:tab/>
      </w:r>
      <w:r>
        <w:fldChar w:fldCharType="begin"/>
      </w:r>
      <w:r>
        <w:instrText xml:space="preserve"> PAGEREF _Toc26281 \h </w:instrText>
      </w:r>
      <w:r>
        <w:fldChar w:fldCharType="separate"/>
      </w:r>
      <w:r>
        <w:t>28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_Toc1550 </w:instrText>
      </w:r>
      <w:r>
        <w:rPr>
          <w:rFonts w:eastAsia="黑体"/>
          <w:highlight w:val="none"/>
        </w:rPr>
        <w:fldChar w:fldCharType="separate"/>
      </w:r>
      <w:r>
        <w:rPr>
          <w:rFonts w:hint="eastAsia" w:ascii="宋体" w:hAnsi="宋体" w:cs="宋体"/>
          <w:highlight w:val="none"/>
        </w:rPr>
        <w:t>8.5 投诉</w:t>
      </w:r>
      <w:r>
        <w:tab/>
      </w:r>
      <w:r>
        <w:fldChar w:fldCharType="begin"/>
      </w:r>
      <w:r>
        <w:instrText xml:space="preserve"> PAGEREF _Toc1550 \h </w:instrText>
      </w:r>
      <w:r>
        <w:fldChar w:fldCharType="separate"/>
      </w:r>
      <w:r>
        <w:t>28</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_Toc17666 </w:instrText>
      </w:r>
      <w:r>
        <w:rPr>
          <w:rFonts w:eastAsia="黑体"/>
          <w:highlight w:val="none"/>
        </w:rPr>
        <w:fldChar w:fldCharType="separate"/>
      </w:r>
      <w:r>
        <w:rPr>
          <w:rFonts w:hint="eastAsia" w:ascii="宋体" w:hAnsi="宋体" w:cs="宋体"/>
          <w:highlight w:val="none"/>
        </w:rPr>
        <w:t>9 解释权</w:t>
      </w:r>
      <w:r>
        <w:tab/>
      </w:r>
      <w:r>
        <w:fldChar w:fldCharType="begin"/>
      </w:r>
      <w:r>
        <w:instrText xml:space="preserve"> PAGEREF _Toc17666 \h </w:instrText>
      </w:r>
      <w:r>
        <w:fldChar w:fldCharType="separate"/>
      </w:r>
      <w:r>
        <w:t>29</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_Toc495 </w:instrText>
      </w:r>
      <w:r>
        <w:rPr>
          <w:rFonts w:eastAsia="黑体"/>
          <w:highlight w:val="none"/>
        </w:rPr>
        <w:fldChar w:fldCharType="separate"/>
      </w:r>
      <w:r>
        <w:rPr>
          <w:rFonts w:hint="eastAsia" w:ascii="宋体" w:hAnsi="宋体" w:cs="宋体"/>
          <w:highlight w:val="none"/>
        </w:rPr>
        <w:t>10 招标人补充的其他内容</w:t>
      </w:r>
      <w:r>
        <w:tab/>
      </w:r>
      <w:r>
        <w:fldChar w:fldCharType="begin"/>
      </w:r>
      <w:r>
        <w:instrText xml:space="preserve"> PAGEREF _Toc495 \h </w:instrText>
      </w:r>
      <w:r>
        <w:fldChar w:fldCharType="separate"/>
      </w:r>
      <w:r>
        <w:t>29</w:t>
      </w:r>
      <w:r>
        <w:fldChar w:fldCharType="end"/>
      </w:r>
      <w:r>
        <w:rPr>
          <w:rFonts w:eastAsia="黑体"/>
          <w:color w:val="auto"/>
          <w:highlight w:val="none"/>
        </w:rPr>
        <w:fldChar w:fldCharType="end"/>
      </w:r>
    </w:p>
    <w:p>
      <w:pPr>
        <w:pStyle w:val="31"/>
        <w:tabs>
          <w:tab w:val="right" w:leader="dot" w:pos="8787"/>
        </w:tabs>
      </w:pPr>
      <w:r>
        <w:rPr>
          <w:rFonts w:eastAsia="黑体"/>
          <w:color w:val="auto"/>
          <w:highlight w:val="none"/>
        </w:rPr>
        <w:fldChar w:fldCharType="begin"/>
      </w:r>
      <w:r>
        <w:rPr>
          <w:rFonts w:eastAsia="黑体"/>
          <w:highlight w:val="none"/>
        </w:rPr>
        <w:instrText xml:space="preserve"> HYPERLINK \l _Toc10814 </w:instrText>
      </w:r>
      <w:r>
        <w:rPr>
          <w:rFonts w:eastAsia="黑体"/>
          <w:highlight w:val="none"/>
        </w:rPr>
        <w:fldChar w:fldCharType="separate"/>
      </w:r>
      <w:r>
        <w:rPr>
          <w:rFonts w:hint="eastAsia"/>
          <w:highlight w:val="none"/>
        </w:rPr>
        <w:t>第三章</w:t>
      </w:r>
      <w:r>
        <w:rPr>
          <w:highlight w:val="none"/>
        </w:rPr>
        <w:t xml:space="preserve"> </w:t>
      </w:r>
      <w:r>
        <w:rPr>
          <w:rFonts w:hint="eastAsia"/>
          <w:highlight w:val="none"/>
        </w:rPr>
        <w:t>评标办法（综合评估法：采用两阶段评标</w:t>
      </w:r>
      <w:r>
        <w:rPr>
          <w:rFonts w:hint="eastAsia"/>
          <w:highlight w:val="none"/>
          <w:lang w:eastAsia="zh-CN"/>
        </w:rPr>
        <w:t>；</w:t>
      </w:r>
      <w:r>
        <w:rPr>
          <w:rFonts w:hint="eastAsia"/>
          <w:highlight w:val="none"/>
          <w:lang w:val="en-US" w:eastAsia="zh-CN"/>
        </w:rPr>
        <w:t>适用非</w:t>
      </w:r>
      <w:r>
        <w:rPr>
          <w:rFonts w:hint="eastAsia"/>
          <w:snapToGrid w:val="0"/>
          <w:kern w:val="32"/>
          <w:szCs w:val="20"/>
          <w:highlight w:val="none"/>
        </w:rPr>
        <w:t>“评定分离”方式招标的项目</w:t>
      </w:r>
      <w:r>
        <w:rPr>
          <w:rFonts w:hint="eastAsia"/>
          <w:highlight w:val="none"/>
        </w:rPr>
        <w:t>）</w:t>
      </w:r>
      <w:r>
        <w:tab/>
      </w:r>
      <w:r>
        <w:fldChar w:fldCharType="begin"/>
      </w:r>
      <w:r>
        <w:instrText xml:space="preserve"> PAGEREF _Toc10814 \h </w:instrText>
      </w:r>
      <w:r>
        <w:fldChar w:fldCharType="separate"/>
      </w:r>
      <w:r>
        <w:t>30</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_Toc28347 </w:instrText>
      </w:r>
      <w:r>
        <w:rPr>
          <w:rFonts w:eastAsia="黑体"/>
          <w:highlight w:val="none"/>
        </w:rPr>
        <w:fldChar w:fldCharType="separate"/>
      </w:r>
      <w:r>
        <w:rPr>
          <w:rFonts w:hint="eastAsia" w:ascii="黑体" w:hAnsi="黑体" w:eastAsia="黑体" w:cs="黑体"/>
          <w:bCs w:val="0"/>
          <w:highlight w:val="none"/>
        </w:rPr>
        <w:t>评标办法前附表</w:t>
      </w:r>
      <w:r>
        <w:tab/>
      </w:r>
      <w:r>
        <w:fldChar w:fldCharType="begin"/>
      </w:r>
      <w:r>
        <w:instrText xml:space="preserve"> PAGEREF _Toc28347 \h </w:instrText>
      </w:r>
      <w:r>
        <w:fldChar w:fldCharType="separate"/>
      </w:r>
      <w:r>
        <w:t>30</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_Toc6387 </w:instrText>
      </w:r>
      <w:r>
        <w:rPr>
          <w:rFonts w:eastAsia="黑体"/>
          <w:highlight w:val="none"/>
        </w:rPr>
        <w:fldChar w:fldCharType="separate"/>
      </w:r>
      <w:r>
        <w:rPr>
          <w:rFonts w:hint="eastAsia" w:ascii="黑体" w:hAnsi="黑体" w:eastAsia="黑体" w:cs="黑体"/>
          <w:bCs w:val="0"/>
          <w:highlight w:val="none"/>
        </w:rPr>
        <w:t>综合评估法一：适用于可行性研究完成阶段工程总承包招标</w:t>
      </w:r>
      <w:r>
        <w:tab/>
      </w:r>
      <w:r>
        <w:fldChar w:fldCharType="begin"/>
      </w:r>
      <w:r>
        <w:instrText xml:space="preserve"> PAGEREF _Toc6387 \h </w:instrText>
      </w:r>
      <w:r>
        <w:fldChar w:fldCharType="separate"/>
      </w:r>
      <w:r>
        <w:t>33</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_Toc25455 </w:instrText>
      </w:r>
      <w:r>
        <w:rPr>
          <w:rFonts w:eastAsia="黑体"/>
          <w:highlight w:val="none"/>
        </w:rPr>
        <w:fldChar w:fldCharType="separate"/>
      </w:r>
      <w:r>
        <w:rPr>
          <w:rFonts w:hint="eastAsia" w:ascii="黑体" w:hAnsi="黑体" w:eastAsia="黑体" w:cs="黑体"/>
          <w:bCs w:val="0"/>
          <w:highlight w:val="none"/>
        </w:rPr>
        <w:t>综合评估法二：适用于方案设计完成之后的工程总承包招标</w:t>
      </w:r>
      <w:r>
        <w:tab/>
      </w:r>
      <w:r>
        <w:fldChar w:fldCharType="begin"/>
      </w:r>
      <w:r>
        <w:instrText xml:space="preserve"> PAGEREF _Toc25455 \h </w:instrText>
      </w:r>
      <w:r>
        <w:fldChar w:fldCharType="separate"/>
      </w:r>
      <w:r>
        <w:t>39</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_Toc22525 </w:instrText>
      </w:r>
      <w:r>
        <w:rPr>
          <w:rFonts w:eastAsia="黑体"/>
          <w:highlight w:val="none"/>
        </w:rPr>
        <w:fldChar w:fldCharType="separate"/>
      </w:r>
      <w:r>
        <w:rPr>
          <w:rFonts w:hint="eastAsia" w:ascii="黑体" w:hAnsi="黑体" w:eastAsia="黑体" w:cs="黑体"/>
          <w:bCs w:val="0"/>
          <w:highlight w:val="none"/>
        </w:rPr>
        <w:t>综合评估法四：适用于专业工程工程总承包招标</w:t>
      </w:r>
      <w:r>
        <w:tab/>
      </w:r>
      <w:r>
        <w:fldChar w:fldCharType="begin"/>
      </w:r>
      <w:r>
        <w:instrText xml:space="preserve"> PAGEREF _Toc22525 \h </w:instrText>
      </w:r>
      <w:r>
        <w:fldChar w:fldCharType="separate"/>
      </w:r>
      <w:r>
        <w:t>46</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_Toc12291 </w:instrText>
      </w:r>
      <w:r>
        <w:rPr>
          <w:rFonts w:eastAsia="黑体"/>
          <w:highlight w:val="none"/>
        </w:rPr>
        <w:fldChar w:fldCharType="separate"/>
      </w:r>
      <w:r>
        <w:rPr>
          <w:rFonts w:hint="eastAsia" w:ascii="宋体" w:hAnsi="宋体" w:cs="宋体"/>
          <w:highlight w:val="none"/>
        </w:rPr>
        <w:t>1. 评审标准</w:t>
      </w:r>
      <w:r>
        <w:tab/>
      </w:r>
      <w:r>
        <w:fldChar w:fldCharType="begin"/>
      </w:r>
      <w:r>
        <w:instrText xml:space="preserve"> PAGEREF _Toc12291 \h </w:instrText>
      </w:r>
      <w:r>
        <w:fldChar w:fldCharType="separate"/>
      </w:r>
      <w:r>
        <w:t>50</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_Toc12758 </w:instrText>
      </w:r>
      <w:r>
        <w:rPr>
          <w:rFonts w:eastAsia="黑体"/>
          <w:highlight w:val="none"/>
        </w:rPr>
        <w:fldChar w:fldCharType="separate"/>
      </w:r>
      <w:r>
        <w:rPr>
          <w:rFonts w:hint="eastAsia" w:ascii="宋体" w:hAnsi="宋体" w:cs="宋体"/>
          <w:highlight w:val="none"/>
        </w:rPr>
        <w:t>1.1初步评审标准</w:t>
      </w:r>
      <w:r>
        <w:tab/>
      </w:r>
      <w:r>
        <w:fldChar w:fldCharType="begin"/>
      </w:r>
      <w:r>
        <w:instrText xml:space="preserve"> PAGEREF _Toc12758 \h </w:instrText>
      </w:r>
      <w:r>
        <w:fldChar w:fldCharType="separate"/>
      </w:r>
      <w:r>
        <w:t>50</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_Toc19930 </w:instrText>
      </w:r>
      <w:r>
        <w:rPr>
          <w:rFonts w:eastAsia="黑体"/>
          <w:highlight w:val="none"/>
        </w:rPr>
        <w:fldChar w:fldCharType="separate"/>
      </w:r>
      <w:r>
        <w:rPr>
          <w:rFonts w:hint="eastAsia" w:ascii="宋体" w:hAnsi="宋体" w:cs="宋体"/>
          <w:highlight w:val="none"/>
        </w:rPr>
        <w:t>1.2详细评审标准</w:t>
      </w:r>
      <w:r>
        <w:tab/>
      </w:r>
      <w:r>
        <w:fldChar w:fldCharType="begin"/>
      </w:r>
      <w:r>
        <w:instrText xml:space="preserve"> PAGEREF _Toc19930 \h </w:instrText>
      </w:r>
      <w:r>
        <w:fldChar w:fldCharType="separate"/>
      </w:r>
      <w:r>
        <w:t>50</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_Toc6084 </w:instrText>
      </w:r>
      <w:r>
        <w:rPr>
          <w:rFonts w:eastAsia="黑体"/>
          <w:highlight w:val="none"/>
        </w:rPr>
        <w:fldChar w:fldCharType="separate"/>
      </w:r>
      <w:r>
        <w:rPr>
          <w:rFonts w:hint="eastAsia" w:ascii="宋体" w:hAnsi="宋体" w:cs="宋体"/>
          <w:highlight w:val="none"/>
        </w:rPr>
        <w:t>2. 评标程序</w:t>
      </w:r>
      <w:r>
        <w:tab/>
      </w:r>
      <w:r>
        <w:fldChar w:fldCharType="begin"/>
      </w:r>
      <w:r>
        <w:instrText xml:space="preserve"> PAGEREF _Toc6084 \h </w:instrText>
      </w:r>
      <w:r>
        <w:fldChar w:fldCharType="separate"/>
      </w:r>
      <w:r>
        <w:t>50</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_Toc6356 </w:instrText>
      </w:r>
      <w:r>
        <w:rPr>
          <w:rFonts w:eastAsia="黑体"/>
          <w:highlight w:val="none"/>
        </w:rPr>
        <w:fldChar w:fldCharType="separate"/>
      </w:r>
      <w:r>
        <w:rPr>
          <w:rFonts w:hint="eastAsia" w:ascii="宋体" w:hAnsi="宋体" w:cs="宋体"/>
          <w:highlight w:val="none"/>
        </w:rPr>
        <w:t>2.1第一阶段评审</w:t>
      </w:r>
      <w:r>
        <w:tab/>
      </w:r>
      <w:r>
        <w:fldChar w:fldCharType="begin"/>
      </w:r>
      <w:r>
        <w:instrText xml:space="preserve"> PAGEREF _Toc6356 \h </w:instrText>
      </w:r>
      <w:r>
        <w:fldChar w:fldCharType="separate"/>
      </w:r>
      <w:r>
        <w:t>50</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_Toc3885 </w:instrText>
      </w:r>
      <w:r>
        <w:rPr>
          <w:rFonts w:eastAsia="黑体"/>
          <w:highlight w:val="none"/>
        </w:rPr>
        <w:fldChar w:fldCharType="separate"/>
      </w:r>
      <w:r>
        <w:rPr>
          <w:rFonts w:hint="eastAsia" w:ascii="宋体" w:hAnsi="宋体" w:cs="宋体"/>
          <w:highlight w:val="none"/>
        </w:rPr>
        <w:t>2.2第二阶段评审</w:t>
      </w:r>
      <w:r>
        <w:tab/>
      </w:r>
      <w:r>
        <w:fldChar w:fldCharType="begin"/>
      </w:r>
      <w:r>
        <w:instrText xml:space="preserve"> PAGEREF _Toc3885 \h </w:instrText>
      </w:r>
      <w:r>
        <w:fldChar w:fldCharType="separate"/>
      </w:r>
      <w:r>
        <w:t>51</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_Toc15797 </w:instrText>
      </w:r>
      <w:r>
        <w:rPr>
          <w:rFonts w:eastAsia="黑体"/>
          <w:highlight w:val="none"/>
        </w:rPr>
        <w:fldChar w:fldCharType="separate"/>
      </w:r>
      <w:r>
        <w:rPr>
          <w:rFonts w:hint="eastAsia" w:ascii="宋体" w:hAnsi="宋体" w:cs="宋体"/>
          <w:highlight w:val="none"/>
        </w:rPr>
        <w:t>2.3投标文件的澄清和补正</w:t>
      </w:r>
      <w:r>
        <w:tab/>
      </w:r>
      <w:r>
        <w:fldChar w:fldCharType="begin"/>
      </w:r>
      <w:r>
        <w:instrText xml:space="preserve"> PAGEREF _Toc15797 \h </w:instrText>
      </w:r>
      <w:r>
        <w:fldChar w:fldCharType="separate"/>
      </w:r>
      <w:r>
        <w:t>53</w:t>
      </w:r>
      <w:r>
        <w:fldChar w:fldCharType="end"/>
      </w:r>
      <w:r>
        <w:rPr>
          <w:rFonts w:eastAsia="黑体"/>
          <w:color w:val="auto"/>
          <w:highlight w:val="none"/>
        </w:rPr>
        <w:fldChar w:fldCharType="end"/>
      </w:r>
    </w:p>
    <w:p>
      <w:pPr>
        <w:pStyle w:val="22"/>
        <w:tabs>
          <w:tab w:val="right" w:leader="dot" w:pos="8787"/>
        </w:tabs>
      </w:pPr>
      <w:r>
        <w:rPr>
          <w:rFonts w:eastAsia="黑体"/>
          <w:color w:val="auto"/>
          <w:highlight w:val="none"/>
        </w:rPr>
        <w:fldChar w:fldCharType="begin"/>
      </w:r>
      <w:r>
        <w:rPr>
          <w:rFonts w:eastAsia="黑体"/>
          <w:highlight w:val="none"/>
        </w:rPr>
        <w:instrText xml:space="preserve"> HYPERLINK \l _Toc17108 </w:instrText>
      </w:r>
      <w:r>
        <w:rPr>
          <w:rFonts w:eastAsia="黑体"/>
          <w:highlight w:val="none"/>
        </w:rPr>
        <w:fldChar w:fldCharType="separate"/>
      </w:r>
      <w:r>
        <w:rPr>
          <w:rFonts w:hint="eastAsia" w:ascii="宋体" w:hAnsi="宋体" w:cs="宋体"/>
          <w:highlight w:val="none"/>
        </w:rPr>
        <w:t>2.4推荐中标候选人</w:t>
      </w:r>
      <w:r>
        <w:tab/>
      </w:r>
      <w:r>
        <w:fldChar w:fldCharType="begin"/>
      </w:r>
      <w:r>
        <w:instrText xml:space="preserve"> PAGEREF _Toc17108 \h </w:instrText>
      </w:r>
      <w:r>
        <w:fldChar w:fldCharType="separate"/>
      </w:r>
      <w:r>
        <w:t>53</w:t>
      </w:r>
      <w:r>
        <w:fldChar w:fldCharType="end"/>
      </w:r>
      <w:r>
        <w:rPr>
          <w:rFonts w:eastAsia="黑体"/>
          <w:color w:val="auto"/>
          <w:highlight w:val="none"/>
        </w:rPr>
        <w:fldChar w:fldCharType="end"/>
      </w:r>
    </w:p>
    <w:p>
      <w:pPr>
        <w:pStyle w:val="31"/>
        <w:tabs>
          <w:tab w:val="right" w:leader="dot" w:pos="8787"/>
        </w:tabs>
      </w:pPr>
      <w:r>
        <w:rPr>
          <w:rFonts w:eastAsia="黑体"/>
          <w:color w:val="auto"/>
          <w:highlight w:val="none"/>
        </w:rPr>
        <w:fldChar w:fldCharType="begin"/>
      </w:r>
      <w:r>
        <w:rPr>
          <w:rFonts w:eastAsia="黑体"/>
          <w:highlight w:val="none"/>
        </w:rPr>
        <w:instrText xml:space="preserve"> HYPERLINK \l _Toc28928 </w:instrText>
      </w:r>
      <w:r>
        <w:rPr>
          <w:rFonts w:eastAsia="黑体"/>
          <w:highlight w:val="none"/>
        </w:rPr>
        <w:fldChar w:fldCharType="separate"/>
      </w:r>
      <w:r>
        <w:rPr>
          <w:rFonts w:hint="eastAsia"/>
          <w:highlight w:val="none"/>
        </w:rPr>
        <w:t>第三章</w:t>
      </w:r>
      <w:r>
        <w:rPr>
          <w:highlight w:val="none"/>
        </w:rPr>
        <w:t xml:space="preserve"> </w:t>
      </w:r>
      <w:r>
        <w:rPr>
          <w:rFonts w:hint="eastAsia"/>
          <w:highlight w:val="none"/>
        </w:rPr>
        <w:t>评标办法（综合评估法：不采用两阶段开评标</w:t>
      </w:r>
      <w:r>
        <w:rPr>
          <w:rFonts w:hint="eastAsia"/>
          <w:highlight w:val="none"/>
          <w:lang w:eastAsia="zh-CN"/>
        </w:rPr>
        <w:t>；</w:t>
      </w:r>
      <w:r>
        <w:rPr>
          <w:rFonts w:hint="eastAsia"/>
          <w:highlight w:val="none"/>
          <w:lang w:val="en-US" w:eastAsia="zh-CN"/>
        </w:rPr>
        <w:t>适用非</w:t>
      </w:r>
      <w:r>
        <w:rPr>
          <w:rFonts w:hint="eastAsia"/>
          <w:snapToGrid w:val="0"/>
          <w:kern w:val="32"/>
          <w:szCs w:val="20"/>
          <w:highlight w:val="none"/>
        </w:rPr>
        <w:t>“评定分离”方式招标的项目</w:t>
      </w:r>
      <w:r>
        <w:rPr>
          <w:rFonts w:hint="eastAsia"/>
          <w:highlight w:val="none"/>
        </w:rPr>
        <w:t>）</w:t>
      </w:r>
      <w:r>
        <w:tab/>
      </w:r>
      <w:r>
        <w:fldChar w:fldCharType="begin"/>
      </w:r>
      <w:r>
        <w:instrText xml:space="preserve"> PAGEREF _Toc28928 \h </w:instrText>
      </w:r>
      <w:r>
        <w:fldChar w:fldCharType="separate"/>
      </w:r>
      <w:r>
        <w:t>54</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_Toc7893 </w:instrText>
      </w:r>
      <w:r>
        <w:rPr>
          <w:rFonts w:eastAsia="黑体"/>
          <w:highlight w:val="none"/>
        </w:rPr>
        <w:fldChar w:fldCharType="separate"/>
      </w:r>
      <w:r>
        <w:rPr>
          <w:rFonts w:hint="eastAsia" w:ascii="黑体" w:hAnsi="黑体" w:eastAsia="黑体" w:cs="黑体"/>
          <w:bCs w:val="0"/>
          <w:highlight w:val="none"/>
        </w:rPr>
        <w:t>评标办法前附表</w:t>
      </w:r>
      <w:r>
        <w:tab/>
      </w:r>
      <w:r>
        <w:fldChar w:fldCharType="begin"/>
      </w:r>
      <w:r>
        <w:instrText xml:space="preserve"> PAGEREF _Toc7893 \h </w:instrText>
      </w:r>
      <w:r>
        <w:fldChar w:fldCharType="separate"/>
      </w:r>
      <w:r>
        <w:t>54</w:t>
      </w:r>
      <w:r>
        <w:fldChar w:fldCharType="end"/>
      </w:r>
      <w:r>
        <w:rPr>
          <w:rFonts w:eastAsia="黑体"/>
          <w:color w:val="auto"/>
          <w:highlight w:val="none"/>
        </w:rPr>
        <w:fldChar w:fldCharType="end"/>
      </w:r>
    </w:p>
    <w:p>
      <w:pPr>
        <w:pStyle w:val="37"/>
        <w:tabs>
          <w:tab w:val="right" w:leader="dot" w:pos="8787"/>
        </w:tabs>
      </w:pPr>
      <w:r>
        <w:rPr>
          <w:rFonts w:eastAsia="黑体"/>
          <w:color w:val="auto"/>
          <w:highlight w:val="none"/>
        </w:rPr>
        <w:fldChar w:fldCharType="begin"/>
      </w:r>
      <w:r>
        <w:rPr>
          <w:rFonts w:eastAsia="黑体"/>
          <w:highlight w:val="none"/>
        </w:rPr>
        <w:instrText xml:space="preserve"> HYPERLINK \l _Toc22906 </w:instrText>
      </w:r>
      <w:r>
        <w:rPr>
          <w:rFonts w:eastAsia="黑体"/>
          <w:highlight w:val="none"/>
        </w:rPr>
        <w:fldChar w:fldCharType="separate"/>
      </w:r>
      <w:r>
        <w:rPr>
          <w:rFonts w:hint="eastAsia" w:ascii="黑体" w:hAnsi="黑体" w:eastAsia="黑体" w:cs="黑体"/>
          <w:bCs w:val="0"/>
          <w:highlight w:val="none"/>
        </w:rPr>
        <w:t>综合评估法三：适用于初步设计完成之后的工程总承包招标</w:t>
      </w:r>
      <w:r>
        <w:tab/>
      </w:r>
      <w:r>
        <w:fldChar w:fldCharType="begin"/>
      </w:r>
      <w:r>
        <w:instrText xml:space="preserve"> PAGEREF _Toc22906 \h </w:instrText>
      </w:r>
      <w:r>
        <w:fldChar w:fldCharType="separate"/>
      </w:r>
      <w:r>
        <w:t>56</w:t>
      </w:r>
      <w:r>
        <w:fldChar w:fldCharType="end"/>
      </w:r>
      <w:r>
        <w:rPr>
          <w:rFonts w:eastAsia="黑体"/>
          <w:color w:val="auto"/>
          <w:highlight w:val="none"/>
        </w:rPr>
        <w:fldChar w:fldCharType="end"/>
      </w:r>
    </w:p>
    <w:p>
      <w:pPr>
        <w:pStyle w:val="37"/>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_Toc21903 </w:instrText>
      </w:r>
      <w:r>
        <w:rPr>
          <w:rFonts w:eastAsia="黑体"/>
          <w:highlight w:val="none"/>
        </w:rPr>
        <w:fldChar w:fldCharType="separate"/>
      </w:r>
      <w:r>
        <w:rPr>
          <w:rFonts w:hint="eastAsia" w:ascii="宋体" w:hAnsi="宋体" w:cs="宋体"/>
          <w:highlight w:val="none"/>
        </w:rPr>
        <w:t>1. 评审标准</w:t>
      </w:r>
      <w:r>
        <w:tab/>
      </w:r>
      <w:r>
        <w:rPr>
          <w:rFonts w:eastAsia="黑体"/>
          <w:color w:val="auto"/>
          <w:highlight w:val="none"/>
        </w:rPr>
        <w:fldChar w:fldCharType="end"/>
      </w:r>
      <w:r>
        <w:rPr>
          <w:rFonts w:hint="eastAsia" w:eastAsia="黑体"/>
          <w:lang w:val="en-US" w:eastAsia="zh-CN"/>
        </w:rPr>
        <w:t>60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_Toc13294 </w:instrText>
      </w:r>
      <w:r>
        <w:rPr>
          <w:rFonts w:eastAsia="黑体"/>
          <w:highlight w:val="none"/>
        </w:rPr>
        <w:fldChar w:fldCharType="separate"/>
      </w:r>
      <w:r>
        <w:rPr>
          <w:rFonts w:hint="eastAsia" w:ascii="宋体" w:hAnsi="宋体" w:cs="宋体"/>
          <w:highlight w:val="none"/>
        </w:rPr>
        <w:t>1.1初步评审标准</w:t>
      </w:r>
      <w:r>
        <w:tab/>
      </w:r>
      <w:r>
        <w:rPr>
          <w:rFonts w:eastAsia="黑体"/>
          <w:color w:val="auto"/>
          <w:highlight w:val="none"/>
        </w:rPr>
        <w:fldChar w:fldCharType="end"/>
      </w:r>
      <w:r>
        <w:rPr>
          <w:rFonts w:hint="eastAsia" w:eastAsia="黑体"/>
          <w:lang w:val="en-US" w:eastAsia="zh-CN"/>
        </w:rPr>
        <w:t>60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_Toc23784 </w:instrText>
      </w:r>
      <w:r>
        <w:rPr>
          <w:rFonts w:eastAsia="黑体"/>
          <w:highlight w:val="none"/>
        </w:rPr>
        <w:fldChar w:fldCharType="separate"/>
      </w:r>
      <w:r>
        <w:rPr>
          <w:rFonts w:hint="eastAsia" w:ascii="宋体" w:hAnsi="宋体" w:cs="宋体"/>
          <w:highlight w:val="none"/>
        </w:rPr>
        <w:t>1.2详细评审标准</w:t>
      </w:r>
      <w:r>
        <w:tab/>
      </w:r>
      <w:r>
        <w:rPr>
          <w:rFonts w:eastAsia="黑体"/>
          <w:color w:val="auto"/>
          <w:highlight w:val="none"/>
        </w:rPr>
        <w:fldChar w:fldCharType="end"/>
      </w:r>
      <w:r>
        <w:rPr>
          <w:rFonts w:hint="eastAsia" w:eastAsia="黑体"/>
          <w:lang w:val="en-US" w:eastAsia="zh-CN"/>
        </w:rPr>
        <w:t>60</w:t>
      </w:r>
    </w:p>
    <w:p>
      <w:pPr>
        <w:pStyle w:val="37"/>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_Toc8683 </w:instrText>
      </w:r>
      <w:r>
        <w:rPr>
          <w:rFonts w:eastAsia="黑体"/>
          <w:highlight w:val="none"/>
        </w:rPr>
        <w:fldChar w:fldCharType="separate"/>
      </w:r>
      <w:r>
        <w:rPr>
          <w:rFonts w:hint="eastAsia" w:ascii="宋体" w:hAnsi="宋体" w:cs="宋体"/>
          <w:highlight w:val="none"/>
        </w:rPr>
        <w:t>2. 评标程序</w:t>
      </w:r>
      <w:r>
        <w:tab/>
      </w:r>
      <w:r>
        <w:rPr>
          <w:rFonts w:eastAsia="黑体"/>
          <w:color w:val="auto"/>
          <w:highlight w:val="none"/>
        </w:rPr>
        <w:fldChar w:fldCharType="end"/>
      </w:r>
      <w:r>
        <w:rPr>
          <w:rFonts w:hint="eastAsia" w:eastAsia="黑体"/>
          <w:lang w:val="en-US" w:eastAsia="zh-CN"/>
        </w:rPr>
        <w:t>60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_Toc11905 </w:instrText>
      </w:r>
      <w:r>
        <w:rPr>
          <w:rFonts w:eastAsia="黑体"/>
          <w:highlight w:val="none"/>
        </w:rPr>
        <w:fldChar w:fldCharType="separate"/>
      </w:r>
      <w:r>
        <w:rPr>
          <w:rFonts w:hint="eastAsia" w:ascii="宋体" w:hAnsi="宋体" w:cs="宋体"/>
          <w:highlight w:val="none"/>
        </w:rPr>
        <w:t>2.1评标准备</w:t>
      </w:r>
      <w:r>
        <w:tab/>
      </w:r>
      <w:r>
        <w:rPr>
          <w:rFonts w:eastAsia="黑体"/>
          <w:color w:val="auto"/>
          <w:highlight w:val="none"/>
        </w:rPr>
        <w:fldChar w:fldCharType="end"/>
      </w:r>
      <w:r>
        <w:rPr>
          <w:rFonts w:hint="eastAsia" w:eastAsia="黑体"/>
          <w:lang w:val="en-US" w:eastAsia="zh-CN"/>
        </w:rPr>
        <w:t>60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_Toc25488 </w:instrText>
      </w:r>
      <w:r>
        <w:rPr>
          <w:rFonts w:eastAsia="黑体"/>
          <w:highlight w:val="none"/>
        </w:rPr>
        <w:fldChar w:fldCharType="separate"/>
      </w:r>
      <w:r>
        <w:rPr>
          <w:rFonts w:hint="eastAsia" w:ascii="宋体" w:hAnsi="宋体" w:cs="宋体"/>
          <w:highlight w:val="none"/>
        </w:rPr>
        <w:t>2.2初步评审</w:t>
      </w:r>
      <w:r>
        <w:tab/>
      </w:r>
      <w:r>
        <w:rPr>
          <w:rFonts w:eastAsia="黑体"/>
          <w:color w:val="auto"/>
          <w:highlight w:val="none"/>
        </w:rPr>
        <w:fldChar w:fldCharType="end"/>
      </w:r>
      <w:r>
        <w:rPr>
          <w:rFonts w:hint="eastAsia" w:eastAsia="黑体"/>
          <w:lang w:val="en-US" w:eastAsia="zh-CN"/>
        </w:rPr>
        <w:t>60</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_Toc10977 </w:instrText>
      </w:r>
      <w:r>
        <w:rPr>
          <w:rFonts w:eastAsia="黑体"/>
          <w:highlight w:val="none"/>
        </w:rPr>
        <w:fldChar w:fldCharType="separate"/>
      </w:r>
      <w:r>
        <w:rPr>
          <w:rFonts w:hint="eastAsia" w:ascii="宋体" w:hAnsi="宋体" w:cs="宋体"/>
          <w:highlight w:val="none"/>
        </w:rPr>
        <w:t>2.3详细评审</w:t>
      </w:r>
      <w:r>
        <w:tab/>
      </w:r>
      <w:r>
        <w:fldChar w:fldCharType="begin"/>
      </w:r>
      <w:r>
        <w:instrText xml:space="preserve"> PAGEREF _Toc10977 \h </w:instrText>
      </w:r>
      <w:r>
        <w:fldChar w:fldCharType="separate"/>
      </w:r>
      <w:r>
        <w:t>6</w:t>
      </w:r>
      <w:r>
        <w:fldChar w:fldCharType="end"/>
      </w:r>
      <w:r>
        <w:rPr>
          <w:rFonts w:eastAsia="黑体"/>
          <w:color w:val="auto"/>
          <w:highlight w:val="none"/>
        </w:rPr>
        <w:fldChar w:fldCharType="end"/>
      </w:r>
      <w:r>
        <w:rPr>
          <w:rFonts w:hint="eastAsia" w:eastAsia="黑体"/>
          <w:lang w:val="en-US" w:eastAsia="zh-CN"/>
        </w:rPr>
        <w:t>2</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_Toc31909 </w:instrText>
      </w:r>
      <w:r>
        <w:rPr>
          <w:rFonts w:eastAsia="黑体"/>
          <w:highlight w:val="none"/>
        </w:rPr>
        <w:fldChar w:fldCharType="separate"/>
      </w:r>
      <w:r>
        <w:rPr>
          <w:rFonts w:hint="eastAsia" w:ascii="宋体" w:hAnsi="宋体" w:cs="宋体"/>
          <w:highlight w:val="none"/>
        </w:rPr>
        <w:t>2.4投标文件的澄清和补正</w:t>
      </w:r>
      <w:r>
        <w:tab/>
      </w:r>
      <w:r>
        <w:fldChar w:fldCharType="begin"/>
      </w:r>
      <w:r>
        <w:instrText xml:space="preserve"> PAGEREF _Toc31909 \h </w:instrText>
      </w:r>
      <w:r>
        <w:fldChar w:fldCharType="separate"/>
      </w:r>
      <w:r>
        <w:t>6</w:t>
      </w:r>
      <w:r>
        <w:fldChar w:fldCharType="end"/>
      </w:r>
      <w:r>
        <w:rPr>
          <w:rFonts w:eastAsia="黑体"/>
          <w:color w:val="auto"/>
          <w:highlight w:val="none"/>
        </w:rPr>
        <w:fldChar w:fldCharType="end"/>
      </w:r>
      <w:r>
        <w:rPr>
          <w:rFonts w:hint="eastAsia" w:eastAsia="黑体"/>
          <w:lang w:val="en-US" w:eastAsia="zh-CN"/>
        </w:rPr>
        <w:t>2</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_Toc16030 </w:instrText>
      </w:r>
      <w:r>
        <w:rPr>
          <w:rFonts w:eastAsia="黑体"/>
          <w:highlight w:val="none"/>
        </w:rPr>
        <w:fldChar w:fldCharType="separate"/>
      </w:r>
      <w:r>
        <w:rPr>
          <w:rFonts w:hint="eastAsia" w:ascii="宋体" w:hAnsi="宋体" w:cs="宋体"/>
          <w:highlight w:val="none"/>
        </w:rPr>
        <w:t>2.5推荐中标候选人</w:t>
      </w:r>
      <w:r>
        <w:tab/>
      </w:r>
      <w:r>
        <w:fldChar w:fldCharType="begin"/>
      </w:r>
      <w:r>
        <w:instrText xml:space="preserve"> PAGEREF _Toc16030 \h </w:instrText>
      </w:r>
      <w:r>
        <w:fldChar w:fldCharType="separate"/>
      </w:r>
      <w:r>
        <w:t>6</w:t>
      </w:r>
      <w:r>
        <w:fldChar w:fldCharType="end"/>
      </w:r>
      <w:r>
        <w:rPr>
          <w:rFonts w:eastAsia="黑体"/>
          <w:color w:val="auto"/>
          <w:highlight w:val="none"/>
        </w:rPr>
        <w:fldChar w:fldCharType="end"/>
      </w:r>
      <w:r>
        <w:rPr>
          <w:rFonts w:hint="eastAsia" w:eastAsia="黑体"/>
          <w:lang w:val="en-US" w:eastAsia="zh-CN"/>
        </w:rPr>
        <w:t>2</w:t>
      </w:r>
    </w:p>
    <w:p>
      <w:pPr>
        <w:pStyle w:val="31"/>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_Toc1940 </w:instrText>
      </w:r>
      <w:r>
        <w:rPr>
          <w:rFonts w:eastAsia="黑体"/>
          <w:highlight w:val="none"/>
        </w:rPr>
        <w:fldChar w:fldCharType="separate"/>
      </w:r>
      <w:r>
        <w:rPr>
          <w:rFonts w:hint="eastAsia" w:ascii="黑体" w:hAnsi="黑体" w:cs="黑体"/>
          <w:szCs w:val="32"/>
          <w:highlight w:val="none"/>
        </w:rPr>
        <w:t>第三章 评标办法（评定分离法</w:t>
      </w:r>
      <w:r>
        <w:rPr>
          <w:rFonts w:hint="eastAsia" w:ascii="黑体" w:hAnsi="黑体" w:cs="黑体"/>
          <w:szCs w:val="32"/>
          <w:highlight w:val="none"/>
          <w:lang w:eastAsia="zh-CN"/>
        </w:rPr>
        <w:t>，</w:t>
      </w:r>
      <w:r>
        <w:rPr>
          <w:rFonts w:hint="eastAsia" w:ascii="黑体" w:hAnsi="黑体" w:cs="黑体"/>
          <w:szCs w:val="32"/>
          <w:highlight w:val="none"/>
          <w:lang w:val="en-US" w:eastAsia="zh-CN"/>
        </w:rPr>
        <w:t>适用</w:t>
      </w:r>
      <w:r>
        <w:rPr>
          <w:rFonts w:hint="eastAsia" w:ascii="宋体" w:hAnsi="宋体" w:cs="宋体"/>
          <w:szCs w:val="32"/>
          <w:highlight w:val="none"/>
          <w:lang w:val="en-US" w:eastAsia="zh-CN"/>
        </w:rPr>
        <w:t>不采用两阶段开评标</w:t>
      </w:r>
      <w:r>
        <w:rPr>
          <w:rFonts w:hint="eastAsia" w:ascii="黑体" w:hAnsi="黑体" w:cs="黑体"/>
          <w:szCs w:val="32"/>
          <w:highlight w:val="none"/>
        </w:rPr>
        <w:t>）</w:t>
      </w:r>
      <w:r>
        <w:tab/>
      </w:r>
      <w:r>
        <w:fldChar w:fldCharType="begin"/>
      </w:r>
      <w:r>
        <w:instrText xml:space="preserve"> PAGEREF _Toc1940 \h </w:instrText>
      </w:r>
      <w:r>
        <w:fldChar w:fldCharType="separate"/>
      </w:r>
      <w:r>
        <w:t>6</w:t>
      </w:r>
      <w:r>
        <w:fldChar w:fldCharType="end"/>
      </w:r>
      <w:r>
        <w:rPr>
          <w:rFonts w:eastAsia="黑体"/>
          <w:color w:val="auto"/>
          <w:highlight w:val="none"/>
        </w:rPr>
        <w:fldChar w:fldCharType="end"/>
      </w:r>
      <w:r>
        <w:rPr>
          <w:rFonts w:hint="eastAsia"/>
          <w:lang w:val="en-US" w:eastAsia="zh-CN"/>
        </w:rPr>
        <w:t>4</w:t>
      </w:r>
    </w:p>
    <w:p>
      <w:pPr>
        <w:pStyle w:val="37"/>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_Toc8705 </w:instrText>
      </w:r>
      <w:r>
        <w:rPr>
          <w:rFonts w:eastAsia="黑体"/>
          <w:highlight w:val="none"/>
        </w:rPr>
        <w:fldChar w:fldCharType="separate"/>
      </w:r>
      <w:r>
        <w:rPr>
          <w:rFonts w:hint="eastAsia" w:ascii="黑体" w:hAnsi="黑体" w:eastAsia="黑体" w:cs="黑体"/>
          <w:bCs w:val="0"/>
          <w:highlight w:val="none"/>
        </w:rPr>
        <w:t>评标办法前附表</w:t>
      </w:r>
      <w:r>
        <w:tab/>
      </w:r>
      <w:r>
        <w:fldChar w:fldCharType="begin"/>
      </w:r>
      <w:r>
        <w:instrText xml:space="preserve"> PAGEREF _Toc8705 \h </w:instrText>
      </w:r>
      <w:r>
        <w:fldChar w:fldCharType="separate"/>
      </w:r>
      <w:r>
        <w:t>6</w:t>
      </w:r>
      <w:r>
        <w:fldChar w:fldCharType="end"/>
      </w:r>
      <w:r>
        <w:rPr>
          <w:rFonts w:eastAsia="黑体"/>
          <w:color w:val="auto"/>
          <w:highlight w:val="none"/>
        </w:rPr>
        <w:fldChar w:fldCharType="end"/>
      </w:r>
      <w:r>
        <w:rPr>
          <w:rFonts w:hint="eastAsia" w:eastAsia="黑体"/>
          <w:lang w:val="en-US" w:eastAsia="zh-CN"/>
        </w:rPr>
        <w:t>4</w:t>
      </w:r>
    </w:p>
    <w:p>
      <w:pPr>
        <w:pStyle w:val="37"/>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_Toc19704 </w:instrText>
      </w:r>
      <w:r>
        <w:rPr>
          <w:rFonts w:eastAsia="黑体"/>
          <w:highlight w:val="none"/>
        </w:rPr>
        <w:fldChar w:fldCharType="separate"/>
      </w:r>
      <w:r>
        <w:rPr>
          <w:rFonts w:hint="eastAsia" w:ascii="黑体" w:hAnsi="黑体" w:eastAsia="黑体" w:cs="黑体"/>
          <w:bCs w:val="0"/>
          <w:highlight w:val="none"/>
        </w:rPr>
        <w:t>综合评估法三：适用于初步设计完成之后的工程总承包招标</w:t>
      </w:r>
      <w:r>
        <w:tab/>
      </w:r>
      <w:r>
        <w:fldChar w:fldCharType="begin"/>
      </w:r>
      <w:r>
        <w:instrText xml:space="preserve"> PAGEREF _Toc19704 \h </w:instrText>
      </w:r>
      <w:r>
        <w:fldChar w:fldCharType="separate"/>
      </w:r>
      <w:r>
        <w:t>6</w:t>
      </w:r>
      <w:r>
        <w:fldChar w:fldCharType="end"/>
      </w:r>
      <w:r>
        <w:rPr>
          <w:rFonts w:eastAsia="黑体"/>
          <w:color w:val="auto"/>
          <w:highlight w:val="none"/>
        </w:rPr>
        <w:fldChar w:fldCharType="end"/>
      </w:r>
      <w:r>
        <w:rPr>
          <w:rFonts w:hint="eastAsia" w:eastAsia="黑体"/>
          <w:lang w:val="en-US" w:eastAsia="zh-CN"/>
        </w:rPr>
        <w:t>6</w:t>
      </w:r>
    </w:p>
    <w:p>
      <w:pPr>
        <w:pStyle w:val="37"/>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_Toc3786 </w:instrText>
      </w:r>
      <w:r>
        <w:rPr>
          <w:rFonts w:eastAsia="黑体"/>
          <w:highlight w:val="none"/>
        </w:rPr>
        <w:fldChar w:fldCharType="separate"/>
      </w:r>
      <w:r>
        <w:rPr>
          <w:rFonts w:hint="eastAsia" w:ascii="宋体" w:hAnsi="宋体" w:cs="宋体"/>
          <w:highlight w:val="none"/>
        </w:rPr>
        <w:t>1. 评审标准</w:t>
      </w:r>
      <w:r>
        <w:tab/>
      </w:r>
      <w:r>
        <w:rPr>
          <w:rFonts w:eastAsia="黑体"/>
          <w:color w:val="auto"/>
          <w:highlight w:val="none"/>
        </w:rPr>
        <w:fldChar w:fldCharType="end"/>
      </w:r>
      <w:r>
        <w:rPr>
          <w:rFonts w:hint="eastAsia" w:eastAsia="黑体"/>
          <w:lang w:val="en-US" w:eastAsia="zh-CN"/>
        </w:rPr>
        <w:t>70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_Toc11487 </w:instrText>
      </w:r>
      <w:r>
        <w:rPr>
          <w:rFonts w:eastAsia="黑体"/>
          <w:highlight w:val="none"/>
        </w:rPr>
        <w:fldChar w:fldCharType="separate"/>
      </w:r>
      <w:r>
        <w:rPr>
          <w:rFonts w:hint="eastAsia" w:ascii="宋体" w:hAnsi="宋体" w:cs="宋体"/>
          <w:highlight w:val="none"/>
        </w:rPr>
        <w:t>1.1初步评审标准</w:t>
      </w:r>
      <w:r>
        <w:tab/>
      </w:r>
      <w:r>
        <w:rPr>
          <w:rFonts w:eastAsia="黑体"/>
          <w:color w:val="auto"/>
          <w:highlight w:val="none"/>
        </w:rPr>
        <w:fldChar w:fldCharType="end"/>
      </w:r>
      <w:r>
        <w:rPr>
          <w:rFonts w:hint="eastAsia" w:eastAsia="黑体"/>
          <w:lang w:val="en-US" w:eastAsia="zh-CN"/>
        </w:rPr>
        <w:t>70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_Toc25842 </w:instrText>
      </w:r>
      <w:r>
        <w:rPr>
          <w:rFonts w:eastAsia="黑体"/>
          <w:highlight w:val="none"/>
        </w:rPr>
        <w:fldChar w:fldCharType="separate"/>
      </w:r>
      <w:r>
        <w:rPr>
          <w:rFonts w:hint="eastAsia" w:ascii="宋体" w:hAnsi="宋体" w:cs="宋体"/>
          <w:highlight w:val="none"/>
        </w:rPr>
        <w:t>1.2详细评审标准</w:t>
      </w:r>
      <w:r>
        <w:tab/>
      </w:r>
      <w:r>
        <w:rPr>
          <w:rFonts w:eastAsia="黑体"/>
          <w:color w:val="auto"/>
          <w:highlight w:val="none"/>
        </w:rPr>
        <w:fldChar w:fldCharType="end"/>
      </w:r>
      <w:r>
        <w:rPr>
          <w:rFonts w:hint="eastAsia" w:eastAsia="黑体"/>
          <w:lang w:val="en-US" w:eastAsia="zh-CN"/>
        </w:rPr>
        <w:t>70</w:t>
      </w:r>
    </w:p>
    <w:p>
      <w:pPr>
        <w:pStyle w:val="37"/>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_Toc3830 </w:instrText>
      </w:r>
      <w:r>
        <w:rPr>
          <w:rFonts w:eastAsia="黑体"/>
          <w:highlight w:val="none"/>
        </w:rPr>
        <w:fldChar w:fldCharType="separate"/>
      </w:r>
      <w:r>
        <w:rPr>
          <w:rFonts w:hint="eastAsia" w:ascii="宋体" w:hAnsi="宋体" w:cs="宋体"/>
          <w:highlight w:val="none"/>
        </w:rPr>
        <w:t>2. 评标程序</w:t>
      </w:r>
      <w:r>
        <w:tab/>
      </w:r>
      <w:r>
        <w:rPr>
          <w:rFonts w:eastAsia="黑体"/>
          <w:color w:val="auto"/>
          <w:highlight w:val="none"/>
        </w:rPr>
        <w:fldChar w:fldCharType="end"/>
      </w:r>
      <w:r>
        <w:rPr>
          <w:rFonts w:hint="eastAsia" w:eastAsia="黑体"/>
          <w:lang w:val="en-US" w:eastAsia="zh-CN"/>
        </w:rPr>
        <w:t>70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_Toc16031 </w:instrText>
      </w:r>
      <w:r>
        <w:rPr>
          <w:rFonts w:eastAsia="黑体"/>
          <w:highlight w:val="none"/>
        </w:rPr>
        <w:fldChar w:fldCharType="separate"/>
      </w:r>
      <w:r>
        <w:rPr>
          <w:rFonts w:hint="eastAsia" w:ascii="宋体" w:hAnsi="宋体" w:cs="宋体"/>
          <w:highlight w:val="none"/>
        </w:rPr>
        <w:t>2.1评标准备</w:t>
      </w:r>
      <w:r>
        <w:tab/>
      </w:r>
      <w:r>
        <w:rPr>
          <w:rFonts w:eastAsia="黑体"/>
          <w:color w:val="auto"/>
          <w:highlight w:val="none"/>
        </w:rPr>
        <w:fldChar w:fldCharType="end"/>
      </w:r>
      <w:r>
        <w:rPr>
          <w:rFonts w:hint="eastAsia" w:eastAsia="黑体"/>
          <w:lang w:val="en-US" w:eastAsia="zh-CN"/>
        </w:rPr>
        <w:t>70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_Toc31031 </w:instrText>
      </w:r>
      <w:r>
        <w:rPr>
          <w:rFonts w:eastAsia="黑体"/>
          <w:highlight w:val="none"/>
        </w:rPr>
        <w:fldChar w:fldCharType="separate"/>
      </w:r>
      <w:r>
        <w:rPr>
          <w:rFonts w:hint="eastAsia" w:ascii="宋体" w:hAnsi="宋体" w:cs="宋体"/>
          <w:highlight w:val="none"/>
        </w:rPr>
        <w:t>2.2初步评审</w:t>
      </w:r>
      <w:r>
        <w:tab/>
      </w:r>
      <w:r>
        <w:rPr>
          <w:rFonts w:eastAsia="黑体"/>
          <w:color w:val="auto"/>
          <w:highlight w:val="none"/>
        </w:rPr>
        <w:fldChar w:fldCharType="end"/>
      </w:r>
      <w:r>
        <w:rPr>
          <w:rFonts w:hint="eastAsia" w:eastAsia="黑体"/>
          <w:lang w:val="en-US" w:eastAsia="zh-CN"/>
        </w:rPr>
        <w:t>70</w:t>
      </w:r>
    </w:p>
    <w:p>
      <w:pPr>
        <w:pStyle w:val="22"/>
        <w:tabs>
          <w:tab w:val="right" w:leader="dot" w:pos="8787"/>
        </w:tabs>
        <w:rPr>
          <w:rFonts w:hint="eastAsia" w:eastAsia="黑体"/>
          <w:lang w:val="en-US" w:eastAsia="zh-CN"/>
        </w:rPr>
      </w:pPr>
      <w:r>
        <w:rPr>
          <w:rFonts w:eastAsia="黑体"/>
          <w:color w:val="auto"/>
          <w:highlight w:val="none"/>
        </w:rPr>
        <w:fldChar w:fldCharType="begin"/>
      </w:r>
      <w:r>
        <w:rPr>
          <w:rFonts w:eastAsia="黑体"/>
          <w:highlight w:val="none"/>
        </w:rPr>
        <w:instrText xml:space="preserve"> HYPERLINK \l _Toc13483 </w:instrText>
      </w:r>
      <w:r>
        <w:rPr>
          <w:rFonts w:eastAsia="黑体"/>
          <w:highlight w:val="none"/>
        </w:rPr>
        <w:fldChar w:fldCharType="separate"/>
      </w:r>
      <w:r>
        <w:rPr>
          <w:rFonts w:hint="eastAsia" w:ascii="宋体" w:hAnsi="宋体" w:cs="宋体"/>
          <w:highlight w:val="none"/>
        </w:rPr>
        <w:t>2.3详细评审</w:t>
      </w:r>
      <w:r>
        <w:tab/>
      </w:r>
      <w:r>
        <w:fldChar w:fldCharType="begin"/>
      </w:r>
      <w:r>
        <w:instrText xml:space="preserve"> PAGEREF _Toc13483 \h </w:instrText>
      </w:r>
      <w:r>
        <w:fldChar w:fldCharType="separate"/>
      </w:r>
      <w:r>
        <w:t>7</w:t>
      </w:r>
      <w:r>
        <w:fldChar w:fldCharType="end"/>
      </w:r>
      <w:r>
        <w:rPr>
          <w:rFonts w:eastAsia="黑体"/>
          <w:color w:val="auto"/>
          <w:highlight w:val="none"/>
        </w:rPr>
        <w:fldChar w:fldCharType="end"/>
      </w:r>
      <w:r>
        <w:rPr>
          <w:rFonts w:hint="eastAsia" w:eastAsia="黑体"/>
          <w:color w:val="auto"/>
          <w:highlight w:val="none"/>
          <w:lang w:val="en-US" w:eastAsia="zh-CN"/>
        </w:rPr>
        <w:t>2</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_Toc10442 </w:instrText>
      </w:r>
      <w:r>
        <w:rPr>
          <w:rFonts w:eastAsia="黑体"/>
          <w:highlight w:val="none"/>
        </w:rPr>
        <w:fldChar w:fldCharType="separate"/>
      </w:r>
      <w:r>
        <w:rPr>
          <w:rFonts w:hint="eastAsia" w:ascii="宋体" w:hAnsi="宋体" w:cs="宋体"/>
          <w:highlight w:val="none"/>
        </w:rPr>
        <w:t>2.4投标文件的澄清和补正</w:t>
      </w:r>
      <w:r>
        <w:tab/>
      </w:r>
      <w:r>
        <w:fldChar w:fldCharType="begin"/>
      </w:r>
      <w:r>
        <w:instrText xml:space="preserve"> PAGEREF _Toc10442 \h </w:instrText>
      </w:r>
      <w:r>
        <w:fldChar w:fldCharType="separate"/>
      </w:r>
      <w:r>
        <w:t>7</w:t>
      </w:r>
      <w:r>
        <w:fldChar w:fldCharType="end"/>
      </w:r>
      <w:r>
        <w:rPr>
          <w:rFonts w:eastAsia="黑体"/>
          <w:color w:val="auto"/>
          <w:highlight w:val="none"/>
        </w:rPr>
        <w:fldChar w:fldCharType="end"/>
      </w:r>
      <w:r>
        <w:rPr>
          <w:rFonts w:hint="eastAsia" w:eastAsia="黑体"/>
          <w:lang w:val="en-US" w:eastAsia="zh-CN"/>
        </w:rPr>
        <w:t>2</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_Toc24682 </w:instrText>
      </w:r>
      <w:r>
        <w:rPr>
          <w:rFonts w:eastAsia="黑体"/>
          <w:highlight w:val="none"/>
        </w:rPr>
        <w:fldChar w:fldCharType="separate"/>
      </w:r>
      <w:r>
        <w:rPr>
          <w:rFonts w:hint="eastAsia" w:ascii="宋体" w:hAnsi="宋体" w:cs="宋体"/>
          <w:highlight w:val="none"/>
        </w:rPr>
        <w:t>2.5推荐</w:t>
      </w:r>
      <w:r>
        <w:rPr>
          <w:rFonts w:hint="eastAsia" w:ascii="宋体" w:hAnsi="宋体" w:cs="宋体"/>
          <w:highlight w:val="none"/>
          <w:lang w:val="en-US" w:eastAsia="zh-CN"/>
        </w:rPr>
        <w:t>中标</w:t>
      </w:r>
      <w:r>
        <w:rPr>
          <w:rFonts w:hint="eastAsia" w:ascii="宋体" w:hAnsi="宋体" w:cs="宋体"/>
          <w:highlight w:val="none"/>
        </w:rPr>
        <w:t>候选人</w:t>
      </w:r>
      <w:r>
        <w:tab/>
      </w:r>
      <w:r>
        <w:fldChar w:fldCharType="begin"/>
      </w:r>
      <w:r>
        <w:instrText xml:space="preserve"> PAGEREF _Toc24682 \h </w:instrText>
      </w:r>
      <w:r>
        <w:fldChar w:fldCharType="separate"/>
      </w:r>
      <w:r>
        <w:t>7</w:t>
      </w:r>
      <w:r>
        <w:fldChar w:fldCharType="end"/>
      </w:r>
      <w:r>
        <w:rPr>
          <w:rFonts w:eastAsia="黑体"/>
          <w:color w:val="auto"/>
          <w:highlight w:val="none"/>
        </w:rPr>
        <w:fldChar w:fldCharType="end"/>
      </w:r>
      <w:r>
        <w:rPr>
          <w:rFonts w:hint="eastAsia" w:eastAsia="黑体"/>
          <w:lang w:val="en-US" w:eastAsia="zh-CN"/>
        </w:rPr>
        <w:t>3</w:t>
      </w:r>
    </w:p>
    <w:p>
      <w:pPr>
        <w:pStyle w:val="31"/>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_Toc10047 </w:instrText>
      </w:r>
      <w:r>
        <w:rPr>
          <w:rFonts w:eastAsia="黑体"/>
          <w:highlight w:val="none"/>
        </w:rPr>
        <w:fldChar w:fldCharType="separate"/>
      </w:r>
      <w:r>
        <w:rPr>
          <w:rFonts w:hint="eastAsia"/>
          <w:highlight w:val="none"/>
        </w:rPr>
        <w:t>第三章</w:t>
      </w:r>
      <w:r>
        <w:rPr>
          <w:highlight w:val="none"/>
        </w:rPr>
        <w:t xml:space="preserve"> </w:t>
      </w:r>
      <w:r>
        <w:rPr>
          <w:rFonts w:hint="eastAsia"/>
          <w:highlight w:val="none"/>
        </w:rPr>
        <w:t>评标办法（</w:t>
      </w:r>
      <w:r>
        <w:rPr>
          <w:rFonts w:hint="eastAsia" w:ascii="黑体" w:hAnsi="黑体" w:cs="黑体"/>
          <w:szCs w:val="32"/>
          <w:highlight w:val="none"/>
        </w:rPr>
        <w:t>评定分离法</w:t>
      </w:r>
      <w:r>
        <w:rPr>
          <w:rFonts w:hint="eastAsia" w:ascii="黑体" w:hAnsi="黑体" w:cs="黑体"/>
          <w:szCs w:val="32"/>
          <w:highlight w:val="none"/>
          <w:lang w:eastAsia="zh-CN"/>
        </w:rPr>
        <w:t>，</w:t>
      </w:r>
      <w:r>
        <w:rPr>
          <w:rFonts w:hint="eastAsia" w:ascii="宋体" w:hAnsi="宋体" w:cs="宋体"/>
          <w:szCs w:val="32"/>
          <w:highlight w:val="none"/>
          <w:lang w:val="en-US" w:eastAsia="zh-CN"/>
        </w:rPr>
        <w:t>采用两阶段开评标</w:t>
      </w:r>
      <w:r>
        <w:rPr>
          <w:rFonts w:hint="eastAsia"/>
          <w:highlight w:val="none"/>
        </w:rPr>
        <w:t>）</w:t>
      </w:r>
      <w:r>
        <w:tab/>
      </w:r>
      <w:r>
        <w:fldChar w:fldCharType="begin"/>
      </w:r>
      <w:r>
        <w:instrText xml:space="preserve"> PAGEREF _Toc10047 \h </w:instrText>
      </w:r>
      <w:r>
        <w:fldChar w:fldCharType="separate"/>
      </w:r>
      <w:r>
        <w:t>7</w:t>
      </w:r>
      <w:r>
        <w:fldChar w:fldCharType="end"/>
      </w:r>
      <w:r>
        <w:rPr>
          <w:rFonts w:eastAsia="黑体"/>
          <w:color w:val="auto"/>
          <w:highlight w:val="none"/>
        </w:rPr>
        <w:fldChar w:fldCharType="end"/>
      </w:r>
      <w:r>
        <w:rPr>
          <w:rFonts w:hint="eastAsia"/>
          <w:lang w:val="en-US" w:eastAsia="zh-CN"/>
        </w:rPr>
        <w:t>4</w:t>
      </w:r>
    </w:p>
    <w:p>
      <w:pPr>
        <w:pStyle w:val="37"/>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_Toc19603 </w:instrText>
      </w:r>
      <w:r>
        <w:rPr>
          <w:rFonts w:eastAsia="黑体"/>
          <w:highlight w:val="none"/>
        </w:rPr>
        <w:fldChar w:fldCharType="separate"/>
      </w:r>
      <w:r>
        <w:rPr>
          <w:rFonts w:hint="eastAsia" w:ascii="黑体" w:hAnsi="黑体" w:eastAsia="黑体" w:cs="黑体"/>
          <w:bCs w:val="0"/>
          <w:highlight w:val="none"/>
        </w:rPr>
        <w:t>评标办法前附表</w:t>
      </w:r>
      <w:r>
        <w:tab/>
      </w:r>
      <w:r>
        <w:fldChar w:fldCharType="begin"/>
      </w:r>
      <w:r>
        <w:instrText xml:space="preserve"> PAGEREF _Toc19603 \h </w:instrText>
      </w:r>
      <w:r>
        <w:fldChar w:fldCharType="separate"/>
      </w:r>
      <w:r>
        <w:t>7</w:t>
      </w:r>
      <w:r>
        <w:fldChar w:fldCharType="end"/>
      </w:r>
      <w:r>
        <w:rPr>
          <w:rFonts w:eastAsia="黑体"/>
          <w:color w:val="auto"/>
          <w:highlight w:val="none"/>
        </w:rPr>
        <w:fldChar w:fldCharType="end"/>
      </w:r>
      <w:r>
        <w:rPr>
          <w:rFonts w:hint="eastAsia" w:eastAsia="黑体"/>
          <w:lang w:val="en-US" w:eastAsia="zh-CN"/>
        </w:rPr>
        <w:t>4</w:t>
      </w:r>
    </w:p>
    <w:p>
      <w:pPr>
        <w:pStyle w:val="37"/>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_Toc26188 </w:instrText>
      </w:r>
      <w:r>
        <w:rPr>
          <w:rFonts w:eastAsia="黑体"/>
          <w:highlight w:val="none"/>
        </w:rPr>
        <w:fldChar w:fldCharType="separate"/>
      </w:r>
      <w:r>
        <w:rPr>
          <w:rFonts w:hint="eastAsia" w:ascii="黑体" w:hAnsi="黑体" w:eastAsia="黑体" w:cs="黑体"/>
          <w:bCs w:val="0"/>
          <w:highlight w:val="none"/>
        </w:rPr>
        <w:t>综合评估法一：适用于可行性研究完成阶段工程总承包招标</w:t>
      </w:r>
      <w:r>
        <w:tab/>
      </w:r>
      <w:r>
        <w:fldChar w:fldCharType="begin"/>
      </w:r>
      <w:r>
        <w:instrText xml:space="preserve"> PAGEREF _Toc26188 \h </w:instrText>
      </w:r>
      <w:r>
        <w:fldChar w:fldCharType="separate"/>
      </w:r>
      <w:r>
        <w:t>7</w:t>
      </w:r>
      <w:r>
        <w:fldChar w:fldCharType="end"/>
      </w:r>
      <w:r>
        <w:rPr>
          <w:rFonts w:eastAsia="黑体"/>
          <w:color w:val="auto"/>
          <w:highlight w:val="none"/>
        </w:rPr>
        <w:fldChar w:fldCharType="end"/>
      </w:r>
      <w:r>
        <w:rPr>
          <w:rFonts w:hint="eastAsia" w:eastAsia="黑体"/>
          <w:lang w:val="en-US" w:eastAsia="zh-CN"/>
        </w:rPr>
        <w:t>7</w:t>
      </w:r>
    </w:p>
    <w:p>
      <w:pPr>
        <w:pStyle w:val="37"/>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_Toc22134 </w:instrText>
      </w:r>
      <w:r>
        <w:rPr>
          <w:rFonts w:eastAsia="黑体"/>
          <w:highlight w:val="none"/>
        </w:rPr>
        <w:fldChar w:fldCharType="separate"/>
      </w:r>
      <w:r>
        <w:rPr>
          <w:rFonts w:hint="eastAsia" w:ascii="黑体" w:hAnsi="黑体" w:eastAsia="黑体" w:cs="黑体"/>
          <w:bCs w:val="0"/>
          <w:highlight w:val="none"/>
        </w:rPr>
        <w:t>综合评估法二：适用于方案设计完成之后的工程总承包招标</w:t>
      </w:r>
      <w:r>
        <w:tab/>
      </w:r>
      <w:r>
        <w:fldChar w:fldCharType="begin"/>
      </w:r>
      <w:r>
        <w:instrText xml:space="preserve"> PAGEREF _Toc22134 \h </w:instrText>
      </w:r>
      <w:r>
        <w:fldChar w:fldCharType="separate"/>
      </w:r>
      <w:r>
        <w:t>8</w:t>
      </w:r>
      <w:r>
        <w:fldChar w:fldCharType="end"/>
      </w:r>
      <w:r>
        <w:rPr>
          <w:rFonts w:eastAsia="黑体"/>
          <w:color w:val="auto"/>
          <w:highlight w:val="none"/>
        </w:rPr>
        <w:fldChar w:fldCharType="end"/>
      </w:r>
      <w:r>
        <w:rPr>
          <w:rFonts w:hint="eastAsia" w:eastAsia="黑体"/>
          <w:lang w:val="en-US" w:eastAsia="zh-CN"/>
        </w:rPr>
        <w:t>4</w:t>
      </w:r>
    </w:p>
    <w:p>
      <w:pPr>
        <w:pStyle w:val="37"/>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_Toc32425 </w:instrText>
      </w:r>
      <w:r>
        <w:rPr>
          <w:rFonts w:eastAsia="黑体"/>
          <w:highlight w:val="none"/>
        </w:rPr>
        <w:fldChar w:fldCharType="separate"/>
      </w:r>
      <w:r>
        <w:rPr>
          <w:rFonts w:hint="eastAsia" w:ascii="黑体" w:hAnsi="黑体" w:eastAsia="黑体" w:cs="黑体"/>
          <w:bCs w:val="0"/>
          <w:highlight w:val="none"/>
        </w:rPr>
        <w:t>综合评估法四：适用于专业工程工程总承包招标</w:t>
      </w:r>
      <w:r>
        <w:tab/>
      </w:r>
      <w:r>
        <w:rPr>
          <w:rFonts w:eastAsia="黑体"/>
          <w:color w:val="auto"/>
          <w:highlight w:val="none"/>
        </w:rPr>
        <w:fldChar w:fldCharType="end"/>
      </w:r>
      <w:r>
        <w:rPr>
          <w:rFonts w:hint="eastAsia" w:eastAsia="黑体"/>
          <w:lang w:val="en-US" w:eastAsia="zh-CN"/>
        </w:rPr>
        <w:t>91</w:t>
      </w:r>
    </w:p>
    <w:p>
      <w:pPr>
        <w:pStyle w:val="37"/>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_Toc18921 </w:instrText>
      </w:r>
      <w:r>
        <w:rPr>
          <w:rFonts w:eastAsia="黑体"/>
          <w:highlight w:val="none"/>
        </w:rPr>
        <w:fldChar w:fldCharType="separate"/>
      </w:r>
      <w:r>
        <w:rPr>
          <w:rFonts w:hint="eastAsia" w:ascii="宋体" w:hAnsi="宋体" w:cs="宋体"/>
          <w:highlight w:val="none"/>
        </w:rPr>
        <w:t>1. 评审标准</w:t>
      </w:r>
      <w:r>
        <w:tab/>
      </w:r>
      <w:r>
        <w:fldChar w:fldCharType="begin"/>
      </w:r>
      <w:r>
        <w:instrText xml:space="preserve"> PAGEREF _Toc18921 \h </w:instrText>
      </w:r>
      <w:r>
        <w:fldChar w:fldCharType="separate"/>
      </w:r>
      <w:r>
        <w:t>9</w:t>
      </w:r>
      <w:r>
        <w:fldChar w:fldCharType="end"/>
      </w:r>
      <w:r>
        <w:rPr>
          <w:rFonts w:eastAsia="黑体"/>
          <w:color w:val="auto"/>
          <w:highlight w:val="none"/>
        </w:rPr>
        <w:fldChar w:fldCharType="end"/>
      </w:r>
      <w:r>
        <w:rPr>
          <w:rFonts w:hint="eastAsia" w:eastAsia="黑体"/>
          <w:lang w:val="en-US" w:eastAsia="zh-CN"/>
        </w:rPr>
        <w:t>5</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_Toc21202 </w:instrText>
      </w:r>
      <w:r>
        <w:rPr>
          <w:rFonts w:eastAsia="黑体"/>
          <w:highlight w:val="none"/>
        </w:rPr>
        <w:fldChar w:fldCharType="separate"/>
      </w:r>
      <w:r>
        <w:rPr>
          <w:rFonts w:hint="eastAsia" w:ascii="宋体" w:hAnsi="宋体" w:cs="宋体"/>
          <w:highlight w:val="none"/>
        </w:rPr>
        <w:t>1.1初步评审标准</w:t>
      </w:r>
      <w:r>
        <w:tab/>
      </w:r>
      <w:r>
        <w:fldChar w:fldCharType="begin"/>
      </w:r>
      <w:r>
        <w:instrText xml:space="preserve"> PAGEREF _Toc21202 \h </w:instrText>
      </w:r>
      <w:r>
        <w:fldChar w:fldCharType="separate"/>
      </w:r>
      <w:r>
        <w:t>9</w:t>
      </w:r>
      <w:r>
        <w:fldChar w:fldCharType="end"/>
      </w:r>
      <w:r>
        <w:rPr>
          <w:rFonts w:eastAsia="黑体"/>
          <w:color w:val="auto"/>
          <w:highlight w:val="none"/>
        </w:rPr>
        <w:fldChar w:fldCharType="end"/>
      </w:r>
      <w:r>
        <w:rPr>
          <w:rFonts w:hint="eastAsia" w:eastAsia="黑体"/>
          <w:lang w:val="en-US" w:eastAsia="zh-CN"/>
        </w:rPr>
        <w:t>5</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_Toc5518 </w:instrText>
      </w:r>
      <w:r>
        <w:rPr>
          <w:rFonts w:eastAsia="黑体"/>
          <w:highlight w:val="none"/>
        </w:rPr>
        <w:fldChar w:fldCharType="separate"/>
      </w:r>
      <w:r>
        <w:rPr>
          <w:rFonts w:hint="eastAsia" w:ascii="宋体" w:hAnsi="宋体" w:cs="宋体"/>
          <w:highlight w:val="none"/>
        </w:rPr>
        <w:t>1.2详细评审标准</w:t>
      </w:r>
      <w:r>
        <w:tab/>
      </w:r>
      <w:r>
        <w:fldChar w:fldCharType="begin"/>
      </w:r>
      <w:r>
        <w:instrText xml:space="preserve"> PAGEREF _Toc5518 \h </w:instrText>
      </w:r>
      <w:r>
        <w:fldChar w:fldCharType="separate"/>
      </w:r>
      <w:r>
        <w:t>9</w:t>
      </w:r>
      <w:r>
        <w:fldChar w:fldCharType="end"/>
      </w:r>
      <w:r>
        <w:rPr>
          <w:rFonts w:eastAsia="黑体"/>
          <w:color w:val="auto"/>
          <w:highlight w:val="none"/>
        </w:rPr>
        <w:fldChar w:fldCharType="end"/>
      </w:r>
      <w:r>
        <w:rPr>
          <w:rFonts w:hint="eastAsia" w:eastAsia="黑体"/>
          <w:lang w:val="en-US" w:eastAsia="zh-CN"/>
        </w:rPr>
        <w:t>5</w:t>
      </w:r>
    </w:p>
    <w:p>
      <w:pPr>
        <w:pStyle w:val="37"/>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_Toc7335 </w:instrText>
      </w:r>
      <w:r>
        <w:rPr>
          <w:rFonts w:eastAsia="黑体"/>
          <w:highlight w:val="none"/>
        </w:rPr>
        <w:fldChar w:fldCharType="separate"/>
      </w:r>
      <w:r>
        <w:rPr>
          <w:rFonts w:hint="eastAsia" w:ascii="宋体" w:hAnsi="宋体" w:cs="宋体"/>
          <w:highlight w:val="none"/>
        </w:rPr>
        <w:t>2. 评标程序</w:t>
      </w:r>
      <w:r>
        <w:tab/>
      </w:r>
      <w:r>
        <w:fldChar w:fldCharType="begin"/>
      </w:r>
      <w:r>
        <w:instrText xml:space="preserve"> PAGEREF _Toc7335 \h </w:instrText>
      </w:r>
      <w:r>
        <w:fldChar w:fldCharType="separate"/>
      </w:r>
      <w:r>
        <w:t>9</w:t>
      </w:r>
      <w:r>
        <w:fldChar w:fldCharType="end"/>
      </w:r>
      <w:r>
        <w:rPr>
          <w:rFonts w:eastAsia="黑体"/>
          <w:color w:val="auto"/>
          <w:highlight w:val="none"/>
        </w:rPr>
        <w:fldChar w:fldCharType="end"/>
      </w:r>
      <w:r>
        <w:rPr>
          <w:rFonts w:hint="eastAsia" w:eastAsia="黑体"/>
          <w:lang w:val="en-US" w:eastAsia="zh-CN"/>
        </w:rPr>
        <w:t>6</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_Toc8803 </w:instrText>
      </w:r>
      <w:r>
        <w:rPr>
          <w:rFonts w:eastAsia="黑体"/>
          <w:highlight w:val="none"/>
        </w:rPr>
        <w:fldChar w:fldCharType="separate"/>
      </w:r>
      <w:r>
        <w:rPr>
          <w:rFonts w:hint="eastAsia" w:ascii="宋体" w:hAnsi="宋体" w:cs="宋体"/>
          <w:highlight w:val="none"/>
        </w:rPr>
        <w:t>2.1第一阶段评审</w:t>
      </w:r>
      <w:r>
        <w:tab/>
      </w:r>
      <w:r>
        <w:fldChar w:fldCharType="begin"/>
      </w:r>
      <w:r>
        <w:instrText xml:space="preserve"> PAGEREF _Toc8803 \h </w:instrText>
      </w:r>
      <w:r>
        <w:fldChar w:fldCharType="separate"/>
      </w:r>
      <w:r>
        <w:t>9</w:t>
      </w:r>
      <w:r>
        <w:fldChar w:fldCharType="end"/>
      </w:r>
      <w:r>
        <w:rPr>
          <w:rFonts w:eastAsia="黑体"/>
          <w:color w:val="auto"/>
          <w:highlight w:val="none"/>
        </w:rPr>
        <w:fldChar w:fldCharType="end"/>
      </w:r>
      <w:r>
        <w:rPr>
          <w:rFonts w:hint="eastAsia" w:eastAsia="黑体"/>
          <w:lang w:val="en-US" w:eastAsia="zh-CN"/>
        </w:rPr>
        <w:t>6</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_Toc25928 </w:instrText>
      </w:r>
      <w:r>
        <w:rPr>
          <w:rFonts w:eastAsia="黑体"/>
          <w:highlight w:val="none"/>
        </w:rPr>
        <w:fldChar w:fldCharType="separate"/>
      </w:r>
      <w:r>
        <w:rPr>
          <w:rFonts w:hint="eastAsia" w:ascii="宋体" w:hAnsi="宋体" w:cs="宋体"/>
          <w:highlight w:val="none"/>
        </w:rPr>
        <w:t>2.2第二阶段评审</w:t>
      </w:r>
      <w:r>
        <w:tab/>
      </w:r>
      <w:r>
        <w:fldChar w:fldCharType="begin"/>
      </w:r>
      <w:r>
        <w:instrText xml:space="preserve"> PAGEREF _Toc25928 \h </w:instrText>
      </w:r>
      <w:r>
        <w:fldChar w:fldCharType="separate"/>
      </w:r>
      <w:r>
        <w:t>9</w:t>
      </w:r>
      <w:r>
        <w:fldChar w:fldCharType="end"/>
      </w:r>
      <w:r>
        <w:rPr>
          <w:rFonts w:eastAsia="黑体"/>
          <w:color w:val="auto"/>
          <w:highlight w:val="none"/>
        </w:rPr>
        <w:fldChar w:fldCharType="end"/>
      </w:r>
      <w:r>
        <w:rPr>
          <w:rFonts w:hint="eastAsia" w:eastAsia="黑体"/>
          <w:lang w:val="en-US" w:eastAsia="zh-CN"/>
        </w:rPr>
        <w:t>6</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_Toc28861 </w:instrText>
      </w:r>
      <w:r>
        <w:rPr>
          <w:rFonts w:eastAsia="黑体"/>
          <w:highlight w:val="none"/>
        </w:rPr>
        <w:fldChar w:fldCharType="separate"/>
      </w:r>
      <w:r>
        <w:rPr>
          <w:rFonts w:hint="eastAsia" w:ascii="宋体" w:hAnsi="宋体" w:cs="宋体"/>
          <w:highlight w:val="none"/>
        </w:rPr>
        <w:t>2.3投标文件的澄清和补正</w:t>
      </w:r>
      <w:r>
        <w:tab/>
      </w:r>
      <w:r>
        <w:fldChar w:fldCharType="begin"/>
      </w:r>
      <w:r>
        <w:instrText xml:space="preserve"> PAGEREF _Toc28861 \h </w:instrText>
      </w:r>
      <w:r>
        <w:fldChar w:fldCharType="separate"/>
      </w:r>
      <w:r>
        <w:t>9</w:t>
      </w:r>
      <w:r>
        <w:fldChar w:fldCharType="end"/>
      </w:r>
      <w:r>
        <w:rPr>
          <w:rFonts w:eastAsia="黑体"/>
          <w:color w:val="auto"/>
          <w:highlight w:val="none"/>
        </w:rPr>
        <w:fldChar w:fldCharType="end"/>
      </w:r>
      <w:r>
        <w:rPr>
          <w:rFonts w:hint="eastAsia" w:eastAsia="黑体"/>
          <w:lang w:val="en-US" w:eastAsia="zh-CN"/>
        </w:rPr>
        <w:t>8</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_Toc8354 </w:instrText>
      </w:r>
      <w:r>
        <w:rPr>
          <w:rFonts w:eastAsia="黑体"/>
          <w:highlight w:val="none"/>
        </w:rPr>
        <w:fldChar w:fldCharType="separate"/>
      </w:r>
      <w:r>
        <w:rPr>
          <w:rFonts w:hint="eastAsia" w:ascii="宋体" w:hAnsi="宋体" w:cs="宋体"/>
          <w:highlight w:val="none"/>
        </w:rPr>
        <w:t>2.4推荐</w:t>
      </w:r>
      <w:r>
        <w:rPr>
          <w:rFonts w:hint="eastAsia" w:ascii="宋体" w:hAnsi="宋体" w:cs="宋体"/>
          <w:szCs w:val="21"/>
          <w:highlight w:val="none"/>
          <w:lang w:val="en-US" w:eastAsia="zh-CN"/>
        </w:rPr>
        <w:t>中标</w:t>
      </w:r>
      <w:r>
        <w:rPr>
          <w:rFonts w:hint="eastAsia" w:ascii="宋体" w:hAnsi="宋体" w:cs="宋体"/>
          <w:highlight w:val="none"/>
        </w:rPr>
        <w:t>候选人</w:t>
      </w:r>
      <w:r>
        <w:tab/>
      </w:r>
      <w:r>
        <w:fldChar w:fldCharType="begin"/>
      </w:r>
      <w:r>
        <w:instrText xml:space="preserve"> PAGEREF _Toc8354 \h </w:instrText>
      </w:r>
      <w:r>
        <w:fldChar w:fldCharType="separate"/>
      </w:r>
      <w:r>
        <w:t>9</w:t>
      </w:r>
      <w:r>
        <w:fldChar w:fldCharType="end"/>
      </w:r>
      <w:r>
        <w:rPr>
          <w:rFonts w:eastAsia="黑体"/>
          <w:color w:val="auto"/>
          <w:highlight w:val="none"/>
        </w:rPr>
        <w:fldChar w:fldCharType="end"/>
      </w:r>
      <w:r>
        <w:rPr>
          <w:rFonts w:hint="eastAsia" w:eastAsia="黑体"/>
          <w:lang w:val="en-US" w:eastAsia="zh-CN"/>
        </w:rPr>
        <w:t>9</w:t>
      </w:r>
    </w:p>
    <w:p>
      <w:pPr>
        <w:pStyle w:val="31"/>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_Toc28181 </w:instrText>
      </w:r>
      <w:r>
        <w:rPr>
          <w:rFonts w:eastAsia="黑体"/>
          <w:highlight w:val="none"/>
        </w:rPr>
        <w:fldChar w:fldCharType="separate"/>
      </w:r>
      <w:r>
        <w:rPr>
          <w:rFonts w:hint="eastAsia"/>
          <w:szCs w:val="32"/>
          <w:highlight w:val="none"/>
        </w:rPr>
        <w:t>第四章</w:t>
      </w:r>
      <w:r>
        <w:rPr>
          <w:szCs w:val="32"/>
          <w:highlight w:val="none"/>
        </w:rPr>
        <w:t xml:space="preserve"> </w:t>
      </w:r>
      <w:r>
        <w:rPr>
          <w:rFonts w:hint="eastAsia"/>
          <w:szCs w:val="32"/>
          <w:highlight w:val="none"/>
        </w:rPr>
        <w:t>合同条款及格式</w:t>
      </w:r>
      <w:r>
        <w:tab/>
      </w:r>
      <w:r>
        <w:rPr>
          <w:rFonts w:eastAsia="黑体"/>
          <w:color w:val="auto"/>
          <w:highlight w:val="none"/>
        </w:rPr>
        <w:fldChar w:fldCharType="end"/>
      </w:r>
      <w:r>
        <w:rPr>
          <w:rFonts w:hint="eastAsia"/>
          <w:lang w:val="en-US" w:eastAsia="zh-CN"/>
        </w:rPr>
        <w:t>100</w:t>
      </w:r>
    </w:p>
    <w:p>
      <w:pPr>
        <w:pStyle w:val="31"/>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_Toc12931 </w:instrText>
      </w:r>
      <w:r>
        <w:rPr>
          <w:rFonts w:eastAsia="黑体"/>
          <w:highlight w:val="none"/>
        </w:rPr>
        <w:fldChar w:fldCharType="separate"/>
      </w:r>
      <w:r>
        <w:rPr>
          <w:rFonts w:hint="eastAsia" w:asciiTheme="minorEastAsia" w:hAnsiTheme="minorEastAsia" w:eastAsiaTheme="minorEastAsia" w:cstheme="minorEastAsia"/>
          <w:szCs w:val="21"/>
          <w:highlight w:val="none"/>
        </w:rPr>
        <w:t>专用合同条件附件</w:t>
      </w:r>
      <w:r>
        <w:tab/>
      </w:r>
      <w:r>
        <w:fldChar w:fldCharType="begin"/>
      </w:r>
      <w:r>
        <w:instrText xml:space="preserve"> PAGEREF _Toc12931 \h </w:instrText>
      </w:r>
      <w:r>
        <w:fldChar w:fldCharType="separate"/>
      </w:r>
      <w:r>
        <w:t>1</w:t>
      </w:r>
      <w:r>
        <w:fldChar w:fldCharType="end"/>
      </w:r>
      <w:r>
        <w:rPr>
          <w:rFonts w:eastAsia="黑体"/>
          <w:color w:val="auto"/>
          <w:highlight w:val="none"/>
        </w:rPr>
        <w:fldChar w:fldCharType="end"/>
      </w:r>
      <w:r>
        <w:rPr>
          <w:rFonts w:hint="eastAsia"/>
          <w:lang w:val="en-US" w:eastAsia="zh-CN"/>
        </w:rPr>
        <w:t>20</w:t>
      </w:r>
    </w:p>
    <w:p>
      <w:pPr>
        <w:pStyle w:val="31"/>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_Toc21080 </w:instrText>
      </w:r>
      <w:r>
        <w:rPr>
          <w:rFonts w:eastAsia="黑体"/>
          <w:highlight w:val="none"/>
        </w:rPr>
        <w:fldChar w:fldCharType="separate"/>
      </w:r>
      <w:r>
        <w:rPr>
          <w:rFonts w:hint="eastAsia" w:ascii="黑体" w:hAnsi="黑体" w:cs="黑体"/>
          <w:szCs w:val="32"/>
          <w:highlight w:val="none"/>
        </w:rPr>
        <w:t>第五章 报价清单</w:t>
      </w:r>
      <w:r>
        <w:tab/>
      </w:r>
      <w:r>
        <w:fldChar w:fldCharType="begin"/>
      </w:r>
      <w:r>
        <w:instrText xml:space="preserve"> PAGEREF _Toc21080 \h </w:instrText>
      </w:r>
      <w:r>
        <w:fldChar w:fldCharType="separate"/>
      </w:r>
      <w:r>
        <w:t>12</w:t>
      </w:r>
      <w:r>
        <w:fldChar w:fldCharType="end"/>
      </w:r>
      <w:r>
        <w:rPr>
          <w:rFonts w:eastAsia="黑体"/>
          <w:color w:val="auto"/>
          <w:highlight w:val="none"/>
        </w:rPr>
        <w:fldChar w:fldCharType="end"/>
      </w:r>
      <w:r>
        <w:rPr>
          <w:rFonts w:hint="eastAsia"/>
          <w:lang w:val="en-US" w:eastAsia="zh-CN"/>
        </w:rPr>
        <w:t>9</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_Toc4399 </w:instrText>
      </w:r>
      <w:r>
        <w:rPr>
          <w:rFonts w:eastAsia="黑体"/>
          <w:highlight w:val="none"/>
        </w:rPr>
        <w:fldChar w:fldCharType="separate"/>
      </w:r>
      <w:r>
        <w:rPr>
          <w:rFonts w:hint="eastAsia" w:ascii="宋体" w:hAnsi="宋体" w:cs="宋体"/>
          <w:kern w:val="0"/>
          <w:highlight w:val="none"/>
        </w:rPr>
        <w:t>1. 报价清单综合说明</w:t>
      </w:r>
      <w:r>
        <w:tab/>
      </w:r>
      <w:r>
        <w:fldChar w:fldCharType="begin"/>
      </w:r>
      <w:r>
        <w:instrText xml:space="preserve"> PAGEREF _Toc4399 \h </w:instrText>
      </w:r>
      <w:r>
        <w:fldChar w:fldCharType="separate"/>
      </w:r>
      <w:r>
        <w:t>12</w:t>
      </w:r>
      <w:r>
        <w:fldChar w:fldCharType="end"/>
      </w:r>
      <w:r>
        <w:rPr>
          <w:rFonts w:eastAsia="黑体"/>
          <w:color w:val="auto"/>
          <w:highlight w:val="none"/>
        </w:rPr>
        <w:fldChar w:fldCharType="end"/>
      </w:r>
      <w:r>
        <w:rPr>
          <w:rFonts w:hint="eastAsia" w:eastAsia="黑体"/>
          <w:lang w:val="en-US" w:eastAsia="zh-CN"/>
        </w:rPr>
        <w:t>9</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_Toc2197 </w:instrText>
      </w:r>
      <w:r>
        <w:rPr>
          <w:rFonts w:eastAsia="黑体"/>
          <w:highlight w:val="none"/>
        </w:rPr>
        <w:fldChar w:fldCharType="separate"/>
      </w:r>
      <w:r>
        <w:rPr>
          <w:rFonts w:hint="eastAsia" w:ascii="宋体" w:hAnsi="宋体" w:cs="宋体"/>
          <w:kern w:val="0"/>
          <w:highlight w:val="none"/>
        </w:rPr>
        <w:t>2．设计计价原则：</w:t>
      </w:r>
      <w:r>
        <w:tab/>
      </w:r>
      <w:r>
        <w:fldChar w:fldCharType="begin"/>
      </w:r>
      <w:r>
        <w:instrText xml:space="preserve"> PAGEREF _Toc2197 \h </w:instrText>
      </w:r>
      <w:r>
        <w:fldChar w:fldCharType="separate"/>
      </w:r>
      <w:r>
        <w:t>12</w:t>
      </w:r>
      <w:r>
        <w:fldChar w:fldCharType="end"/>
      </w:r>
      <w:r>
        <w:rPr>
          <w:rFonts w:eastAsia="黑体"/>
          <w:color w:val="auto"/>
          <w:highlight w:val="none"/>
        </w:rPr>
        <w:fldChar w:fldCharType="end"/>
      </w:r>
      <w:r>
        <w:rPr>
          <w:rFonts w:hint="eastAsia" w:eastAsia="黑体"/>
          <w:lang w:val="en-US" w:eastAsia="zh-CN"/>
        </w:rPr>
        <w:t>9</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_Toc6610 </w:instrText>
      </w:r>
      <w:r>
        <w:rPr>
          <w:rFonts w:eastAsia="黑体"/>
          <w:highlight w:val="none"/>
        </w:rPr>
        <w:fldChar w:fldCharType="separate"/>
      </w:r>
      <w:r>
        <w:rPr>
          <w:rFonts w:hint="eastAsia" w:ascii="宋体" w:hAnsi="宋体" w:cs="宋体"/>
          <w:kern w:val="0"/>
          <w:highlight w:val="none"/>
        </w:rPr>
        <w:t xml:space="preserve">3．施工计价原则： </w:t>
      </w:r>
      <w:r>
        <w:tab/>
      </w:r>
      <w:r>
        <w:fldChar w:fldCharType="begin"/>
      </w:r>
      <w:r>
        <w:instrText xml:space="preserve"> PAGEREF _Toc6610 \h </w:instrText>
      </w:r>
      <w:r>
        <w:fldChar w:fldCharType="separate"/>
      </w:r>
      <w:r>
        <w:t>12</w:t>
      </w:r>
      <w:r>
        <w:fldChar w:fldCharType="end"/>
      </w:r>
      <w:r>
        <w:rPr>
          <w:rFonts w:eastAsia="黑体"/>
          <w:color w:val="auto"/>
          <w:highlight w:val="none"/>
        </w:rPr>
        <w:fldChar w:fldCharType="end"/>
      </w:r>
      <w:r>
        <w:rPr>
          <w:rFonts w:hint="eastAsia" w:eastAsia="黑体"/>
          <w:lang w:val="en-US" w:eastAsia="zh-CN"/>
        </w:rPr>
        <w:t>9</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_Toc1598 </w:instrText>
      </w:r>
      <w:r>
        <w:rPr>
          <w:rFonts w:eastAsia="黑体"/>
          <w:highlight w:val="none"/>
        </w:rPr>
        <w:fldChar w:fldCharType="separate"/>
      </w:r>
      <w:r>
        <w:rPr>
          <w:rFonts w:hint="eastAsia" w:ascii="宋体" w:hAnsi="宋体" w:cs="宋体"/>
          <w:kern w:val="0"/>
          <w:highlight w:val="none"/>
        </w:rPr>
        <w:t>4．采购计价原则：</w:t>
      </w:r>
      <w:r>
        <w:tab/>
      </w:r>
      <w:r>
        <w:fldChar w:fldCharType="begin"/>
      </w:r>
      <w:r>
        <w:instrText xml:space="preserve"> PAGEREF _Toc1598 \h </w:instrText>
      </w:r>
      <w:r>
        <w:fldChar w:fldCharType="separate"/>
      </w:r>
      <w:r>
        <w:t>12</w:t>
      </w:r>
      <w:r>
        <w:fldChar w:fldCharType="end"/>
      </w:r>
      <w:r>
        <w:rPr>
          <w:rFonts w:eastAsia="黑体"/>
          <w:color w:val="auto"/>
          <w:highlight w:val="none"/>
        </w:rPr>
        <w:fldChar w:fldCharType="end"/>
      </w:r>
      <w:r>
        <w:rPr>
          <w:rFonts w:hint="eastAsia" w:eastAsia="黑体"/>
          <w:lang w:val="en-US" w:eastAsia="zh-CN"/>
        </w:rPr>
        <w:t>9</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_Toc3391 </w:instrText>
      </w:r>
      <w:r>
        <w:rPr>
          <w:rFonts w:eastAsia="黑体"/>
          <w:highlight w:val="none"/>
        </w:rPr>
        <w:fldChar w:fldCharType="separate"/>
      </w:r>
      <w:r>
        <w:rPr>
          <w:rFonts w:hint="eastAsia" w:ascii="宋体" w:hAnsi="宋体" w:cs="宋体"/>
          <w:kern w:val="0"/>
          <w:highlight w:val="none"/>
        </w:rPr>
        <w:t>5．其他说明：</w:t>
      </w:r>
      <w:r>
        <w:tab/>
      </w:r>
      <w:r>
        <w:fldChar w:fldCharType="begin"/>
      </w:r>
      <w:r>
        <w:instrText xml:space="preserve"> PAGEREF _Toc3391 \h </w:instrText>
      </w:r>
      <w:r>
        <w:fldChar w:fldCharType="separate"/>
      </w:r>
      <w:r>
        <w:t>12</w:t>
      </w:r>
      <w:r>
        <w:fldChar w:fldCharType="end"/>
      </w:r>
      <w:r>
        <w:rPr>
          <w:rFonts w:eastAsia="黑体"/>
          <w:color w:val="auto"/>
          <w:highlight w:val="none"/>
        </w:rPr>
        <w:fldChar w:fldCharType="end"/>
      </w:r>
      <w:r>
        <w:rPr>
          <w:rFonts w:hint="eastAsia" w:eastAsia="黑体"/>
          <w:lang w:val="en-US" w:eastAsia="zh-CN"/>
        </w:rPr>
        <w:t>9</w:t>
      </w:r>
    </w:p>
    <w:p>
      <w:pPr>
        <w:pStyle w:val="31"/>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_Toc19805 </w:instrText>
      </w:r>
      <w:r>
        <w:rPr>
          <w:rFonts w:eastAsia="黑体"/>
          <w:highlight w:val="none"/>
        </w:rPr>
        <w:fldChar w:fldCharType="separate"/>
      </w:r>
      <w:r>
        <w:rPr>
          <w:rFonts w:hint="eastAsia"/>
          <w:highlight w:val="none"/>
        </w:rPr>
        <w:t>第六章 发包人要求</w:t>
      </w:r>
      <w:r>
        <w:tab/>
      </w:r>
      <w:r>
        <w:fldChar w:fldCharType="begin"/>
      </w:r>
      <w:r>
        <w:instrText xml:space="preserve"> PAGEREF _Toc19805 \h </w:instrText>
      </w:r>
      <w:r>
        <w:fldChar w:fldCharType="separate"/>
      </w:r>
      <w:r>
        <w:t>1</w:t>
      </w:r>
      <w:r>
        <w:fldChar w:fldCharType="end"/>
      </w:r>
      <w:r>
        <w:rPr>
          <w:rFonts w:eastAsia="黑体"/>
          <w:color w:val="auto"/>
          <w:highlight w:val="none"/>
        </w:rPr>
        <w:fldChar w:fldCharType="end"/>
      </w:r>
      <w:r>
        <w:rPr>
          <w:rFonts w:hint="eastAsia"/>
          <w:lang w:val="en-US" w:eastAsia="zh-CN"/>
        </w:rPr>
        <w:t>30</w:t>
      </w:r>
    </w:p>
    <w:p>
      <w:pPr>
        <w:pStyle w:val="31"/>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_Toc8150 </w:instrText>
      </w:r>
      <w:r>
        <w:rPr>
          <w:rFonts w:eastAsia="黑体"/>
          <w:highlight w:val="none"/>
        </w:rPr>
        <w:fldChar w:fldCharType="separate"/>
      </w:r>
      <w:r>
        <w:rPr>
          <w:rFonts w:hint="eastAsia"/>
          <w:szCs w:val="32"/>
          <w:highlight w:val="none"/>
        </w:rPr>
        <w:t>第七章</w:t>
      </w:r>
      <w:r>
        <w:rPr>
          <w:szCs w:val="32"/>
          <w:highlight w:val="none"/>
        </w:rPr>
        <w:t xml:space="preserve"> </w:t>
      </w:r>
      <w:r>
        <w:rPr>
          <w:rFonts w:hint="eastAsia"/>
          <w:szCs w:val="32"/>
          <w:highlight w:val="none"/>
        </w:rPr>
        <w:t>发包人提供的资料</w:t>
      </w:r>
      <w:r>
        <w:tab/>
      </w:r>
      <w:r>
        <w:fldChar w:fldCharType="begin"/>
      </w:r>
      <w:r>
        <w:instrText xml:space="preserve"> PAGEREF _Toc8150 \h </w:instrText>
      </w:r>
      <w:r>
        <w:fldChar w:fldCharType="separate"/>
      </w:r>
      <w:r>
        <w:t>1</w:t>
      </w:r>
      <w:r>
        <w:fldChar w:fldCharType="end"/>
      </w:r>
      <w:r>
        <w:rPr>
          <w:rFonts w:eastAsia="黑体"/>
          <w:color w:val="auto"/>
          <w:highlight w:val="none"/>
        </w:rPr>
        <w:fldChar w:fldCharType="end"/>
      </w:r>
      <w:r>
        <w:rPr>
          <w:rFonts w:hint="eastAsia"/>
          <w:lang w:val="en-US" w:eastAsia="zh-CN"/>
        </w:rPr>
        <w:t>34</w:t>
      </w:r>
    </w:p>
    <w:p>
      <w:pPr>
        <w:pStyle w:val="31"/>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_Toc31071 </w:instrText>
      </w:r>
      <w:r>
        <w:rPr>
          <w:rFonts w:eastAsia="黑体"/>
          <w:highlight w:val="none"/>
        </w:rPr>
        <w:fldChar w:fldCharType="separate"/>
      </w:r>
      <w:r>
        <w:rPr>
          <w:rFonts w:hint="eastAsia"/>
          <w:szCs w:val="32"/>
          <w:highlight w:val="none"/>
        </w:rPr>
        <w:t>第八章</w:t>
      </w:r>
      <w:r>
        <w:rPr>
          <w:szCs w:val="32"/>
          <w:highlight w:val="none"/>
        </w:rPr>
        <w:t xml:space="preserve"> </w:t>
      </w:r>
      <w:r>
        <w:rPr>
          <w:rFonts w:hint="eastAsia"/>
          <w:szCs w:val="32"/>
          <w:highlight w:val="none"/>
        </w:rPr>
        <w:t>投标文件格式</w:t>
      </w:r>
      <w:r>
        <w:tab/>
      </w:r>
      <w:r>
        <w:fldChar w:fldCharType="begin"/>
      </w:r>
      <w:r>
        <w:instrText xml:space="preserve"> PAGEREF _Toc31071 \h </w:instrText>
      </w:r>
      <w:r>
        <w:fldChar w:fldCharType="separate"/>
      </w:r>
      <w:r>
        <w:t>13</w:t>
      </w:r>
      <w:r>
        <w:fldChar w:fldCharType="end"/>
      </w:r>
      <w:r>
        <w:rPr>
          <w:rFonts w:eastAsia="黑体"/>
          <w:color w:val="auto"/>
          <w:highlight w:val="none"/>
        </w:rPr>
        <w:fldChar w:fldCharType="end"/>
      </w:r>
      <w:r>
        <w:rPr>
          <w:rFonts w:hint="eastAsia"/>
          <w:lang w:val="en-US" w:eastAsia="zh-CN"/>
        </w:rPr>
        <w:t>5</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_Toc7573 </w:instrText>
      </w:r>
      <w:r>
        <w:rPr>
          <w:rFonts w:eastAsia="黑体"/>
          <w:highlight w:val="none"/>
        </w:rPr>
        <w:fldChar w:fldCharType="separate"/>
      </w:r>
      <w:r>
        <w:rPr>
          <w:rFonts w:hint="eastAsia" w:ascii="黑体" w:hAnsi="黑体" w:eastAsia="黑体" w:cs="黑体"/>
          <w:bCs w:val="0"/>
          <w:highlight w:val="none"/>
        </w:rPr>
        <w:t>一、投标函及投标函附录</w:t>
      </w:r>
      <w:r>
        <w:tab/>
      </w:r>
      <w:r>
        <w:fldChar w:fldCharType="begin"/>
      </w:r>
      <w:r>
        <w:instrText xml:space="preserve"> PAGEREF _Toc7573 \h </w:instrText>
      </w:r>
      <w:r>
        <w:fldChar w:fldCharType="separate"/>
      </w:r>
      <w:r>
        <w:t>13</w:t>
      </w:r>
      <w:r>
        <w:fldChar w:fldCharType="end"/>
      </w:r>
      <w:r>
        <w:rPr>
          <w:rFonts w:eastAsia="黑体"/>
          <w:color w:val="auto"/>
          <w:highlight w:val="none"/>
        </w:rPr>
        <w:fldChar w:fldCharType="end"/>
      </w:r>
      <w:r>
        <w:rPr>
          <w:rFonts w:hint="eastAsia" w:eastAsia="黑体"/>
          <w:lang w:val="en-US" w:eastAsia="zh-CN"/>
        </w:rPr>
        <w:t>7</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_Toc29552 </w:instrText>
      </w:r>
      <w:r>
        <w:rPr>
          <w:rFonts w:eastAsia="黑体"/>
          <w:highlight w:val="none"/>
        </w:rPr>
        <w:fldChar w:fldCharType="separate"/>
      </w:r>
      <w:r>
        <w:rPr>
          <w:rFonts w:hint="eastAsia" w:ascii="黑体" w:hAnsi="黑体" w:eastAsia="黑体" w:cs="黑体"/>
          <w:bCs w:val="0"/>
          <w:highlight w:val="none"/>
        </w:rPr>
        <w:t>二、法定代表人身份证明</w:t>
      </w:r>
      <w:r>
        <w:tab/>
      </w:r>
      <w:r>
        <w:fldChar w:fldCharType="begin"/>
      </w:r>
      <w:r>
        <w:instrText xml:space="preserve"> PAGEREF _Toc29552 \h </w:instrText>
      </w:r>
      <w:r>
        <w:fldChar w:fldCharType="separate"/>
      </w:r>
      <w:r>
        <w:t>13</w:t>
      </w:r>
      <w:r>
        <w:fldChar w:fldCharType="end"/>
      </w:r>
      <w:r>
        <w:rPr>
          <w:rFonts w:eastAsia="黑体"/>
          <w:color w:val="auto"/>
          <w:highlight w:val="none"/>
        </w:rPr>
        <w:fldChar w:fldCharType="end"/>
      </w:r>
      <w:r>
        <w:rPr>
          <w:rFonts w:hint="eastAsia" w:eastAsia="黑体"/>
          <w:lang w:val="en-US" w:eastAsia="zh-CN"/>
        </w:rPr>
        <w:t>9</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_Toc27540 </w:instrText>
      </w:r>
      <w:r>
        <w:rPr>
          <w:rFonts w:eastAsia="黑体"/>
          <w:highlight w:val="none"/>
        </w:rPr>
        <w:fldChar w:fldCharType="separate"/>
      </w:r>
      <w:r>
        <w:rPr>
          <w:rFonts w:hint="eastAsia" w:ascii="黑体" w:hAnsi="黑体" w:eastAsia="黑体" w:cs="黑体"/>
          <w:highlight w:val="none"/>
        </w:rPr>
        <w:t>三、授权委托书</w:t>
      </w:r>
      <w:r>
        <w:tab/>
      </w:r>
      <w:r>
        <w:fldChar w:fldCharType="begin"/>
      </w:r>
      <w:r>
        <w:instrText xml:space="preserve"> PAGEREF _Toc27540 \h </w:instrText>
      </w:r>
      <w:r>
        <w:fldChar w:fldCharType="separate"/>
      </w:r>
      <w:r>
        <w:t>1</w:t>
      </w:r>
      <w:r>
        <w:fldChar w:fldCharType="end"/>
      </w:r>
      <w:r>
        <w:rPr>
          <w:rFonts w:eastAsia="黑体"/>
          <w:color w:val="auto"/>
          <w:highlight w:val="none"/>
        </w:rPr>
        <w:fldChar w:fldCharType="end"/>
      </w:r>
      <w:r>
        <w:rPr>
          <w:rFonts w:hint="eastAsia" w:eastAsia="黑体"/>
          <w:lang w:val="en-US" w:eastAsia="zh-CN"/>
        </w:rPr>
        <w:t>40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_Toc4731 </w:instrText>
      </w:r>
      <w:r>
        <w:rPr>
          <w:rFonts w:eastAsia="黑体"/>
          <w:highlight w:val="none"/>
        </w:rPr>
        <w:fldChar w:fldCharType="separate"/>
      </w:r>
      <w:r>
        <w:rPr>
          <w:rFonts w:hint="eastAsia" w:ascii="黑体" w:hAnsi="黑体" w:eastAsia="黑体" w:cs="黑体"/>
          <w:bCs w:val="0"/>
          <w:highlight w:val="none"/>
        </w:rPr>
        <w:t>四、联合体协议书</w:t>
      </w:r>
      <w:r>
        <w:tab/>
      </w:r>
      <w:r>
        <w:fldChar w:fldCharType="begin"/>
      </w:r>
      <w:r>
        <w:instrText xml:space="preserve"> PAGEREF _Toc4731 \h </w:instrText>
      </w:r>
      <w:r>
        <w:fldChar w:fldCharType="separate"/>
      </w:r>
      <w:r>
        <w:t>1</w:t>
      </w:r>
      <w:r>
        <w:fldChar w:fldCharType="end"/>
      </w:r>
      <w:r>
        <w:rPr>
          <w:rFonts w:eastAsia="黑体"/>
          <w:color w:val="auto"/>
          <w:highlight w:val="none"/>
        </w:rPr>
        <w:fldChar w:fldCharType="end"/>
      </w:r>
      <w:r>
        <w:rPr>
          <w:rFonts w:hint="eastAsia" w:eastAsia="黑体"/>
          <w:lang w:val="en-US" w:eastAsia="zh-CN"/>
        </w:rPr>
        <w:t>41</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_Toc14974 </w:instrText>
      </w:r>
      <w:r>
        <w:rPr>
          <w:rFonts w:eastAsia="黑体"/>
          <w:highlight w:val="none"/>
        </w:rPr>
        <w:fldChar w:fldCharType="separate"/>
      </w:r>
      <w:r>
        <w:rPr>
          <w:rFonts w:hint="eastAsia" w:ascii="黑体" w:hAnsi="黑体" w:eastAsia="黑体" w:cs="黑体"/>
          <w:bCs w:val="0"/>
          <w:highlight w:val="none"/>
        </w:rPr>
        <w:t>五、投标保证金</w:t>
      </w:r>
      <w:r>
        <w:tab/>
      </w:r>
      <w:r>
        <w:fldChar w:fldCharType="begin"/>
      </w:r>
      <w:r>
        <w:instrText xml:space="preserve"> PAGEREF _Toc14974 \h </w:instrText>
      </w:r>
      <w:r>
        <w:fldChar w:fldCharType="separate"/>
      </w:r>
      <w:r>
        <w:t>1</w:t>
      </w:r>
      <w:r>
        <w:fldChar w:fldCharType="end"/>
      </w:r>
      <w:r>
        <w:rPr>
          <w:rFonts w:eastAsia="黑体"/>
          <w:color w:val="auto"/>
          <w:highlight w:val="none"/>
        </w:rPr>
        <w:fldChar w:fldCharType="end"/>
      </w:r>
      <w:r>
        <w:rPr>
          <w:rFonts w:hint="eastAsia" w:eastAsia="黑体"/>
          <w:lang w:val="en-US" w:eastAsia="zh-CN"/>
        </w:rPr>
        <w:t>42</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_Toc19521 </w:instrText>
      </w:r>
      <w:r>
        <w:rPr>
          <w:rFonts w:eastAsia="黑体"/>
          <w:highlight w:val="none"/>
        </w:rPr>
        <w:fldChar w:fldCharType="separate"/>
      </w:r>
      <w:r>
        <w:rPr>
          <w:rFonts w:hint="eastAsia" w:ascii="黑体" w:hAnsi="黑体" w:eastAsia="黑体" w:cs="黑体"/>
          <w:bCs w:val="0"/>
          <w:highlight w:val="none"/>
        </w:rPr>
        <w:t>六、资格审查资料</w:t>
      </w:r>
      <w:r>
        <w:tab/>
      </w:r>
      <w:r>
        <w:fldChar w:fldCharType="begin"/>
      </w:r>
      <w:r>
        <w:instrText xml:space="preserve"> PAGEREF _Toc19521 \h </w:instrText>
      </w:r>
      <w:r>
        <w:fldChar w:fldCharType="separate"/>
      </w:r>
      <w:r>
        <w:t>1</w:t>
      </w:r>
      <w:r>
        <w:fldChar w:fldCharType="end"/>
      </w:r>
      <w:r>
        <w:rPr>
          <w:rFonts w:eastAsia="黑体"/>
          <w:color w:val="auto"/>
          <w:highlight w:val="none"/>
        </w:rPr>
        <w:fldChar w:fldCharType="end"/>
      </w:r>
      <w:r>
        <w:rPr>
          <w:rFonts w:hint="eastAsia" w:eastAsia="黑体"/>
          <w:lang w:val="en-US" w:eastAsia="zh-CN"/>
        </w:rPr>
        <w:t>43</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_Toc6601 </w:instrText>
      </w:r>
      <w:r>
        <w:rPr>
          <w:rFonts w:eastAsia="黑体"/>
          <w:highlight w:val="none"/>
        </w:rPr>
        <w:fldChar w:fldCharType="separate"/>
      </w:r>
      <w:r>
        <w:rPr>
          <w:rFonts w:hint="eastAsia" w:ascii="黑体" w:hAnsi="黑体" w:eastAsia="黑体" w:cs="黑体"/>
          <w:bCs w:val="0"/>
          <w:szCs w:val="20"/>
          <w:highlight w:val="none"/>
        </w:rPr>
        <w:t>七、</w:t>
      </w:r>
      <w:r>
        <w:rPr>
          <w:rFonts w:hint="eastAsia" w:ascii="黑体" w:hAnsi="黑体" w:eastAsia="黑体" w:cs="黑体"/>
          <w:bCs w:val="0"/>
          <w:highlight w:val="none"/>
        </w:rPr>
        <w:t>项目管理机构</w:t>
      </w:r>
      <w:r>
        <w:tab/>
      </w:r>
      <w:r>
        <w:fldChar w:fldCharType="begin"/>
      </w:r>
      <w:r>
        <w:instrText xml:space="preserve"> PAGEREF _Toc6601 \h </w:instrText>
      </w:r>
      <w:r>
        <w:fldChar w:fldCharType="separate"/>
      </w:r>
      <w:r>
        <w:t>14</w:t>
      </w:r>
      <w:r>
        <w:fldChar w:fldCharType="end"/>
      </w:r>
      <w:r>
        <w:rPr>
          <w:rFonts w:eastAsia="黑体"/>
          <w:color w:val="auto"/>
          <w:highlight w:val="none"/>
        </w:rPr>
        <w:fldChar w:fldCharType="end"/>
      </w:r>
      <w:r>
        <w:rPr>
          <w:rFonts w:hint="eastAsia" w:eastAsia="黑体"/>
          <w:lang w:val="en-US" w:eastAsia="zh-CN"/>
        </w:rPr>
        <w:t>5</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_Toc2092 </w:instrText>
      </w:r>
      <w:r>
        <w:rPr>
          <w:rFonts w:eastAsia="黑体"/>
          <w:highlight w:val="none"/>
        </w:rPr>
        <w:fldChar w:fldCharType="separate"/>
      </w:r>
      <w:r>
        <w:rPr>
          <w:rFonts w:hint="eastAsia" w:ascii="黑体" w:hAnsi="黑体" w:eastAsia="黑体" w:cs="黑体"/>
          <w:highlight w:val="none"/>
        </w:rPr>
        <w:t>八、拟再发包（分包）计划表</w:t>
      </w:r>
      <w:r>
        <w:tab/>
      </w:r>
      <w:r>
        <w:fldChar w:fldCharType="begin"/>
      </w:r>
      <w:r>
        <w:instrText xml:space="preserve"> PAGEREF _Toc2092 \h </w:instrText>
      </w:r>
      <w:r>
        <w:fldChar w:fldCharType="separate"/>
      </w:r>
      <w:r>
        <w:t>14</w:t>
      </w:r>
      <w:r>
        <w:fldChar w:fldCharType="end"/>
      </w:r>
      <w:r>
        <w:rPr>
          <w:rFonts w:eastAsia="黑体"/>
          <w:color w:val="auto"/>
          <w:highlight w:val="none"/>
        </w:rPr>
        <w:fldChar w:fldCharType="end"/>
      </w:r>
      <w:r>
        <w:rPr>
          <w:rFonts w:hint="eastAsia" w:eastAsia="黑体"/>
          <w:lang w:val="en-US" w:eastAsia="zh-CN"/>
        </w:rPr>
        <w:t>8</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_Toc22972 </w:instrText>
      </w:r>
      <w:r>
        <w:rPr>
          <w:rFonts w:eastAsia="黑体"/>
          <w:highlight w:val="none"/>
        </w:rPr>
        <w:fldChar w:fldCharType="separate"/>
      </w:r>
      <w:r>
        <w:rPr>
          <w:rFonts w:hint="eastAsia" w:ascii="黑体" w:hAnsi="黑体" w:eastAsia="黑体" w:cs="黑体"/>
          <w:highlight w:val="none"/>
        </w:rPr>
        <w:t>九、经济标</w:t>
      </w:r>
      <w:r>
        <w:tab/>
      </w:r>
      <w:r>
        <w:fldChar w:fldCharType="begin"/>
      </w:r>
      <w:r>
        <w:instrText xml:space="preserve"> PAGEREF _Toc22972 \h </w:instrText>
      </w:r>
      <w:r>
        <w:fldChar w:fldCharType="separate"/>
      </w:r>
      <w:r>
        <w:t>1</w:t>
      </w:r>
      <w:r>
        <w:fldChar w:fldCharType="end"/>
      </w:r>
      <w:r>
        <w:rPr>
          <w:rFonts w:eastAsia="黑体"/>
          <w:color w:val="auto"/>
          <w:highlight w:val="none"/>
        </w:rPr>
        <w:fldChar w:fldCharType="end"/>
      </w:r>
      <w:r>
        <w:rPr>
          <w:rFonts w:hint="eastAsia" w:eastAsia="黑体"/>
          <w:lang w:val="en-US" w:eastAsia="zh-CN"/>
        </w:rPr>
        <w:t>50</w:t>
      </w:r>
    </w:p>
    <w:p>
      <w:pPr>
        <w:pStyle w:val="22"/>
        <w:tabs>
          <w:tab w:val="right" w:leader="dot" w:pos="8787"/>
        </w:tabs>
        <w:rPr>
          <w:rFonts w:hint="default" w:eastAsia="黑体"/>
          <w:lang w:val="en-US" w:eastAsia="zh-CN"/>
        </w:rPr>
      </w:pPr>
      <w:r>
        <w:rPr>
          <w:rFonts w:eastAsia="黑体"/>
          <w:color w:val="auto"/>
          <w:highlight w:val="none"/>
        </w:rPr>
        <w:fldChar w:fldCharType="begin"/>
      </w:r>
      <w:r>
        <w:rPr>
          <w:rFonts w:eastAsia="黑体"/>
          <w:highlight w:val="none"/>
        </w:rPr>
        <w:instrText xml:space="preserve"> HYPERLINK \l _Toc27088 </w:instrText>
      </w:r>
      <w:r>
        <w:rPr>
          <w:rFonts w:eastAsia="黑体"/>
          <w:highlight w:val="none"/>
        </w:rPr>
        <w:fldChar w:fldCharType="separate"/>
      </w:r>
      <w:r>
        <w:rPr>
          <w:rFonts w:hint="eastAsia" w:ascii="黑体" w:hAnsi="黑体" w:eastAsia="黑体" w:cs="黑体"/>
          <w:highlight w:val="none"/>
        </w:rPr>
        <w:t>十、技术标</w:t>
      </w:r>
      <w:r>
        <w:tab/>
      </w:r>
      <w:r>
        <w:fldChar w:fldCharType="begin"/>
      </w:r>
      <w:r>
        <w:instrText xml:space="preserve"> PAGEREF _Toc27088 \h </w:instrText>
      </w:r>
      <w:r>
        <w:fldChar w:fldCharType="separate"/>
      </w:r>
      <w:r>
        <w:t>1</w:t>
      </w:r>
      <w:r>
        <w:fldChar w:fldCharType="end"/>
      </w:r>
      <w:r>
        <w:rPr>
          <w:rFonts w:eastAsia="黑体"/>
          <w:color w:val="auto"/>
          <w:highlight w:val="none"/>
        </w:rPr>
        <w:fldChar w:fldCharType="end"/>
      </w:r>
      <w:r>
        <w:rPr>
          <w:rFonts w:hint="eastAsia" w:eastAsia="黑体"/>
          <w:lang w:val="en-US" w:eastAsia="zh-CN"/>
        </w:rPr>
        <w:t>53</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_Toc23165 </w:instrText>
      </w:r>
      <w:r>
        <w:rPr>
          <w:rFonts w:eastAsia="黑体"/>
          <w:highlight w:val="none"/>
        </w:rPr>
        <w:fldChar w:fldCharType="separate"/>
      </w:r>
      <w:r>
        <w:rPr>
          <w:rFonts w:hint="eastAsia" w:ascii="黑体" w:hAnsi="黑体" w:eastAsia="黑体" w:cs="黑体"/>
          <w:bCs w:val="0"/>
          <w:highlight w:val="none"/>
        </w:rPr>
        <w:t>十一、</w:t>
      </w:r>
      <w:r>
        <w:rPr>
          <w:rFonts w:hint="eastAsia" w:ascii="黑体" w:hAnsi="黑体" w:eastAsia="黑体" w:cs="黑体"/>
          <w:bCs w:val="0"/>
          <w:highlight w:val="none"/>
          <w:lang w:val="en-US" w:eastAsia="zh-CN"/>
        </w:rPr>
        <w:t>诚信</w:t>
      </w:r>
      <w:r>
        <w:rPr>
          <w:rFonts w:hint="eastAsia" w:ascii="黑体" w:hAnsi="黑体" w:eastAsia="黑体" w:cs="黑体"/>
          <w:bCs w:val="0"/>
          <w:highlight w:val="none"/>
        </w:rPr>
        <w:t>投标承诺书</w:t>
      </w:r>
      <w:r>
        <w:tab/>
      </w:r>
      <w:r>
        <w:fldChar w:fldCharType="begin"/>
      </w:r>
      <w:r>
        <w:instrText xml:space="preserve"> PAGEREF _Toc23165 \h </w:instrText>
      </w:r>
      <w:r>
        <w:fldChar w:fldCharType="separate"/>
      </w:r>
      <w:r>
        <w:t>15</w:t>
      </w:r>
      <w:r>
        <w:fldChar w:fldCharType="end"/>
      </w:r>
      <w:r>
        <w:rPr>
          <w:rFonts w:eastAsia="黑体"/>
          <w:color w:val="auto"/>
          <w:highlight w:val="none"/>
        </w:rPr>
        <w:fldChar w:fldCharType="end"/>
      </w:r>
      <w:r>
        <w:rPr>
          <w:rFonts w:hint="eastAsia" w:eastAsia="黑体"/>
          <w:lang w:val="en-US" w:eastAsia="zh-CN"/>
        </w:rPr>
        <w:t>5</w:t>
      </w:r>
    </w:p>
    <w:p>
      <w:pPr>
        <w:pStyle w:val="22"/>
        <w:tabs>
          <w:tab w:val="right" w:leader="dot" w:pos="8787"/>
        </w:tabs>
        <w:rPr>
          <w:rFonts w:hint="eastAsia" w:eastAsia="黑体"/>
          <w:lang w:eastAsia="zh-CN"/>
        </w:rPr>
      </w:pPr>
      <w:r>
        <w:rPr>
          <w:rFonts w:eastAsia="黑体"/>
          <w:color w:val="auto"/>
          <w:highlight w:val="none"/>
        </w:rPr>
        <w:fldChar w:fldCharType="begin"/>
      </w:r>
      <w:r>
        <w:rPr>
          <w:rFonts w:eastAsia="黑体"/>
          <w:highlight w:val="none"/>
        </w:rPr>
        <w:instrText xml:space="preserve"> HYPERLINK \l _Toc22567 </w:instrText>
      </w:r>
      <w:r>
        <w:rPr>
          <w:rFonts w:eastAsia="黑体"/>
          <w:highlight w:val="none"/>
        </w:rPr>
        <w:fldChar w:fldCharType="separate"/>
      </w:r>
      <w:r>
        <w:rPr>
          <w:rFonts w:hint="eastAsia" w:ascii="黑体" w:hAnsi="黑体" w:eastAsia="黑体" w:cs="黑体"/>
          <w:bCs w:val="0"/>
          <w:highlight w:val="none"/>
        </w:rPr>
        <w:t>十二、其他资料</w:t>
      </w:r>
      <w:r>
        <w:tab/>
      </w:r>
      <w:r>
        <w:fldChar w:fldCharType="begin"/>
      </w:r>
      <w:r>
        <w:instrText xml:space="preserve"> PAGEREF _Toc22567 \h </w:instrText>
      </w:r>
      <w:r>
        <w:fldChar w:fldCharType="separate"/>
      </w:r>
      <w:r>
        <w:t>15</w:t>
      </w:r>
      <w:r>
        <w:fldChar w:fldCharType="end"/>
      </w:r>
      <w:r>
        <w:rPr>
          <w:rFonts w:eastAsia="黑体"/>
          <w:color w:val="auto"/>
          <w:highlight w:val="none"/>
        </w:rPr>
        <w:fldChar w:fldCharType="end"/>
      </w:r>
      <w:r>
        <w:rPr>
          <w:rFonts w:hint="eastAsia" w:eastAsia="黑体"/>
          <w:lang w:val="en-US" w:eastAsia="zh-CN"/>
        </w:rPr>
        <w:t>6</w:t>
      </w:r>
    </w:p>
    <w:p>
      <w:pPr>
        <w:rPr>
          <w:color w:val="auto"/>
          <w:highlight w:val="none"/>
        </w:rPr>
      </w:pPr>
      <w:r>
        <w:rPr>
          <w:rFonts w:eastAsia="黑体"/>
          <w:color w:val="auto"/>
          <w:highlight w:val="none"/>
        </w:rPr>
        <w:fldChar w:fldCharType="end"/>
      </w:r>
    </w:p>
    <w:p>
      <w:pPr>
        <w:rPr>
          <w:color w:val="auto"/>
          <w:highlight w:val="none"/>
        </w:rPr>
        <w:sectPr>
          <w:footerReference r:id="rId13" w:type="default"/>
          <w:pgSz w:w="11906" w:h="16838"/>
          <w:pgMar w:top="1440" w:right="1559" w:bottom="1440" w:left="1560" w:header="851" w:footer="851" w:gutter="0"/>
          <w:pgNumType w:fmt="upperRoman"/>
          <w:cols w:space="720" w:num="1"/>
          <w:docGrid w:linePitch="312" w:charSpace="0"/>
        </w:sectPr>
      </w:pPr>
    </w:p>
    <w:p>
      <w:pPr>
        <w:pStyle w:val="4"/>
        <w:spacing w:after="240" w:afterLines="100"/>
        <w:jc w:val="center"/>
        <w:rPr>
          <w:color w:val="auto"/>
          <w:szCs w:val="32"/>
          <w:highlight w:val="none"/>
        </w:rPr>
      </w:pPr>
      <w:bookmarkStart w:id="2" w:name="_Toc8678"/>
      <w:bookmarkStart w:id="3" w:name="_Toc10221"/>
      <w:bookmarkStart w:id="4" w:name="_Toc6058"/>
      <w:bookmarkStart w:id="5" w:name="_Toc3353"/>
      <w:bookmarkStart w:id="6" w:name="_Toc6686"/>
      <w:bookmarkStart w:id="7" w:name="_Toc508286056"/>
      <w:bookmarkStart w:id="8" w:name="_Toc389065120"/>
      <w:bookmarkStart w:id="9" w:name="_Toc30317"/>
      <w:r>
        <w:rPr>
          <w:rFonts w:hint="eastAsia"/>
          <w:color w:val="auto"/>
          <w:szCs w:val="32"/>
          <w:highlight w:val="none"/>
        </w:rPr>
        <w:t>第一章</w:t>
      </w:r>
      <w:r>
        <w:rPr>
          <w:color w:val="auto"/>
          <w:szCs w:val="32"/>
          <w:highlight w:val="none"/>
        </w:rPr>
        <w:t xml:space="preserve"> </w:t>
      </w:r>
      <w:r>
        <w:rPr>
          <w:rFonts w:hint="eastAsia"/>
          <w:color w:val="auto"/>
          <w:szCs w:val="32"/>
          <w:highlight w:val="none"/>
        </w:rPr>
        <w:t>招标公告</w:t>
      </w:r>
      <w:bookmarkEnd w:id="2"/>
      <w:bookmarkEnd w:id="3"/>
      <w:bookmarkEnd w:id="4"/>
      <w:bookmarkEnd w:id="5"/>
      <w:bookmarkEnd w:id="6"/>
      <w:bookmarkEnd w:id="7"/>
      <w:bookmarkEnd w:id="8"/>
      <w:bookmarkEnd w:id="9"/>
    </w:p>
    <w:p>
      <w:pPr>
        <w:spacing w:after="240" w:afterLines="100" w:line="360" w:lineRule="auto"/>
        <w:ind w:firstLine="3162" w:firstLineChars="1506"/>
        <w:rPr>
          <w:color w:val="auto"/>
          <w:highlight w:val="none"/>
        </w:rPr>
      </w:pPr>
      <w:r>
        <w:rPr>
          <w:rFonts w:hint="eastAsia"/>
          <w:color w:val="auto"/>
          <w:highlight w:val="none"/>
        </w:rPr>
        <w:t>项目编号：</w:t>
      </w:r>
      <w:r>
        <w:rPr>
          <w:rFonts w:hint="eastAsia"/>
          <w:color w:val="auto"/>
          <w:highlight w:val="none"/>
          <w:u w:val="single"/>
        </w:rPr>
        <w:t xml:space="preserve">               </w:t>
      </w:r>
    </w:p>
    <w:p>
      <w:pPr>
        <w:pStyle w:val="5"/>
        <w:spacing w:after="10" w:line="360" w:lineRule="auto"/>
        <w:rPr>
          <w:rFonts w:ascii="宋体" w:hAnsi="宋体" w:cs="宋体"/>
          <w:color w:val="auto"/>
          <w:highlight w:val="none"/>
        </w:rPr>
      </w:pPr>
      <w:bookmarkStart w:id="10" w:name="_Toc31658"/>
      <w:bookmarkStart w:id="11" w:name="_Toc389065122"/>
      <w:bookmarkStart w:id="12" w:name="_Toc13531"/>
      <w:bookmarkStart w:id="13" w:name="_Toc508286057"/>
      <w:bookmarkStart w:id="14" w:name="_Toc516"/>
      <w:bookmarkStart w:id="15" w:name="_Toc22843"/>
      <w:bookmarkStart w:id="16" w:name="_Toc14119"/>
      <w:bookmarkStart w:id="17" w:name="_Toc13302"/>
      <w:r>
        <w:rPr>
          <w:rFonts w:hint="eastAsia" w:ascii="宋体" w:hAnsi="宋体" w:cs="宋体"/>
          <w:color w:val="auto"/>
          <w:highlight w:val="none"/>
        </w:rPr>
        <w:t>1. 招标条件</w:t>
      </w:r>
      <w:bookmarkEnd w:id="10"/>
      <w:bookmarkEnd w:id="11"/>
      <w:bookmarkEnd w:id="12"/>
      <w:bookmarkEnd w:id="13"/>
      <w:bookmarkEnd w:id="14"/>
      <w:bookmarkEnd w:id="15"/>
      <w:bookmarkEnd w:id="16"/>
      <w:bookmarkEnd w:id="17"/>
    </w:p>
    <w:p>
      <w:pPr>
        <w:adjustRightInd w:val="0"/>
        <w:snapToGrid w:val="0"/>
        <w:spacing w:line="360" w:lineRule="auto"/>
        <w:ind w:firstLine="420" w:firstLineChars="200"/>
        <w:rPr>
          <w:rFonts w:ascii="宋体" w:hAnsi="宋体" w:cs="宋体"/>
          <w:color w:val="auto"/>
          <w:szCs w:val="21"/>
          <w:highlight w:val="none"/>
        </w:rPr>
      </w:pPr>
      <w:r>
        <w:rPr>
          <w:rFonts w:hint="eastAsia" w:ascii="宋体" w:hAnsi="宋体" w:cs="宋体"/>
          <w:color w:val="auto"/>
          <w:highlight w:val="none"/>
        </w:rPr>
        <w:t>本招标项目</w:t>
      </w:r>
      <w:r>
        <w:rPr>
          <w:rFonts w:hint="eastAsia" w:ascii="宋体" w:hAnsi="宋体" w:cs="宋体"/>
          <w:color w:val="auto"/>
          <w:highlight w:val="none"/>
          <w:u w:val="single"/>
        </w:rPr>
        <w:t>（项目名称）</w:t>
      </w:r>
      <w:r>
        <w:rPr>
          <w:rFonts w:hint="eastAsia" w:ascii="宋体" w:hAnsi="宋体" w:cs="宋体"/>
          <w:color w:val="auto"/>
          <w:highlight w:val="none"/>
        </w:rPr>
        <w:t>已</w:t>
      </w:r>
      <w:r>
        <w:rPr>
          <w:rFonts w:hint="eastAsia" w:ascii="宋体" w:hAnsi="宋体" w:cs="宋体"/>
          <w:color w:val="auto"/>
          <w:highlight w:val="none"/>
          <w:lang w:val="en-US" w:eastAsia="zh-CN"/>
        </w:rPr>
        <w:t>经</w:t>
      </w:r>
      <w:r>
        <w:rPr>
          <w:rFonts w:hint="eastAsia" w:ascii="宋体" w:hAnsi="宋体" w:cs="宋体"/>
          <w:color w:val="auto"/>
          <w:highlight w:val="none"/>
        </w:rPr>
        <w:t xml:space="preserve">由 </w:t>
      </w:r>
      <w:r>
        <w:rPr>
          <w:rFonts w:hint="eastAsia" w:ascii="宋体" w:hAnsi="宋体" w:cs="宋体"/>
          <w:color w:val="auto"/>
          <w:highlight w:val="none"/>
          <w:u w:val="single"/>
        </w:rPr>
        <w:t>（项目审批、核准或备案机关名称）</w:t>
      </w:r>
      <w:r>
        <w:rPr>
          <w:rFonts w:hint="eastAsia" w:ascii="宋体" w:hAnsi="宋体" w:cs="宋体"/>
          <w:color w:val="auto"/>
          <w:highlight w:val="none"/>
        </w:rPr>
        <w:t>以</w:t>
      </w:r>
      <w:r>
        <w:rPr>
          <w:rFonts w:hint="eastAsia" w:ascii="宋体" w:hAnsi="宋体" w:cs="宋体"/>
          <w:color w:val="auto"/>
          <w:highlight w:val="none"/>
          <w:u w:val="single"/>
        </w:rPr>
        <w:t>（批文名称及编号）</w:t>
      </w:r>
      <w:r>
        <w:rPr>
          <w:rFonts w:hint="eastAsia" w:ascii="宋体" w:hAnsi="宋体" w:cs="宋体"/>
          <w:color w:val="auto"/>
          <w:highlight w:val="none"/>
        </w:rPr>
        <w:t>批准建设，招标人为</w:t>
      </w:r>
      <w:r>
        <w:rPr>
          <w:rFonts w:ascii="宋体" w:hAnsi="宋体" w:cs="宋体"/>
          <w:color w:val="auto"/>
          <w:highlight w:val="none"/>
          <w:u w:val="single"/>
        </w:rPr>
        <w:t xml:space="preserve">          </w:t>
      </w:r>
      <w:r>
        <w:rPr>
          <w:rFonts w:hint="eastAsia" w:ascii="宋体" w:hAnsi="宋体" w:cs="宋体"/>
          <w:color w:val="auto"/>
          <w:highlight w:val="none"/>
        </w:rPr>
        <w:t xml:space="preserve"> ，</w:t>
      </w:r>
      <w:r>
        <w:rPr>
          <w:rFonts w:hint="eastAsia" w:ascii="宋体" w:hAnsi="宋体" w:cs="宋体"/>
          <w:color w:val="auto"/>
          <w:szCs w:val="21"/>
          <w:highlight w:val="none"/>
        </w:rPr>
        <w:t>招标代理机构为</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，建设资金来自</w:t>
      </w:r>
      <w:r>
        <w:rPr>
          <w:rFonts w:hint="eastAsia" w:ascii="宋体" w:hAnsi="宋体" w:cs="宋体"/>
          <w:color w:val="auto"/>
          <w:szCs w:val="21"/>
          <w:highlight w:val="none"/>
          <w:u w:val="single"/>
        </w:rPr>
        <w:t xml:space="preserve">              （资金来源）</w:t>
      </w:r>
      <w:r>
        <w:rPr>
          <w:rFonts w:hint="eastAsia" w:ascii="宋体" w:hAnsi="宋体" w:cs="宋体"/>
          <w:color w:val="auto"/>
          <w:szCs w:val="21"/>
          <w:highlight w:val="none"/>
        </w:rPr>
        <w:t>。项目已具备招标条件，现对</w:t>
      </w:r>
      <w:r>
        <w:rPr>
          <w:rFonts w:hint="eastAsia" w:ascii="宋体" w:hAnsi="宋体" w:cs="宋体"/>
          <w:color w:val="auto"/>
          <w:szCs w:val="21"/>
          <w:highlight w:val="none"/>
          <w:u w:val="single"/>
        </w:rPr>
        <w:t xml:space="preserve">（标段名称） </w:t>
      </w:r>
      <w:r>
        <w:rPr>
          <w:rFonts w:hint="eastAsia" w:ascii="宋体" w:hAnsi="宋体" w:cs="宋体"/>
          <w:color w:val="auto"/>
          <w:szCs w:val="21"/>
          <w:highlight w:val="none"/>
        </w:rPr>
        <w:t>进行公开招标。</w:t>
      </w:r>
    </w:p>
    <w:p>
      <w:pPr>
        <w:pStyle w:val="5"/>
        <w:adjustRightInd w:val="0"/>
        <w:snapToGrid w:val="0"/>
        <w:spacing w:before="0" w:after="0" w:line="360" w:lineRule="auto"/>
        <w:rPr>
          <w:rFonts w:ascii="宋体" w:hAnsi="宋体" w:cs="宋体"/>
          <w:color w:val="auto"/>
          <w:szCs w:val="21"/>
          <w:highlight w:val="none"/>
        </w:rPr>
      </w:pPr>
      <w:bookmarkStart w:id="18" w:name="_Toc15827"/>
      <w:bookmarkStart w:id="19" w:name="_Toc16873"/>
      <w:bookmarkStart w:id="20" w:name="_Toc498006633"/>
      <w:bookmarkStart w:id="21" w:name="_Toc13196"/>
      <w:bookmarkStart w:id="22" w:name="_Toc389065123"/>
      <w:bookmarkStart w:id="23" w:name="_Toc27661"/>
      <w:bookmarkStart w:id="24" w:name="_Toc11343"/>
      <w:bookmarkStart w:id="25" w:name="_Toc16621"/>
      <w:bookmarkStart w:id="26" w:name="_Toc12000"/>
      <w:r>
        <w:rPr>
          <w:rFonts w:hint="eastAsia" w:ascii="宋体" w:hAnsi="宋体" w:cs="宋体"/>
          <w:color w:val="auto"/>
          <w:szCs w:val="21"/>
          <w:highlight w:val="none"/>
        </w:rPr>
        <w:t>2. 项目概况与招标范围</w:t>
      </w:r>
      <w:bookmarkEnd w:id="18"/>
      <w:bookmarkEnd w:id="19"/>
      <w:bookmarkEnd w:id="20"/>
      <w:bookmarkEnd w:id="21"/>
      <w:bookmarkEnd w:id="22"/>
      <w:bookmarkEnd w:id="23"/>
      <w:bookmarkEnd w:id="24"/>
      <w:bookmarkEnd w:id="25"/>
      <w:bookmarkEnd w:id="26"/>
    </w:p>
    <w:p>
      <w:pPr>
        <w:adjustRightInd w:val="0"/>
        <w:snapToGrid w:val="0"/>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2.1</w:t>
      </w:r>
      <w:r>
        <w:rPr>
          <w:rFonts w:hint="eastAsia" w:ascii="宋体" w:hAnsi="宋体" w:cs="宋体"/>
          <w:color w:val="auto"/>
          <w:szCs w:val="21"/>
          <w:highlight w:val="none"/>
          <w:lang w:val="en-US" w:eastAsia="zh-CN"/>
        </w:rPr>
        <w:t>项目</w:t>
      </w:r>
      <w:r>
        <w:rPr>
          <w:rFonts w:hint="eastAsia" w:ascii="宋体" w:hAnsi="宋体" w:cs="宋体"/>
          <w:color w:val="auto"/>
          <w:szCs w:val="21"/>
          <w:highlight w:val="none"/>
        </w:rPr>
        <w:t>地点：</w:t>
      </w:r>
      <w:r>
        <w:rPr>
          <w:rFonts w:hint="eastAsia" w:ascii="宋体" w:hAnsi="宋体" w:cs="宋体"/>
          <w:color w:val="auto"/>
          <w:szCs w:val="21"/>
          <w:highlight w:val="none"/>
          <w:u w:val="single"/>
        </w:rPr>
        <w:t xml:space="preserve">                                                  </w:t>
      </w:r>
    </w:p>
    <w:p>
      <w:pPr>
        <w:adjustRightInd w:val="0"/>
        <w:snapToGrid w:val="0"/>
        <w:spacing w:line="360" w:lineRule="auto"/>
        <w:ind w:firstLine="420" w:firstLineChars="200"/>
        <w:rPr>
          <w:rFonts w:hint="eastAsia" w:ascii="宋体" w:hAnsi="宋体" w:cs="宋体"/>
          <w:color w:val="auto"/>
          <w:szCs w:val="21"/>
          <w:highlight w:val="none"/>
          <w:u w:val="single"/>
        </w:rPr>
      </w:pPr>
      <w:r>
        <w:rPr>
          <w:rFonts w:hint="eastAsia" w:ascii="宋体" w:hAnsi="宋体" w:cs="宋体"/>
          <w:color w:val="auto"/>
          <w:szCs w:val="21"/>
          <w:highlight w:val="none"/>
        </w:rPr>
        <w:t>2.2</w:t>
      </w:r>
      <w:r>
        <w:rPr>
          <w:rFonts w:hint="eastAsia" w:ascii="宋体" w:hAnsi="宋体" w:cs="宋体"/>
          <w:color w:val="auto"/>
          <w:szCs w:val="21"/>
          <w:highlight w:val="none"/>
          <w:lang w:val="en-US" w:eastAsia="zh-CN"/>
        </w:rPr>
        <w:t>工程</w:t>
      </w:r>
      <w:r>
        <w:rPr>
          <w:rFonts w:hint="eastAsia" w:ascii="宋体" w:hAnsi="宋体" w:cs="宋体"/>
          <w:color w:val="auto"/>
          <w:szCs w:val="21"/>
          <w:highlight w:val="none"/>
        </w:rPr>
        <w:t>规模：</w:t>
      </w:r>
      <w:r>
        <w:rPr>
          <w:rFonts w:hint="eastAsia" w:ascii="宋体" w:hAnsi="宋体" w:cs="宋体"/>
          <w:color w:val="auto"/>
          <w:szCs w:val="21"/>
          <w:highlight w:val="none"/>
          <w:u w:val="single"/>
        </w:rPr>
        <w:t>（工程特征、结构层次、建筑高度、道路宽度长度等）</w:t>
      </w:r>
    </w:p>
    <w:p>
      <w:pPr>
        <w:adjustRightInd w:val="0"/>
        <w:snapToGrid w:val="0"/>
        <w:spacing w:line="360" w:lineRule="auto"/>
        <w:ind w:firstLine="420" w:firstLineChars="200"/>
        <w:rPr>
          <w:rFonts w:hint="default" w:ascii="宋体" w:hAnsi="宋体" w:eastAsia="宋体" w:cs="宋体"/>
          <w:color w:val="auto"/>
          <w:szCs w:val="21"/>
          <w:highlight w:val="none"/>
          <w:u w:val="none"/>
          <w:lang w:val="en-US" w:eastAsia="zh-CN"/>
        </w:rPr>
      </w:pPr>
      <w:r>
        <w:rPr>
          <w:rFonts w:hint="eastAsia" w:ascii="宋体" w:hAnsi="宋体" w:eastAsia="宋体" w:cs="宋体"/>
          <w:color w:val="auto"/>
          <w:szCs w:val="21"/>
          <w:highlight w:val="none"/>
          <w:u w:val="none"/>
          <w:lang w:val="en-US" w:eastAsia="zh-CN"/>
        </w:rPr>
        <w:t>2.3工期要求：</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none"/>
          <w:lang w:val="en-US" w:eastAsia="zh-CN"/>
        </w:rPr>
        <w:t>日历天</w:t>
      </w:r>
    </w:p>
    <w:p>
      <w:pPr>
        <w:adjustRightInd w:val="0"/>
        <w:snapToGrid w:val="0"/>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val="en-US" w:eastAsia="zh-CN"/>
        </w:rPr>
        <w:t>4</w:t>
      </w:r>
      <w:r>
        <w:rPr>
          <w:rFonts w:hint="eastAsia" w:ascii="宋体" w:hAnsi="宋体" w:cs="宋体"/>
          <w:color w:val="auto"/>
          <w:szCs w:val="21"/>
          <w:highlight w:val="none"/>
        </w:rPr>
        <w:t xml:space="preserve"> 招标范围及标段划分</w:t>
      </w:r>
    </w:p>
    <w:tbl>
      <w:tblPr>
        <w:tblStyle w:val="45"/>
        <w:tblW w:w="877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3"/>
        <w:gridCol w:w="2654"/>
        <w:gridCol w:w="2038"/>
        <w:gridCol w:w="27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1323"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标段编号</w:t>
            </w:r>
          </w:p>
        </w:tc>
        <w:tc>
          <w:tcPr>
            <w:tcW w:w="2654"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标段名称</w:t>
            </w:r>
          </w:p>
        </w:tc>
        <w:tc>
          <w:tcPr>
            <w:tcW w:w="2038"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发包内容</w:t>
            </w:r>
          </w:p>
        </w:tc>
        <w:tc>
          <w:tcPr>
            <w:tcW w:w="2762"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合同估算价（万元）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1323" w:type="dxa"/>
          </w:tcPr>
          <w:p>
            <w:pPr>
              <w:adjustRightInd w:val="0"/>
              <w:snapToGrid w:val="0"/>
              <w:spacing w:line="360" w:lineRule="auto"/>
              <w:rPr>
                <w:rFonts w:ascii="宋体" w:hAnsi="宋体" w:cs="宋体"/>
                <w:color w:val="auto"/>
                <w:szCs w:val="21"/>
                <w:highlight w:val="none"/>
              </w:rPr>
            </w:pPr>
          </w:p>
        </w:tc>
        <w:tc>
          <w:tcPr>
            <w:tcW w:w="2654" w:type="dxa"/>
          </w:tcPr>
          <w:p>
            <w:pPr>
              <w:adjustRightInd w:val="0"/>
              <w:snapToGrid w:val="0"/>
              <w:spacing w:line="360" w:lineRule="auto"/>
              <w:rPr>
                <w:rFonts w:ascii="宋体" w:hAnsi="宋体" w:cs="宋体"/>
                <w:color w:val="auto"/>
                <w:szCs w:val="21"/>
                <w:highlight w:val="none"/>
              </w:rPr>
            </w:pPr>
          </w:p>
        </w:tc>
        <w:tc>
          <w:tcPr>
            <w:tcW w:w="2038" w:type="dxa"/>
          </w:tcPr>
          <w:p>
            <w:pPr>
              <w:adjustRightInd w:val="0"/>
              <w:snapToGrid w:val="0"/>
              <w:spacing w:line="360" w:lineRule="auto"/>
              <w:rPr>
                <w:rFonts w:ascii="宋体" w:hAnsi="宋体" w:cs="宋体"/>
                <w:color w:val="auto"/>
                <w:szCs w:val="21"/>
                <w:highlight w:val="none"/>
              </w:rPr>
            </w:pPr>
          </w:p>
        </w:tc>
        <w:tc>
          <w:tcPr>
            <w:tcW w:w="2762" w:type="dxa"/>
          </w:tcPr>
          <w:p>
            <w:pPr>
              <w:adjustRightInd w:val="0"/>
              <w:snapToGrid w:val="0"/>
              <w:spacing w:line="360" w:lineRule="auto"/>
              <w:rPr>
                <w:rFonts w:ascii="宋体" w:hAnsi="宋体" w:cs="宋体"/>
                <w:color w:val="auto"/>
                <w:szCs w:val="21"/>
                <w:highlight w:val="none"/>
              </w:rPr>
            </w:pPr>
          </w:p>
        </w:tc>
      </w:tr>
    </w:tbl>
    <w:p>
      <w:pPr>
        <w:adjustRightInd w:val="0"/>
        <w:snapToGrid w:val="0"/>
        <w:spacing w:before="120" w:beforeLines="50" w:line="360" w:lineRule="auto"/>
        <w:ind w:firstLine="420" w:firstLineChars="200"/>
        <w:rPr>
          <w:rFonts w:hint="eastAsia" w:ascii="宋体" w:hAnsi="宋体" w:cs="宋体"/>
          <w:color w:val="auto"/>
          <w:szCs w:val="21"/>
          <w:highlight w:val="none"/>
          <w:u w:val="single"/>
        </w:rPr>
      </w:pPr>
      <w:r>
        <w:rPr>
          <w:rFonts w:hint="eastAsia" w:ascii="宋体" w:hAnsi="宋体" w:cs="宋体"/>
          <w:color w:val="auto"/>
          <w:szCs w:val="21"/>
          <w:highlight w:val="none"/>
        </w:rPr>
        <w:t>2.</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 xml:space="preserve"> 付款方式：</w:t>
      </w:r>
      <w:r>
        <w:rPr>
          <w:rFonts w:hint="eastAsia" w:ascii="宋体" w:hAnsi="宋体" w:cs="宋体"/>
          <w:color w:val="auto"/>
          <w:szCs w:val="21"/>
          <w:highlight w:val="none"/>
          <w:u w:val="single"/>
        </w:rPr>
        <w:t xml:space="preserve">                                                  </w:t>
      </w:r>
    </w:p>
    <w:p>
      <w:pPr>
        <w:pStyle w:val="5"/>
        <w:spacing w:after="10" w:line="360" w:lineRule="auto"/>
        <w:rPr>
          <w:rFonts w:ascii="宋体" w:hAnsi="宋体" w:cs="宋体"/>
          <w:color w:val="auto"/>
          <w:highlight w:val="none"/>
        </w:rPr>
      </w:pPr>
      <w:bookmarkStart w:id="27" w:name="_Toc389065124"/>
      <w:bookmarkStart w:id="28" w:name="_Toc14134"/>
      <w:bookmarkStart w:id="29" w:name="_Toc12591"/>
      <w:bookmarkStart w:id="30" w:name="_Toc17472"/>
      <w:bookmarkStart w:id="31" w:name="_Toc10373"/>
      <w:bookmarkStart w:id="32" w:name="_Toc12071"/>
      <w:bookmarkStart w:id="33" w:name="_Toc508286059"/>
      <w:bookmarkStart w:id="34" w:name="_Toc1157"/>
      <w:r>
        <w:rPr>
          <w:rFonts w:hint="eastAsia" w:ascii="宋体" w:hAnsi="宋体" w:cs="宋体"/>
          <w:color w:val="auto"/>
          <w:highlight w:val="none"/>
        </w:rPr>
        <w:t>3. 投标人资格要求</w:t>
      </w:r>
      <w:bookmarkEnd w:id="27"/>
      <w:bookmarkEnd w:id="28"/>
      <w:bookmarkEnd w:id="29"/>
      <w:bookmarkEnd w:id="30"/>
      <w:bookmarkEnd w:id="31"/>
      <w:bookmarkEnd w:id="32"/>
      <w:bookmarkEnd w:id="33"/>
      <w:bookmarkEnd w:id="34"/>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3.1投标人资质条件：</w:t>
      </w:r>
    </w:p>
    <w:p>
      <w:pPr>
        <w:numPr>
          <w:ilvl w:val="0"/>
          <w:numId w:val="6"/>
        </w:numPr>
        <w:spacing w:line="360" w:lineRule="auto"/>
        <w:ind w:firstLine="420" w:firstLineChars="200"/>
        <w:rPr>
          <w:rFonts w:ascii="宋体" w:hAnsi="宋体" w:cs="宋体"/>
          <w:color w:val="auto"/>
          <w:highlight w:val="none"/>
        </w:rPr>
      </w:pPr>
      <w:r>
        <w:rPr>
          <w:rFonts w:hint="eastAsia" w:ascii="宋体" w:hAnsi="宋体" w:cs="宋体"/>
          <w:color w:val="auto"/>
          <w:szCs w:val="21"/>
          <w:highlight w:val="none"/>
          <w:lang w:val="en-US" w:eastAsia="zh-CN"/>
        </w:rPr>
        <w:t>具备</w:t>
      </w:r>
      <w:r>
        <w:rPr>
          <w:rFonts w:hint="eastAsia" w:ascii="宋体" w:hAnsi="宋体" w:cs="宋体"/>
          <w:color w:val="auto"/>
          <w:szCs w:val="21"/>
          <w:highlight w:val="none"/>
          <w:u w:val="single"/>
        </w:rPr>
        <w:t xml:space="preserve"> </w:t>
      </w:r>
      <w:r>
        <w:rPr>
          <w:rFonts w:hint="eastAsia" w:ascii="宋体" w:hAnsi="宋体" w:cs="宋体"/>
          <w:color w:val="auto"/>
          <w:highlight w:val="none"/>
          <w:u w:val="single"/>
          <w:lang w:val="en-US" w:eastAsia="zh-CN"/>
        </w:rPr>
        <w:t xml:space="preserve">              /                         </w:t>
      </w:r>
      <w:r>
        <w:rPr>
          <w:rFonts w:hint="eastAsia" w:ascii="宋体" w:hAnsi="宋体" w:cs="宋体"/>
          <w:color w:val="auto"/>
          <w:highlight w:val="none"/>
        </w:rPr>
        <w:t>及以上资质；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（2）具备有效的营业执照；</w:t>
      </w:r>
    </w:p>
    <w:p>
      <w:pPr>
        <w:adjustRightInd w:val="0"/>
        <w:snapToGrid w:val="0"/>
        <w:spacing w:line="360" w:lineRule="auto"/>
        <w:ind w:firstLine="424" w:firstLineChars="202"/>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3.2投标人拟派项目负责人系已在投标人单位注册并具备</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u w:val="single"/>
          <w:lang w:val="en-US" w:eastAsia="zh-CN"/>
        </w:rPr>
        <w:t xml:space="preserve">  /    </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执业资格</w:t>
      </w:r>
      <w:r>
        <w:rPr>
          <w:rFonts w:hint="eastAsia" w:ascii="宋体" w:hAnsi="宋体" w:cs="宋体"/>
          <w:color w:val="auto"/>
          <w:szCs w:val="21"/>
          <w:highlight w:val="none"/>
          <w:lang w:eastAsia="zh-CN"/>
        </w:rPr>
        <w:t>。</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3.3</w:t>
      </w:r>
      <w:r>
        <w:rPr>
          <w:rFonts w:ascii="宋体" w:hAnsi="宋体" w:cs="宋体"/>
          <w:color w:val="auto"/>
          <w:szCs w:val="21"/>
          <w:highlight w:val="none"/>
        </w:rPr>
        <w:t>投标人</w:t>
      </w:r>
      <w:r>
        <w:rPr>
          <w:rFonts w:hint="eastAsia" w:ascii="宋体" w:hAnsi="宋体" w:cs="宋体"/>
          <w:color w:val="auto"/>
          <w:szCs w:val="21"/>
          <w:highlight w:val="none"/>
        </w:rPr>
        <w:t>（含采用联合体形式投标的投标人）资质</w:t>
      </w:r>
      <w:r>
        <w:rPr>
          <w:rFonts w:ascii="宋体" w:hAnsi="宋体" w:cs="宋体"/>
          <w:color w:val="auto"/>
          <w:szCs w:val="21"/>
          <w:highlight w:val="none"/>
        </w:rPr>
        <w:t>须</w:t>
      </w:r>
      <w:r>
        <w:rPr>
          <w:rFonts w:hint="eastAsia" w:ascii="宋体" w:hAnsi="宋体" w:cs="宋体"/>
          <w:color w:val="auto"/>
          <w:szCs w:val="21"/>
          <w:highlight w:val="none"/>
        </w:rPr>
        <w:t>同时</w:t>
      </w:r>
      <w:r>
        <w:rPr>
          <w:rFonts w:ascii="宋体" w:hAnsi="宋体" w:cs="宋体"/>
          <w:color w:val="auto"/>
          <w:szCs w:val="21"/>
          <w:highlight w:val="none"/>
        </w:rPr>
        <w:t>满足下列（1）、（2）要求：</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（1）投标人（投标人采用联合体形式参加投标的，投标人资质按照联合体协议约定的分工认定，其中负责设计的单位其资质须符合本项要求）设计资质须具备下列①</w:t>
      </w:r>
      <w:r>
        <w:rPr>
          <w:rFonts w:ascii="宋体" w:hAnsi="宋体" w:cs="宋体"/>
          <w:color w:val="auto"/>
          <w:szCs w:val="21"/>
          <w:highlight w:val="none"/>
        </w:rPr>
        <w:t>、</w:t>
      </w:r>
      <w:r>
        <w:rPr>
          <w:rFonts w:hint="eastAsia" w:ascii="宋体" w:hAnsi="宋体" w:cs="宋体"/>
          <w:color w:val="auto"/>
          <w:szCs w:val="21"/>
          <w:highlight w:val="none"/>
        </w:rPr>
        <w:t>②、③条件之一：</w:t>
      </w:r>
    </w:p>
    <w:p>
      <w:pPr>
        <w:spacing w:line="360" w:lineRule="auto"/>
        <w:ind w:firstLine="630" w:firstLineChars="300"/>
        <w:rPr>
          <w:rFonts w:ascii="宋体" w:hAnsi="宋体" w:cs="宋体"/>
          <w:color w:val="auto"/>
          <w:szCs w:val="21"/>
          <w:highlight w:val="none"/>
        </w:rPr>
      </w:pPr>
      <w:r>
        <w:rPr>
          <w:rFonts w:hint="eastAsia" w:ascii="宋体" w:hAnsi="宋体" w:cs="宋体"/>
          <w:color w:val="auto"/>
          <w:szCs w:val="21"/>
          <w:highlight w:val="none"/>
        </w:rPr>
        <w:t>①</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w:t>
      </w:r>
    </w:p>
    <w:p>
      <w:pPr>
        <w:spacing w:line="360" w:lineRule="auto"/>
        <w:ind w:firstLine="630" w:firstLineChars="300"/>
        <w:rPr>
          <w:rFonts w:ascii="宋体" w:hAnsi="宋体" w:cs="宋体"/>
          <w:color w:val="auto"/>
          <w:szCs w:val="21"/>
          <w:highlight w:val="none"/>
        </w:rPr>
      </w:pPr>
      <w:r>
        <w:rPr>
          <w:rFonts w:hint="eastAsia" w:ascii="宋体" w:hAnsi="宋体" w:cs="宋体"/>
          <w:color w:val="auto"/>
          <w:szCs w:val="21"/>
          <w:highlight w:val="none"/>
        </w:rPr>
        <w:t>②</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w:t>
      </w:r>
    </w:p>
    <w:p>
      <w:pPr>
        <w:spacing w:line="360" w:lineRule="auto"/>
        <w:ind w:firstLine="630" w:firstLineChars="300"/>
        <w:rPr>
          <w:rFonts w:ascii="宋体" w:hAnsi="宋体" w:cs="宋体"/>
          <w:color w:val="auto"/>
          <w:szCs w:val="21"/>
          <w:highlight w:val="none"/>
        </w:rPr>
      </w:pPr>
      <w:r>
        <w:rPr>
          <w:rFonts w:hint="eastAsia" w:ascii="宋体" w:hAnsi="宋体" w:cs="宋体"/>
          <w:color w:val="auto"/>
          <w:szCs w:val="21"/>
          <w:highlight w:val="none"/>
        </w:rPr>
        <w:t>③</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w:t>
      </w:r>
    </w:p>
    <w:p>
      <w:pPr>
        <w:numPr>
          <w:ilvl w:val="0"/>
          <w:numId w:val="6"/>
        </w:num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投标人（投标人采用联合体形式参加投标的，投标人资质按照联合体协议约定的分工认定，其中负责施工的单位其资质须符合本项要求）施工资质：</w:t>
      </w:r>
      <w:r>
        <w:rPr>
          <w:rFonts w:hint="eastAsia" w:ascii="宋体" w:hAnsi="宋体"/>
          <w:color w:val="auto"/>
          <w:szCs w:val="21"/>
          <w:highlight w:val="none"/>
        </w:rPr>
        <w:t>具备</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rPr>
        <w:t>及以上资质</w:t>
      </w:r>
      <w:r>
        <w:rPr>
          <w:rFonts w:hint="eastAsia" w:ascii="宋体" w:hAnsi="宋体" w:cs="宋体"/>
          <w:color w:val="auto"/>
          <w:szCs w:val="21"/>
          <w:highlight w:val="none"/>
        </w:rPr>
        <w:t>；</w:t>
      </w:r>
    </w:p>
    <w:p>
      <w:pPr>
        <w:adjustRightInd w:val="0"/>
        <w:snapToGrid w:val="0"/>
        <w:spacing w:line="360" w:lineRule="auto"/>
        <w:ind w:firstLine="420" w:firstLineChars="200"/>
        <w:rPr>
          <w:rFonts w:hint="eastAsia" w:ascii="宋体" w:hAnsi="宋体" w:cs="宋体"/>
          <w:color w:val="auto"/>
          <w:szCs w:val="21"/>
          <w:highlight w:val="none"/>
        </w:rPr>
      </w:pPr>
      <w:r>
        <w:rPr>
          <w:rFonts w:hint="eastAsia" w:ascii="宋体" w:hAnsi="宋体" w:cs="宋体"/>
          <w:color w:val="auto"/>
          <w:highlight w:val="none"/>
        </w:rPr>
        <w:t>3.</w:t>
      </w:r>
      <w:r>
        <w:rPr>
          <w:rFonts w:hint="eastAsia" w:ascii="宋体" w:hAnsi="宋体" w:cs="宋体"/>
          <w:color w:val="auto"/>
          <w:highlight w:val="none"/>
          <w:lang w:val="en-US" w:eastAsia="zh-CN"/>
        </w:rPr>
        <w:t>4</w:t>
      </w:r>
      <w:r>
        <w:rPr>
          <w:rFonts w:hint="eastAsia" w:ascii="宋体" w:hAnsi="宋体" w:cs="宋体"/>
          <w:color w:val="auto"/>
          <w:highlight w:val="none"/>
        </w:rPr>
        <w:t xml:space="preserve"> </w:t>
      </w:r>
      <w:r>
        <w:rPr>
          <w:rFonts w:hint="eastAsia" w:ascii="宋体" w:hAnsi="宋体" w:cs="宋体"/>
          <w:color w:val="auto"/>
          <w:szCs w:val="21"/>
          <w:highlight w:val="none"/>
        </w:rPr>
        <w:t>投标人及拟派</w:t>
      </w:r>
      <w:r>
        <w:rPr>
          <w:rFonts w:hint="eastAsia" w:ascii="宋体" w:hAnsi="宋体" w:cs="宋体"/>
          <w:color w:val="auto"/>
          <w:szCs w:val="21"/>
          <w:highlight w:val="none"/>
          <w:lang w:val="en-US" w:eastAsia="zh-CN"/>
        </w:rPr>
        <w:t>工程</w:t>
      </w:r>
      <w:r>
        <w:rPr>
          <w:rFonts w:hint="eastAsia" w:ascii="宋体" w:hAnsi="宋体" w:cs="宋体"/>
          <w:color w:val="auto"/>
          <w:szCs w:val="21"/>
          <w:highlight w:val="none"/>
        </w:rPr>
        <w:t>总承包项目经理、</w:t>
      </w:r>
      <w:r>
        <w:rPr>
          <w:rFonts w:hint="eastAsia" w:ascii="宋体" w:hAnsi="宋体" w:cs="宋体"/>
          <w:color w:val="auto"/>
          <w:szCs w:val="21"/>
          <w:highlight w:val="none"/>
          <w:lang w:val="en-US" w:eastAsia="zh-CN"/>
        </w:rPr>
        <w:t>施工项目负责人、</w:t>
      </w:r>
      <w:r>
        <w:rPr>
          <w:rFonts w:hint="eastAsia" w:ascii="宋体" w:hAnsi="宋体" w:cs="宋体"/>
          <w:color w:val="auto"/>
          <w:szCs w:val="21"/>
          <w:highlight w:val="none"/>
        </w:rPr>
        <w:t>设计负责人应具备的要求：</w:t>
      </w:r>
    </w:p>
    <w:p>
      <w:pPr>
        <w:adjustRightInd w:val="0"/>
        <w:snapToGrid w:val="0"/>
        <w:spacing w:line="360" w:lineRule="auto"/>
        <w:ind w:firstLine="420" w:firstLineChars="200"/>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1</w:t>
      </w:r>
      <w:r>
        <w:rPr>
          <w:rFonts w:hint="eastAsia" w:ascii="宋体" w:hAnsi="宋体" w:cs="宋体"/>
          <w:color w:val="auto"/>
          <w:szCs w:val="21"/>
          <w:highlight w:val="none"/>
          <w:lang w:eastAsia="zh-CN"/>
        </w:rPr>
        <w:t>）</w:t>
      </w:r>
      <w:r>
        <w:rPr>
          <w:rFonts w:hint="eastAsia" w:ascii="宋体" w:hAnsi="宋体" w:cs="宋体"/>
          <w:color w:val="auto"/>
          <w:szCs w:val="21"/>
          <w:highlight w:val="none"/>
        </w:rPr>
        <w:t>投标人须具备有效的营业执照；</w:t>
      </w:r>
    </w:p>
    <w:p>
      <w:pPr>
        <w:adjustRightInd w:val="0"/>
        <w:snapToGrid w:val="0"/>
        <w:spacing w:line="360"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）投标人中的</w:t>
      </w:r>
      <w:r>
        <w:rPr>
          <w:rFonts w:hint="eastAsia" w:cs="宋体"/>
          <w:color w:val="auto"/>
          <w:szCs w:val="21"/>
          <w:highlight w:val="none"/>
        </w:rPr>
        <w:t>施工单位（</w:t>
      </w:r>
      <w:r>
        <w:rPr>
          <w:rFonts w:cs="宋体"/>
          <w:color w:val="auto"/>
          <w:szCs w:val="21"/>
          <w:highlight w:val="none"/>
        </w:rPr>
        <w:t>即负责施工的单位</w:t>
      </w:r>
      <w:r>
        <w:rPr>
          <w:rFonts w:hint="eastAsia" w:cs="宋体"/>
          <w:color w:val="auto"/>
          <w:szCs w:val="21"/>
          <w:highlight w:val="none"/>
        </w:rPr>
        <w:t>）</w:t>
      </w:r>
      <w:r>
        <w:rPr>
          <w:rFonts w:hint="eastAsia" w:ascii="宋体" w:hAnsi="宋体" w:cs="宋体"/>
          <w:color w:val="auto"/>
          <w:szCs w:val="21"/>
          <w:highlight w:val="none"/>
        </w:rPr>
        <w:t>具备有效的建筑施工企业安全生产许可证；</w:t>
      </w:r>
    </w:p>
    <w:p>
      <w:pPr>
        <w:adjustRightInd w:val="0"/>
        <w:snapToGrid w:val="0"/>
        <w:spacing w:line="360" w:lineRule="auto"/>
        <w:ind w:firstLine="420" w:firstLineChars="200"/>
        <w:rPr>
          <w:rFonts w:hint="eastAsia" w:ascii="宋体" w:hAnsi="宋体" w:cs="宋体"/>
          <w:color w:val="auto"/>
          <w:highlight w:val="none"/>
          <w:u w:val="single"/>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3）</w:t>
      </w:r>
      <w:r>
        <w:rPr>
          <w:rFonts w:ascii="宋体" w:hAnsi="宋体" w:cs="宋体"/>
          <w:color w:val="auto"/>
          <w:szCs w:val="21"/>
          <w:highlight w:val="none"/>
        </w:rPr>
        <w:t>投标人拟派的</w:t>
      </w:r>
      <w:r>
        <w:rPr>
          <w:rFonts w:hint="eastAsia" w:ascii="宋体" w:hAnsi="宋体" w:cs="宋体"/>
          <w:color w:val="auto"/>
          <w:szCs w:val="21"/>
          <w:highlight w:val="none"/>
        </w:rPr>
        <w:t>工程</w:t>
      </w:r>
      <w:r>
        <w:rPr>
          <w:rFonts w:ascii="宋体" w:hAnsi="宋体" w:cs="宋体"/>
          <w:color w:val="auto"/>
          <w:szCs w:val="21"/>
          <w:highlight w:val="none"/>
        </w:rPr>
        <w:t>总承包项目经理、设计负责人、</w:t>
      </w:r>
      <w:r>
        <w:rPr>
          <w:rFonts w:hint="eastAsia" w:ascii="宋体" w:hAnsi="宋体" w:cs="宋体"/>
          <w:color w:val="auto"/>
          <w:szCs w:val="21"/>
          <w:highlight w:val="none"/>
        </w:rPr>
        <w:t>施工项目负责人</w:t>
      </w:r>
      <w:r>
        <w:rPr>
          <w:rFonts w:ascii="宋体" w:hAnsi="宋体" w:cs="宋体"/>
          <w:color w:val="auto"/>
          <w:szCs w:val="21"/>
          <w:highlight w:val="none"/>
        </w:rPr>
        <w:t>资格要求：</w:t>
      </w:r>
    </w:p>
    <w:p>
      <w:pPr>
        <w:widowControl/>
        <w:spacing w:line="360" w:lineRule="auto"/>
        <w:ind w:firstLine="630" w:firstLineChars="300"/>
        <w:jc w:val="left"/>
        <w:rPr>
          <w:color w:val="auto"/>
          <w:highlight w:val="none"/>
          <w:u w:val="single"/>
        </w:rPr>
      </w:pPr>
      <w:r>
        <w:rPr>
          <w:rFonts w:hint="eastAsia" w:ascii="宋体" w:hAnsi="宋体" w:cs="宋体"/>
          <w:color w:val="auto"/>
          <w:szCs w:val="21"/>
          <w:highlight w:val="none"/>
        </w:rPr>
        <w:t>①</w:t>
      </w:r>
      <w:r>
        <w:rPr>
          <w:rFonts w:ascii="宋体" w:hAnsi="宋体" w:cs="宋体"/>
          <w:color w:val="auto"/>
          <w:szCs w:val="21"/>
          <w:highlight w:val="none"/>
        </w:rPr>
        <w:t>投标人拟</w:t>
      </w:r>
      <w:r>
        <w:rPr>
          <w:rFonts w:hint="eastAsia" w:ascii="宋体" w:hAnsi="宋体" w:cs="宋体"/>
          <w:color w:val="auto"/>
          <w:szCs w:val="21"/>
          <w:highlight w:val="none"/>
        </w:rPr>
        <w:t>派本项目</w:t>
      </w:r>
      <w:r>
        <w:rPr>
          <w:rFonts w:ascii="宋体" w:hAnsi="宋体" w:cs="宋体"/>
          <w:color w:val="auto"/>
          <w:szCs w:val="21"/>
          <w:highlight w:val="none"/>
        </w:rPr>
        <w:t>的</w:t>
      </w:r>
      <w:r>
        <w:rPr>
          <w:rFonts w:hint="eastAsia" w:ascii="宋体" w:hAnsi="宋体" w:cs="宋体"/>
          <w:color w:val="auto"/>
          <w:szCs w:val="21"/>
          <w:highlight w:val="none"/>
        </w:rPr>
        <w:t>工程</w:t>
      </w:r>
      <w:r>
        <w:rPr>
          <w:rFonts w:ascii="宋体" w:hAnsi="宋体" w:cs="宋体"/>
          <w:color w:val="auto"/>
          <w:szCs w:val="21"/>
          <w:highlight w:val="none"/>
        </w:rPr>
        <w:t>总承包项目经理</w:t>
      </w:r>
      <w:r>
        <w:rPr>
          <w:rFonts w:hint="eastAsia" w:ascii="宋体" w:hAnsi="宋体" w:cs="宋体"/>
          <w:color w:val="auto"/>
          <w:highlight w:val="none"/>
        </w:rPr>
        <w:t>应当</w:t>
      </w:r>
      <w:r>
        <w:rPr>
          <w:rFonts w:hint="eastAsia" w:ascii="宋体" w:hAnsi="宋体" w:cs="宋体"/>
          <w:color w:val="auto"/>
          <w:szCs w:val="21"/>
          <w:highlight w:val="none"/>
        </w:rPr>
        <w:t>具备</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w:t>
      </w:r>
    </w:p>
    <w:p>
      <w:pPr>
        <w:spacing w:line="360" w:lineRule="auto"/>
        <w:ind w:firstLine="630" w:firstLineChars="300"/>
        <w:rPr>
          <w:rFonts w:ascii="宋体" w:hAnsi="宋体" w:cs="宋体"/>
          <w:color w:val="auto"/>
          <w:szCs w:val="21"/>
          <w:highlight w:val="none"/>
        </w:rPr>
      </w:pPr>
      <w:r>
        <w:rPr>
          <w:rFonts w:hint="eastAsia" w:ascii="宋体" w:hAnsi="宋体" w:cs="宋体"/>
          <w:color w:val="auto"/>
          <w:szCs w:val="21"/>
          <w:highlight w:val="none"/>
        </w:rPr>
        <w:t>②</w:t>
      </w:r>
      <w:r>
        <w:rPr>
          <w:rFonts w:ascii="宋体" w:hAnsi="宋体" w:cs="宋体"/>
          <w:color w:val="auto"/>
          <w:szCs w:val="21"/>
          <w:highlight w:val="none"/>
        </w:rPr>
        <w:t>投标人拟派设计负责人</w:t>
      </w:r>
      <w:r>
        <w:rPr>
          <w:rFonts w:hint="eastAsia" w:ascii="宋体" w:hAnsi="宋体" w:cs="宋体"/>
          <w:color w:val="auto"/>
          <w:highlight w:val="none"/>
        </w:rPr>
        <w:t>应当</w:t>
      </w:r>
      <w:r>
        <w:rPr>
          <w:rFonts w:ascii="宋体" w:hAnsi="宋体" w:cs="宋体"/>
          <w:color w:val="auto"/>
          <w:szCs w:val="21"/>
          <w:highlight w:val="none"/>
        </w:rPr>
        <w:t>具有</w:t>
      </w:r>
      <w:r>
        <w:rPr>
          <w:rFonts w:hint="eastAsia"/>
          <w:color w:val="auto"/>
          <w:highlight w:val="none"/>
          <w:u w:val="single"/>
          <w:lang w:val="en-US" w:eastAsia="zh-CN"/>
        </w:rPr>
        <w:t xml:space="preserve">                       </w:t>
      </w:r>
      <w:r>
        <w:rPr>
          <w:rFonts w:hint="eastAsia"/>
          <w:color w:val="auto"/>
          <w:highlight w:val="none"/>
          <w:lang w:val="en-US" w:eastAsia="zh-CN"/>
        </w:rPr>
        <w:t>，</w:t>
      </w:r>
      <w:r>
        <w:rPr>
          <w:rFonts w:hint="eastAsia" w:ascii="宋体" w:hAnsi="宋体" w:cs="宋体"/>
          <w:color w:val="auto"/>
          <w:szCs w:val="21"/>
          <w:highlight w:val="none"/>
        </w:rPr>
        <w:t>且为设计单位</w:t>
      </w:r>
      <w:r>
        <w:rPr>
          <w:color w:val="auto"/>
          <w:highlight w:val="none"/>
        </w:rPr>
        <w:t>（即负责</w:t>
      </w:r>
      <w:r>
        <w:rPr>
          <w:rFonts w:hint="eastAsia"/>
          <w:color w:val="auto"/>
          <w:highlight w:val="none"/>
        </w:rPr>
        <w:t>设计</w:t>
      </w:r>
      <w:r>
        <w:rPr>
          <w:color w:val="auto"/>
          <w:highlight w:val="none"/>
        </w:rPr>
        <w:t>的单位）</w:t>
      </w:r>
      <w:r>
        <w:rPr>
          <w:rFonts w:hint="eastAsia" w:ascii="宋体" w:hAnsi="宋体" w:cs="宋体"/>
          <w:color w:val="auto"/>
          <w:szCs w:val="21"/>
          <w:highlight w:val="none"/>
        </w:rPr>
        <w:t>正式员工；</w:t>
      </w:r>
    </w:p>
    <w:p>
      <w:pPr>
        <w:pStyle w:val="2"/>
        <w:spacing w:before="0"/>
        <w:ind w:firstLine="630" w:firstLineChars="300"/>
        <w:jc w:val="left"/>
        <w:rPr>
          <w:rFonts w:hint="eastAsia"/>
          <w:color w:val="auto"/>
          <w:highlight w:val="none"/>
          <w:lang w:eastAsia="zh-CN"/>
        </w:rPr>
      </w:pPr>
      <w:r>
        <w:rPr>
          <w:rFonts w:hint="eastAsia" w:ascii="宋体" w:hAnsi="宋体" w:cs="宋体"/>
          <w:color w:val="auto"/>
          <w:szCs w:val="21"/>
          <w:highlight w:val="none"/>
        </w:rPr>
        <w:t>③</w:t>
      </w:r>
      <w:r>
        <w:rPr>
          <w:rFonts w:ascii="宋体" w:hAnsi="宋体" w:cs="宋体"/>
          <w:color w:val="auto"/>
          <w:szCs w:val="21"/>
          <w:highlight w:val="none"/>
        </w:rPr>
        <w:t>投标人拟派施工</w:t>
      </w:r>
      <w:r>
        <w:rPr>
          <w:rFonts w:hint="eastAsia" w:ascii="宋体" w:hAnsi="宋体" w:cs="宋体"/>
          <w:color w:val="auto"/>
          <w:szCs w:val="21"/>
          <w:highlight w:val="none"/>
        </w:rPr>
        <w:t>项目</w:t>
      </w:r>
      <w:r>
        <w:rPr>
          <w:rFonts w:ascii="宋体" w:hAnsi="宋体" w:cs="宋体"/>
          <w:color w:val="auto"/>
          <w:szCs w:val="21"/>
          <w:highlight w:val="none"/>
        </w:rPr>
        <w:t>负责人</w:t>
      </w:r>
      <w:r>
        <w:rPr>
          <w:rFonts w:hint="eastAsia" w:ascii="宋体" w:hAnsi="宋体" w:cs="宋体"/>
          <w:color w:val="auto"/>
          <w:szCs w:val="21"/>
          <w:highlight w:val="none"/>
        </w:rPr>
        <w:t>系已在</w:t>
      </w:r>
      <w:r>
        <w:rPr>
          <w:color w:val="auto"/>
          <w:highlight w:val="none"/>
        </w:rPr>
        <w:t>施工单位（即负责施工的单位）</w:t>
      </w:r>
      <w:r>
        <w:rPr>
          <w:rFonts w:hint="eastAsia" w:ascii="宋体" w:hAnsi="宋体" w:cs="宋体"/>
          <w:color w:val="auto"/>
          <w:szCs w:val="21"/>
          <w:highlight w:val="none"/>
        </w:rPr>
        <w:t>注册并具备</w:t>
      </w:r>
      <w:r>
        <w:rPr>
          <w:rFonts w:hint="eastAsia" w:ascii="Arial" w:hAnsi="Arial" w:cs="Arial"/>
          <w:color w:val="auto"/>
          <w:szCs w:val="21"/>
          <w:highlight w:val="none"/>
          <w:u w:val="single"/>
          <w:lang w:val="en-US" w:eastAsia="zh-CN"/>
        </w:rPr>
        <w:t xml:space="preserve">            </w:t>
      </w:r>
      <w:r>
        <w:rPr>
          <w:rFonts w:hint="eastAsia" w:ascii="Arial" w:hAnsi="Arial" w:cs="Arial"/>
          <w:color w:val="auto"/>
          <w:szCs w:val="21"/>
          <w:highlight w:val="none"/>
          <w:u w:val="none"/>
          <w:lang w:val="en-US" w:eastAsia="zh-CN"/>
        </w:rPr>
        <w:t>（含）以上</w:t>
      </w:r>
      <w:r>
        <w:rPr>
          <w:rFonts w:hint="eastAsia" w:ascii="宋体" w:hAnsi="宋体" w:cs="宋体"/>
          <w:color w:val="auto"/>
          <w:szCs w:val="21"/>
          <w:highlight w:val="none"/>
        </w:rPr>
        <w:t>执业资格，且具备建设行政主管部门颁发的有效的项目负责人安全生产考核合格证书（B证）；</w:t>
      </w:r>
    </w:p>
    <w:p>
      <w:pPr>
        <w:adjustRightInd w:val="0"/>
        <w:snapToGrid w:val="0"/>
        <w:spacing w:line="360" w:lineRule="auto"/>
        <w:ind w:firstLine="420" w:firstLineChars="200"/>
        <w:rPr>
          <w:rFonts w:ascii="宋体" w:hAnsi="宋体" w:cs="宋体"/>
          <w:color w:val="auto"/>
          <w:szCs w:val="21"/>
          <w:highlight w:val="none"/>
        </w:rPr>
      </w:pPr>
      <w:r>
        <w:rPr>
          <w:rFonts w:hint="eastAsia" w:ascii="宋体" w:hAnsi="宋体" w:cs="宋体"/>
          <w:color w:val="auto"/>
          <w:highlight w:val="none"/>
        </w:rPr>
        <w:t>（</w:t>
      </w:r>
      <w:r>
        <w:rPr>
          <w:rFonts w:hint="eastAsia" w:ascii="宋体" w:hAnsi="宋体" w:cs="宋体"/>
          <w:color w:val="auto"/>
          <w:highlight w:val="none"/>
          <w:lang w:val="en-US" w:eastAsia="zh-CN"/>
        </w:rPr>
        <w:t>4</w:t>
      </w:r>
      <w:r>
        <w:rPr>
          <w:rFonts w:hint="eastAsia" w:ascii="宋体" w:hAnsi="宋体" w:cs="宋体"/>
          <w:color w:val="auto"/>
          <w:highlight w:val="none"/>
        </w:rPr>
        <w:t>）</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总承包项目经理、施工项目负责人</w:t>
      </w:r>
      <w:r>
        <w:rPr>
          <w:rFonts w:hint="eastAsia" w:ascii="宋体" w:hAnsi="宋体" w:cs="宋体"/>
          <w:color w:val="auto"/>
          <w:szCs w:val="21"/>
          <w:highlight w:val="none"/>
        </w:rPr>
        <w:t>不得同时在两个或者两个以上单位受聘或者执业，</w:t>
      </w:r>
      <w:r>
        <w:rPr>
          <w:rFonts w:hint="eastAsia" w:ascii="宋体" w:hAnsi="宋体" w:cs="宋体"/>
          <w:color w:val="auto"/>
          <w:szCs w:val="21"/>
          <w:highlight w:val="none"/>
          <w:lang w:val="en-US" w:eastAsia="zh-CN"/>
        </w:rPr>
        <w:t>仅</w:t>
      </w:r>
      <w:r>
        <w:rPr>
          <w:rFonts w:hint="eastAsia" w:ascii="宋体" w:hAnsi="宋体" w:cs="宋体"/>
          <w:color w:val="auto"/>
          <w:szCs w:val="21"/>
          <w:highlight w:val="none"/>
        </w:rPr>
        <w:t>限于以下情形：</w:t>
      </w:r>
    </w:p>
    <w:p>
      <w:pPr>
        <w:adjustRightInd w:val="0"/>
        <w:snapToGrid w:val="0"/>
        <w:spacing w:line="360" w:lineRule="auto"/>
        <w:ind w:firstLine="945" w:firstLineChars="450"/>
        <w:rPr>
          <w:rFonts w:ascii="宋体" w:hAnsi="宋体" w:cs="宋体"/>
          <w:color w:val="auto"/>
          <w:szCs w:val="21"/>
          <w:highlight w:val="none"/>
        </w:rPr>
      </w:pPr>
      <w:r>
        <w:rPr>
          <w:rFonts w:hint="eastAsia" w:ascii="宋体" w:hAnsi="宋体" w:cs="宋体"/>
          <w:color w:val="auto"/>
          <w:szCs w:val="21"/>
          <w:highlight w:val="none"/>
        </w:rPr>
        <w:t>①同时在两个及以上单位签订劳动合同或交纳社会保险；</w:t>
      </w:r>
    </w:p>
    <w:p>
      <w:pPr>
        <w:adjustRightInd w:val="0"/>
        <w:snapToGrid w:val="0"/>
        <w:spacing w:line="360" w:lineRule="auto"/>
        <w:ind w:firstLine="945" w:firstLineChars="450"/>
        <w:rPr>
          <w:rFonts w:hint="eastAsia" w:ascii="宋体" w:hAnsi="宋体" w:cs="宋体"/>
          <w:color w:val="auto"/>
          <w:szCs w:val="21"/>
          <w:highlight w:val="none"/>
        </w:rPr>
      </w:pPr>
      <w:r>
        <w:rPr>
          <w:rFonts w:hint="eastAsia" w:ascii="宋体" w:hAnsi="宋体" w:cs="宋体"/>
          <w:color w:val="auto"/>
          <w:szCs w:val="21"/>
          <w:highlight w:val="none"/>
        </w:rPr>
        <w:t>②将本人执（职）业资格证书同时注册在两个及以上单位；</w:t>
      </w:r>
    </w:p>
    <w:p>
      <w:pPr>
        <w:adjustRightInd w:val="0"/>
        <w:snapToGrid w:val="0"/>
        <w:spacing w:line="360" w:lineRule="auto"/>
        <w:ind w:firstLine="945" w:firstLineChars="450"/>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③</w:t>
      </w:r>
      <w:r>
        <w:rPr>
          <w:rFonts w:hint="eastAsia" w:ascii="宋体" w:hAnsi="宋体" w:cs="宋体"/>
          <w:color w:val="auto"/>
          <w:szCs w:val="21"/>
          <w:highlight w:val="none"/>
        </w:rPr>
        <w:t>在其他企业担任法定代表人。</w:t>
      </w:r>
    </w:p>
    <w:p>
      <w:pPr>
        <w:adjustRightInd w:val="0"/>
        <w:snapToGrid w:val="0"/>
        <w:spacing w:line="360" w:lineRule="auto"/>
        <w:ind w:firstLine="420" w:firstLineChars="200"/>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）工程总承包项目经理不得同时在两个或两个以上</w:t>
      </w:r>
      <w:r>
        <w:rPr>
          <w:rFonts w:hint="eastAsia" w:ascii="宋体" w:hAnsi="宋体" w:cs="宋体"/>
          <w:color w:val="auto"/>
          <w:szCs w:val="21"/>
          <w:highlight w:val="none"/>
          <w:lang w:val="en-US" w:eastAsia="zh-CN"/>
        </w:rPr>
        <w:t>工程</w:t>
      </w:r>
      <w:r>
        <w:rPr>
          <w:rFonts w:hint="eastAsia" w:ascii="宋体" w:hAnsi="宋体" w:cs="宋体"/>
          <w:color w:val="auto"/>
          <w:szCs w:val="21"/>
          <w:highlight w:val="none"/>
        </w:rPr>
        <w:t>项目担任工程总承包项目经理、施工项目负责人</w:t>
      </w:r>
      <w:r>
        <w:rPr>
          <w:rFonts w:hint="eastAsia" w:ascii="宋体" w:hAnsi="宋体" w:cs="宋体"/>
          <w:color w:val="auto"/>
          <w:szCs w:val="21"/>
          <w:highlight w:val="none"/>
          <w:lang w:eastAsia="zh-CN"/>
        </w:rPr>
        <w:t>；</w:t>
      </w:r>
    </w:p>
    <w:p>
      <w:pPr>
        <w:adjustRightInd w:val="0"/>
        <w:snapToGrid w:val="0"/>
        <w:spacing w:line="360" w:lineRule="auto"/>
        <w:ind w:firstLine="420" w:firstLineChars="200"/>
        <w:rPr>
          <w:rFonts w:hint="eastAsia" w:ascii="宋体" w:hAnsi="宋体" w:eastAsia="宋体" w:cs="宋体"/>
          <w:color w:val="auto"/>
          <w:szCs w:val="21"/>
          <w:highlight w:val="none"/>
          <w:lang w:eastAsia="zh-CN"/>
        </w:rPr>
      </w:pPr>
      <w:r>
        <w:rPr>
          <w:rFonts w:hint="eastAsia" w:ascii="宋体" w:hAnsi="宋体"/>
          <w:color w:val="auto"/>
          <w:szCs w:val="21"/>
          <w:highlight w:val="none"/>
        </w:rPr>
        <w:t>（6）</w:t>
      </w:r>
      <w:r>
        <w:rPr>
          <w:rFonts w:hint="eastAsia"/>
          <w:color w:val="auto"/>
          <w:szCs w:val="21"/>
          <w:highlight w:val="none"/>
        </w:rPr>
        <w:t>投标人须提供为拟派工程总承包项目经理、设计负责人、施工项目负责人缴纳养老保险的养老保险缴费证明（养老保险缴费证明具体要求详见招标文件投标人须知前附表3.1.1）</w:t>
      </w:r>
      <w:r>
        <w:rPr>
          <w:rFonts w:hint="eastAsia"/>
          <w:color w:val="auto"/>
          <w:szCs w:val="21"/>
          <w:highlight w:val="none"/>
          <w:lang w:eastAsia="zh-CN"/>
        </w:rPr>
        <w:t>。</w:t>
      </w:r>
    </w:p>
    <w:p>
      <w:pPr>
        <w:adjustRightInd w:val="0"/>
        <w:snapToGrid w:val="0"/>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 3.</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 xml:space="preserve"> 业绩要求</w:t>
      </w:r>
    </w:p>
    <w:p>
      <w:pPr>
        <w:adjustRightInd w:val="0"/>
        <w:snapToGrid w:val="0"/>
        <w:spacing w:line="360" w:lineRule="auto"/>
        <w:ind w:firstLine="840" w:firstLineChars="400"/>
        <w:rPr>
          <w:rFonts w:ascii="宋体" w:hAnsi="宋体" w:cs="宋体"/>
          <w:color w:val="auto"/>
          <w:szCs w:val="21"/>
          <w:highlight w:val="none"/>
        </w:rPr>
      </w:pPr>
      <w:r>
        <w:rPr>
          <w:rFonts w:hint="eastAsia" w:ascii="宋体" w:hAnsi="宋体" w:cs="宋体"/>
          <w:color w:val="auto"/>
          <w:szCs w:val="21"/>
          <w:highlight w:val="none"/>
        </w:rPr>
        <w:t>（1）工程总承包项目经理应当承担过以下类似工程业绩之一：</w:t>
      </w:r>
    </w:p>
    <w:p>
      <w:pPr>
        <w:adjustRightInd w:val="0"/>
        <w:snapToGrid w:val="0"/>
        <w:spacing w:line="360" w:lineRule="auto"/>
        <w:ind w:firstLine="840" w:firstLineChars="400"/>
        <w:rPr>
          <w:rFonts w:hint="eastAsia" w:ascii="宋体" w:hAnsi="宋体" w:cs="宋体"/>
          <w:color w:val="auto"/>
          <w:szCs w:val="21"/>
          <w:highlight w:val="none"/>
        </w:rPr>
      </w:pPr>
      <w:r>
        <w:rPr>
          <w:rFonts w:hint="eastAsia" w:ascii="宋体" w:hAnsi="宋体" w:cs="宋体"/>
          <w:color w:val="auto"/>
          <w:szCs w:val="21"/>
          <w:highlight w:val="none"/>
        </w:rPr>
        <w:t>（</w:t>
      </w:r>
      <w:r>
        <w:rPr>
          <w:rFonts w:ascii="宋体" w:hAnsi="宋体" w:cs="宋体"/>
          <w:color w:val="auto"/>
          <w:szCs w:val="21"/>
          <w:highlight w:val="none"/>
        </w:rPr>
        <w:t>A）</w:t>
      </w:r>
      <w:r>
        <w:rPr>
          <w:rFonts w:hint="eastAsia" w:ascii="宋体" w:hAnsi="宋体" w:cs="宋体"/>
          <w:color w:val="auto"/>
          <w:szCs w:val="21"/>
          <w:highlight w:val="none"/>
        </w:rPr>
        <w:t>工程总承包业绩要求：</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adjustRightInd w:val="0"/>
        <w:snapToGrid w:val="0"/>
        <w:spacing w:line="360" w:lineRule="auto"/>
        <w:ind w:firstLine="840" w:firstLineChars="400"/>
        <w:rPr>
          <w:rFonts w:hint="eastAsia" w:ascii="宋体" w:hAnsi="宋体" w:cs="宋体"/>
          <w:color w:val="auto"/>
          <w:szCs w:val="21"/>
          <w:highlight w:val="none"/>
        </w:rPr>
      </w:pPr>
      <w:r>
        <w:rPr>
          <w:rFonts w:hint="eastAsia" w:ascii="宋体" w:hAnsi="宋体" w:cs="宋体"/>
          <w:color w:val="auto"/>
          <w:szCs w:val="21"/>
          <w:highlight w:val="none"/>
        </w:rPr>
        <w:t>（</w:t>
      </w:r>
      <w:r>
        <w:rPr>
          <w:rFonts w:ascii="宋体" w:hAnsi="宋体" w:cs="宋体"/>
          <w:color w:val="auto"/>
          <w:szCs w:val="21"/>
          <w:highlight w:val="none"/>
        </w:rPr>
        <w:t>B）设计业绩要求：</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adjustRightInd w:val="0"/>
        <w:snapToGrid w:val="0"/>
        <w:spacing w:line="360" w:lineRule="auto"/>
        <w:ind w:firstLine="840" w:firstLineChars="400"/>
        <w:rPr>
          <w:rFonts w:hint="eastAsia" w:ascii="宋体" w:hAnsi="宋体" w:cs="宋体"/>
          <w:color w:val="auto"/>
          <w:szCs w:val="21"/>
          <w:highlight w:val="none"/>
        </w:rPr>
      </w:pPr>
      <w:r>
        <w:rPr>
          <w:rFonts w:hint="eastAsia" w:ascii="宋体" w:hAnsi="宋体" w:cs="宋体"/>
          <w:color w:val="auto"/>
          <w:szCs w:val="21"/>
          <w:highlight w:val="none"/>
        </w:rPr>
        <w:t>（</w:t>
      </w:r>
      <w:r>
        <w:rPr>
          <w:rFonts w:ascii="宋体" w:hAnsi="宋体" w:cs="宋体"/>
          <w:color w:val="auto"/>
          <w:szCs w:val="21"/>
          <w:highlight w:val="none"/>
        </w:rPr>
        <w:t>C）施工业绩要求：</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adjustRightInd w:val="0"/>
        <w:snapToGrid w:val="0"/>
        <w:spacing w:line="360" w:lineRule="auto"/>
        <w:ind w:firstLine="1050" w:firstLineChars="500"/>
        <w:rPr>
          <w:rFonts w:hint="eastAsia" w:ascii="宋体" w:hAnsi="宋体" w:cs="宋体"/>
          <w:color w:val="auto"/>
          <w:szCs w:val="21"/>
          <w:highlight w:val="none"/>
        </w:rPr>
      </w:pPr>
      <w:r>
        <w:rPr>
          <w:rFonts w:hint="eastAsia" w:ascii="宋体" w:hAnsi="宋体" w:cs="宋体"/>
          <w:color w:val="auto"/>
          <w:szCs w:val="21"/>
          <w:highlight w:val="none"/>
          <w:lang w:val="en-US" w:eastAsia="zh-CN"/>
        </w:rPr>
        <w:t>业绩</w:t>
      </w:r>
      <w:r>
        <w:rPr>
          <w:rFonts w:hint="eastAsia" w:ascii="宋体" w:hAnsi="宋体" w:cs="宋体"/>
          <w:color w:val="auto"/>
          <w:szCs w:val="21"/>
          <w:highlight w:val="none"/>
        </w:rPr>
        <w:t>有效期自</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日起至招标公告发布之日止</w:t>
      </w:r>
      <w:r>
        <w:rPr>
          <w:rFonts w:hint="eastAsia"/>
          <w:color w:val="auto"/>
          <w:highlight w:val="none"/>
        </w:rPr>
        <w:t>（</w:t>
      </w:r>
      <w:r>
        <w:rPr>
          <w:color w:val="auto"/>
          <w:highlight w:val="none"/>
        </w:rPr>
        <w:t>施工</w:t>
      </w:r>
      <w:r>
        <w:rPr>
          <w:rFonts w:hint="eastAsia"/>
          <w:color w:val="auto"/>
          <w:highlight w:val="none"/>
        </w:rPr>
        <w:t>业绩</w:t>
      </w:r>
      <w:r>
        <w:rPr>
          <w:color w:val="auto"/>
          <w:highlight w:val="none"/>
        </w:rPr>
        <w:t>和</w:t>
      </w:r>
      <w:r>
        <w:rPr>
          <w:rFonts w:hint="eastAsia"/>
          <w:color w:val="auto"/>
          <w:highlight w:val="none"/>
        </w:rPr>
        <w:t>工程</w:t>
      </w:r>
      <w:r>
        <w:rPr>
          <w:color w:val="auto"/>
          <w:highlight w:val="none"/>
        </w:rPr>
        <w:t>总承包业绩</w:t>
      </w:r>
      <w:r>
        <w:rPr>
          <w:rFonts w:hint="eastAsia"/>
          <w:color w:val="auto"/>
          <w:highlight w:val="none"/>
        </w:rPr>
        <w:t>以</w:t>
      </w:r>
      <w:r>
        <w:rPr>
          <w:rFonts w:hint="eastAsia"/>
          <w:color w:val="auto"/>
          <w:highlight w:val="none"/>
          <w:lang w:eastAsia="zh-CN"/>
        </w:rPr>
        <w:t>竣工验收佐证资料</w:t>
      </w:r>
      <w:r>
        <w:rPr>
          <w:rFonts w:hint="eastAsia"/>
          <w:color w:val="auto"/>
          <w:highlight w:val="none"/>
        </w:rPr>
        <w:t>中载明的竣工验收日期为准；</w:t>
      </w:r>
      <w:r>
        <w:rPr>
          <w:color w:val="auto"/>
          <w:highlight w:val="none"/>
        </w:rPr>
        <w:t>设计业绩</w:t>
      </w:r>
      <w:r>
        <w:rPr>
          <w:rFonts w:hint="eastAsia"/>
          <w:color w:val="auto"/>
          <w:highlight w:val="none"/>
        </w:rPr>
        <w:t>以</w:t>
      </w:r>
      <w:r>
        <w:rPr>
          <w:rFonts w:hint="eastAsia"/>
          <w:color w:val="auto"/>
          <w:highlight w:val="none"/>
          <w:u w:val="single"/>
          <w:lang w:val="en-US" w:eastAsia="zh-CN"/>
        </w:rPr>
        <w:t xml:space="preserve">         </w:t>
      </w:r>
      <w:r>
        <w:rPr>
          <w:rFonts w:hint="eastAsia"/>
          <w:color w:val="auto"/>
          <w:highlight w:val="none"/>
        </w:rPr>
        <w:t>为准）</w:t>
      </w:r>
      <w:r>
        <w:rPr>
          <w:rFonts w:hint="eastAsia" w:ascii="宋体" w:hAnsi="宋体" w:cs="宋体"/>
          <w:color w:val="auto"/>
          <w:szCs w:val="21"/>
          <w:highlight w:val="none"/>
        </w:rPr>
        <w:t>。</w:t>
      </w:r>
    </w:p>
    <w:p>
      <w:pPr>
        <w:adjustRightInd w:val="0"/>
        <w:snapToGrid w:val="0"/>
        <w:spacing w:line="360" w:lineRule="auto"/>
        <w:ind w:firstLine="1050" w:firstLineChars="500"/>
        <w:rPr>
          <w:color w:val="auto"/>
          <w:highlight w:val="none"/>
        </w:rPr>
      </w:pPr>
      <w:r>
        <w:rPr>
          <w:rFonts w:hint="eastAsia" w:ascii="宋体" w:hAnsi="宋体" w:cs="宋体"/>
          <w:color w:val="auto"/>
          <w:szCs w:val="21"/>
          <w:highlight w:val="none"/>
        </w:rPr>
        <w:t>注：</w:t>
      </w:r>
      <w:r>
        <w:rPr>
          <w:rFonts w:hint="eastAsia"/>
          <w:color w:val="auto"/>
          <w:highlight w:val="none"/>
        </w:rPr>
        <w:t>如果投标人采用非联合体形式参加投标的，工程总</w:t>
      </w:r>
      <w:r>
        <w:rPr>
          <w:color w:val="auto"/>
          <w:highlight w:val="none"/>
        </w:rPr>
        <w:t>承包项目经理承担的</w:t>
      </w:r>
      <w:r>
        <w:rPr>
          <w:rFonts w:hint="eastAsia"/>
          <w:color w:val="auto"/>
          <w:highlight w:val="none"/>
        </w:rPr>
        <w:t>类似工程业绩不是投标人承担的项目，不予认可；如果投标人采用联合体形式参加投标的，工程总</w:t>
      </w:r>
      <w:r>
        <w:rPr>
          <w:color w:val="auto"/>
          <w:highlight w:val="none"/>
        </w:rPr>
        <w:t>承包项目经理承担的</w:t>
      </w:r>
      <w:r>
        <w:rPr>
          <w:rFonts w:hint="eastAsia"/>
          <w:color w:val="auto"/>
          <w:highlight w:val="none"/>
        </w:rPr>
        <w:t>类似工程业绩不是联合体成员承担的项目，不予认可；</w:t>
      </w:r>
    </w:p>
    <w:p>
      <w:pPr>
        <w:adjustRightInd w:val="0"/>
        <w:snapToGrid w:val="0"/>
        <w:spacing w:line="360" w:lineRule="auto"/>
        <w:ind w:firstLine="840" w:firstLineChars="400"/>
        <w:rPr>
          <w:rFonts w:ascii="宋体" w:hAnsi="宋体" w:cs="宋体"/>
          <w:color w:val="auto"/>
          <w:szCs w:val="21"/>
          <w:highlight w:val="none"/>
        </w:rPr>
      </w:pPr>
      <w:r>
        <w:rPr>
          <w:rFonts w:hint="eastAsia" w:ascii="宋体" w:hAnsi="宋体" w:cs="宋体"/>
          <w:color w:val="auto"/>
          <w:highlight w:val="none"/>
        </w:rPr>
        <w:t>（2）</w:t>
      </w:r>
      <w:r>
        <w:rPr>
          <w:rFonts w:hint="eastAsia" w:ascii="宋体" w:hAnsi="宋体" w:cs="宋体"/>
          <w:color w:val="auto"/>
          <w:szCs w:val="21"/>
          <w:highlight w:val="none"/>
        </w:rPr>
        <w:t>投标人应当具有以下类似工程业绩之一：</w:t>
      </w:r>
    </w:p>
    <w:p>
      <w:pPr>
        <w:adjustRightInd w:val="0"/>
        <w:snapToGrid w:val="0"/>
        <w:spacing w:line="360" w:lineRule="auto"/>
        <w:ind w:firstLine="735" w:firstLineChars="350"/>
        <w:rPr>
          <w:rFonts w:hint="eastAsia" w:ascii="宋体" w:hAnsi="宋体" w:cs="宋体"/>
          <w:color w:val="auto"/>
          <w:szCs w:val="21"/>
          <w:highlight w:val="none"/>
        </w:rPr>
      </w:pPr>
      <w:r>
        <w:rPr>
          <w:rFonts w:hint="eastAsia" w:ascii="宋体" w:hAnsi="宋体" w:cs="宋体"/>
          <w:color w:val="auto"/>
          <w:szCs w:val="21"/>
          <w:highlight w:val="none"/>
        </w:rPr>
        <w:t xml:space="preserve"> （</w:t>
      </w:r>
      <w:r>
        <w:rPr>
          <w:rFonts w:ascii="宋体" w:hAnsi="宋体" w:cs="宋体"/>
          <w:color w:val="auto"/>
          <w:szCs w:val="21"/>
          <w:highlight w:val="none"/>
        </w:rPr>
        <w:t>A）</w:t>
      </w:r>
      <w:r>
        <w:rPr>
          <w:rFonts w:hint="eastAsia" w:ascii="宋体" w:hAnsi="宋体" w:cs="宋体"/>
          <w:color w:val="auto"/>
          <w:szCs w:val="21"/>
          <w:highlight w:val="none"/>
        </w:rPr>
        <w:t>工程总承包业绩要求：</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adjustRightInd w:val="0"/>
        <w:snapToGrid w:val="0"/>
        <w:spacing w:line="360" w:lineRule="auto"/>
        <w:ind w:firstLine="735" w:firstLineChars="350"/>
        <w:rPr>
          <w:rFonts w:hint="eastAsia" w:ascii="宋体" w:hAnsi="宋体" w:cs="宋体"/>
          <w:color w:val="auto"/>
          <w:szCs w:val="21"/>
          <w:highlight w:val="none"/>
        </w:rPr>
      </w:pPr>
      <w:r>
        <w:rPr>
          <w:rFonts w:hint="eastAsia" w:ascii="宋体" w:hAnsi="宋体" w:cs="宋体"/>
          <w:color w:val="auto"/>
          <w:szCs w:val="21"/>
          <w:highlight w:val="none"/>
        </w:rPr>
        <w:t xml:space="preserve"> （</w:t>
      </w:r>
      <w:r>
        <w:rPr>
          <w:rFonts w:ascii="宋体" w:hAnsi="宋体" w:cs="宋体"/>
          <w:color w:val="auto"/>
          <w:szCs w:val="21"/>
          <w:highlight w:val="none"/>
        </w:rPr>
        <w:t>B）设计业绩要求：</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adjustRightInd w:val="0"/>
        <w:snapToGrid w:val="0"/>
        <w:spacing w:line="360" w:lineRule="auto"/>
        <w:ind w:firstLine="735" w:firstLineChars="350"/>
        <w:rPr>
          <w:rFonts w:hint="eastAsia" w:ascii="宋体" w:hAnsi="宋体" w:cs="宋体"/>
          <w:color w:val="auto"/>
          <w:szCs w:val="21"/>
          <w:highlight w:val="none"/>
        </w:rPr>
      </w:pPr>
      <w:r>
        <w:rPr>
          <w:rFonts w:hint="eastAsia" w:ascii="宋体" w:hAnsi="宋体" w:cs="宋体"/>
          <w:color w:val="auto"/>
          <w:szCs w:val="21"/>
          <w:highlight w:val="none"/>
        </w:rPr>
        <w:t xml:space="preserve"> （</w:t>
      </w:r>
      <w:r>
        <w:rPr>
          <w:rFonts w:ascii="宋体" w:hAnsi="宋体" w:cs="宋体"/>
          <w:color w:val="auto"/>
          <w:szCs w:val="21"/>
          <w:highlight w:val="none"/>
        </w:rPr>
        <w:t>C）施工业绩要求：</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adjustRightInd w:val="0"/>
        <w:snapToGrid w:val="0"/>
        <w:spacing w:line="360" w:lineRule="auto"/>
        <w:ind w:firstLine="1050" w:firstLineChars="500"/>
        <w:rPr>
          <w:rFonts w:hint="eastAsia" w:ascii="宋体" w:hAnsi="宋体" w:cs="宋体"/>
          <w:color w:val="auto"/>
          <w:szCs w:val="21"/>
          <w:highlight w:val="none"/>
        </w:rPr>
      </w:pPr>
      <w:r>
        <w:rPr>
          <w:rFonts w:hint="eastAsia" w:ascii="宋体" w:hAnsi="宋体" w:cs="宋体"/>
          <w:color w:val="auto"/>
          <w:szCs w:val="21"/>
          <w:highlight w:val="none"/>
          <w:lang w:val="en-US" w:eastAsia="zh-CN"/>
        </w:rPr>
        <w:t>业绩</w:t>
      </w:r>
      <w:r>
        <w:rPr>
          <w:rFonts w:hint="eastAsia" w:ascii="宋体" w:hAnsi="宋体" w:cs="宋体"/>
          <w:color w:val="auto"/>
          <w:szCs w:val="21"/>
          <w:highlight w:val="none"/>
        </w:rPr>
        <w:t>有效期自</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日起至招标公告发布之日止</w:t>
      </w:r>
      <w:r>
        <w:rPr>
          <w:rFonts w:hint="eastAsia"/>
          <w:color w:val="auto"/>
          <w:highlight w:val="none"/>
        </w:rPr>
        <w:t>（</w:t>
      </w:r>
      <w:r>
        <w:rPr>
          <w:color w:val="auto"/>
          <w:highlight w:val="none"/>
        </w:rPr>
        <w:t>施工</w:t>
      </w:r>
      <w:r>
        <w:rPr>
          <w:rFonts w:hint="eastAsia"/>
          <w:color w:val="auto"/>
          <w:highlight w:val="none"/>
        </w:rPr>
        <w:t>业绩</w:t>
      </w:r>
      <w:r>
        <w:rPr>
          <w:color w:val="auto"/>
          <w:highlight w:val="none"/>
        </w:rPr>
        <w:t>和</w:t>
      </w:r>
      <w:r>
        <w:rPr>
          <w:rFonts w:hint="eastAsia"/>
          <w:color w:val="auto"/>
          <w:highlight w:val="none"/>
        </w:rPr>
        <w:t>工程</w:t>
      </w:r>
      <w:r>
        <w:rPr>
          <w:color w:val="auto"/>
          <w:highlight w:val="none"/>
        </w:rPr>
        <w:t>总承包业绩</w:t>
      </w:r>
      <w:r>
        <w:rPr>
          <w:rFonts w:hint="eastAsia"/>
          <w:color w:val="auto"/>
          <w:highlight w:val="none"/>
        </w:rPr>
        <w:t>以</w:t>
      </w:r>
      <w:r>
        <w:rPr>
          <w:rFonts w:hint="eastAsia"/>
          <w:color w:val="auto"/>
          <w:highlight w:val="none"/>
          <w:lang w:eastAsia="zh-CN"/>
        </w:rPr>
        <w:t>竣工验收佐证资料</w:t>
      </w:r>
      <w:r>
        <w:rPr>
          <w:rFonts w:hint="eastAsia"/>
          <w:color w:val="auto"/>
          <w:highlight w:val="none"/>
        </w:rPr>
        <w:t>中载明的竣工验收日期为准；</w:t>
      </w:r>
      <w:r>
        <w:rPr>
          <w:color w:val="auto"/>
          <w:highlight w:val="none"/>
        </w:rPr>
        <w:t>设计业绩</w:t>
      </w:r>
      <w:r>
        <w:rPr>
          <w:rFonts w:hint="eastAsia"/>
          <w:color w:val="auto"/>
          <w:highlight w:val="none"/>
        </w:rPr>
        <w:t>以</w:t>
      </w:r>
      <w:r>
        <w:rPr>
          <w:rFonts w:hint="eastAsia"/>
          <w:color w:val="auto"/>
          <w:highlight w:val="none"/>
          <w:u w:val="single"/>
          <w:lang w:val="en-US" w:eastAsia="zh-CN"/>
        </w:rPr>
        <w:t xml:space="preserve">       </w:t>
      </w:r>
      <w:r>
        <w:rPr>
          <w:rFonts w:hint="eastAsia"/>
          <w:color w:val="auto"/>
          <w:highlight w:val="none"/>
        </w:rPr>
        <w:t>为准）</w:t>
      </w:r>
      <w:r>
        <w:rPr>
          <w:rFonts w:hint="eastAsia" w:ascii="宋体" w:hAnsi="宋体" w:cs="宋体"/>
          <w:color w:val="auto"/>
          <w:szCs w:val="21"/>
          <w:highlight w:val="none"/>
        </w:rPr>
        <w:t>。</w:t>
      </w:r>
    </w:p>
    <w:p>
      <w:pPr>
        <w:adjustRightInd w:val="0"/>
        <w:snapToGrid w:val="0"/>
        <w:spacing w:line="360" w:lineRule="auto"/>
        <w:ind w:firstLine="840" w:firstLineChars="400"/>
        <w:rPr>
          <w:color w:val="auto"/>
          <w:highlight w:val="none"/>
        </w:rPr>
      </w:pPr>
      <w:r>
        <w:rPr>
          <w:rFonts w:hint="eastAsia" w:ascii="宋体" w:hAnsi="宋体" w:cs="宋体"/>
          <w:color w:val="auto"/>
          <w:szCs w:val="21"/>
          <w:highlight w:val="none"/>
        </w:rPr>
        <w:t>注：</w:t>
      </w:r>
      <w:r>
        <w:rPr>
          <w:rFonts w:hint="eastAsia"/>
          <w:color w:val="auto"/>
          <w:highlight w:val="none"/>
        </w:rPr>
        <w:t>如果投标人采用非联合体形式参加投标的，</w:t>
      </w:r>
      <w:r>
        <w:rPr>
          <w:rFonts w:hint="eastAsia" w:ascii="宋体" w:hAnsi="宋体" w:cs="宋体"/>
          <w:color w:val="auto"/>
          <w:szCs w:val="21"/>
          <w:highlight w:val="none"/>
        </w:rPr>
        <w:t>投标人</w:t>
      </w:r>
      <w:r>
        <w:rPr>
          <w:rFonts w:hint="eastAsia"/>
          <w:color w:val="auto"/>
          <w:highlight w:val="none"/>
        </w:rPr>
        <w:t>类似工程业绩不是投标人承担的项目，不予认可；如果投标人采用联合体形式参加投标的，</w:t>
      </w:r>
      <w:r>
        <w:rPr>
          <w:rFonts w:hint="eastAsia" w:ascii="宋体" w:hAnsi="宋体" w:cs="宋体"/>
          <w:color w:val="auto"/>
          <w:szCs w:val="21"/>
          <w:highlight w:val="none"/>
        </w:rPr>
        <w:t>投标人</w:t>
      </w:r>
      <w:r>
        <w:rPr>
          <w:rFonts w:hint="eastAsia"/>
          <w:color w:val="auto"/>
          <w:highlight w:val="none"/>
        </w:rPr>
        <w:t>类似工程业绩不是联合体成员承担的项目，不予认可；</w:t>
      </w:r>
    </w:p>
    <w:p>
      <w:pPr>
        <w:adjustRightInd w:val="0"/>
        <w:snapToGrid w:val="0"/>
        <w:spacing w:line="360" w:lineRule="auto"/>
        <w:ind w:firstLine="630" w:firstLineChars="300"/>
        <w:rPr>
          <w:rFonts w:ascii="宋体" w:hAnsi="宋体" w:cs="宋体"/>
          <w:color w:val="auto"/>
          <w:szCs w:val="21"/>
          <w:highlight w:val="none"/>
        </w:rPr>
      </w:pPr>
      <w:bookmarkStart w:id="35" w:name="_Toc389065125"/>
      <w:bookmarkStart w:id="36" w:name="_Toc508286060"/>
      <w:r>
        <w:rPr>
          <w:rFonts w:hint="eastAsia" w:ascii="宋体" w:hAnsi="宋体" w:cs="宋体"/>
          <w:color w:val="auto"/>
          <w:szCs w:val="21"/>
          <w:highlight w:val="none"/>
        </w:rPr>
        <w:t>3.</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信誉要求：</w:t>
      </w:r>
      <w:r>
        <w:rPr>
          <w:rFonts w:hint="eastAsia" w:ascii="宋体" w:hAnsi="宋体" w:cs="宋体"/>
          <w:color w:val="auto"/>
          <w:szCs w:val="21"/>
          <w:highlight w:val="none"/>
          <w:lang w:val="en-US" w:eastAsia="zh-CN"/>
        </w:rPr>
        <w:t>投标截止时，</w:t>
      </w:r>
      <w:r>
        <w:rPr>
          <w:rFonts w:hint="eastAsia" w:ascii="宋体" w:hAnsi="宋体" w:cs="宋体"/>
          <w:color w:val="auto"/>
          <w:szCs w:val="21"/>
          <w:highlight w:val="none"/>
        </w:rPr>
        <w:t>投标人</w:t>
      </w:r>
      <w:r>
        <w:rPr>
          <w:rFonts w:hint="eastAsia"/>
          <w:color w:val="auto"/>
          <w:szCs w:val="21"/>
          <w:highlight w:val="none"/>
        </w:rPr>
        <w:t>（投标人采用联合体形式参加投标的，包含联合体所有成员）</w:t>
      </w:r>
      <w:r>
        <w:rPr>
          <w:rFonts w:hint="eastAsia" w:ascii="宋体" w:hAnsi="宋体" w:cs="宋体"/>
          <w:color w:val="auto"/>
          <w:szCs w:val="21"/>
          <w:highlight w:val="none"/>
        </w:rPr>
        <w:t>及拟派工程</w:t>
      </w:r>
      <w:r>
        <w:rPr>
          <w:rFonts w:ascii="宋体" w:hAnsi="宋体" w:cs="宋体"/>
          <w:color w:val="auto"/>
          <w:szCs w:val="21"/>
          <w:highlight w:val="none"/>
        </w:rPr>
        <w:t>总承包项目经理</w:t>
      </w:r>
      <w:r>
        <w:rPr>
          <w:rFonts w:hint="eastAsia" w:ascii="宋体" w:hAnsi="宋体" w:cs="宋体"/>
          <w:color w:val="auto"/>
          <w:szCs w:val="21"/>
          <w:highlight w:val="none"/>
        </w:rPr>
        <w:t>不得存在下列情形：</w:t>
      </w:r>
    </w:p>
    <w:p>
      <w:pPr>
        <w:numPr>
          <w:ilvl w:val="0"/>
          <w:numId w:val="7"/>
        </w:numPr>
        <w:adjustRightInd w:val="0"/>
        <w:snapToGrid w:val="0"/>
        <w:spacing w:line="360" w:lineRule="auto"/>
        <w:ind w:firstLine="424" w:firstLineChars="202"/>
        <w:rPr>
          <w:rFonts w:hint="eastAsia" w:ascii="宋体" w:hAnsi="宋体" w:cs="宋体"/>
          <w:color w:val="auto"/>
          <w:szCs w:val="21"/>
          <w:highlight w:val="none"/>
        </w:rPr>
      </w:pPr>
      <w:r>
        <w:rPr>
          <w:rFonts w:hint="eastAsia" w:ascii="宋体" w:hAnsi="宋体" w:cs="宋体"/>
          <w:color w:val="auto"/>
          <w:szCs w:val="21"/>
          <w:highlight w:val="none"/>
        </w:rPr>
        <w:t>在江苏建设工程招标网</w:t>
      </w:r>
      <w:r>
        <w:rPr>
          <w:rFonts w:hint="eastAsia" w:ascii="宋体" w:hAnsi="宋体" w:cs="宋体"/>
          <w:color w:val="auto"/>
          <w:szCs w:val="21"/>
          <w:highlight w:val="none"/>
          <w:lang w:val="en-US" w:eastAsia="zh-CN"/>
        </w:rPr>
        <w:t>的曝光台</w:t>
      </w:r>
      <w:r>
        <w:rPr>
          <w:rFonts w:hint="eastAsia" w:ascii="宋体" w:hAnsi="宋体" w:cs="宋体"/>
          <w:color w:val="auto"/>
          <w:szCs w:val="21"/>
          <w:highlight w:val="none"/>
        </w:rPr>
        <w:t>上被曝光且正在曝光期间的；</w:t>
      </w:r>
    </w:p>
    <w:p>
      <w:pPr>
        <w:pStyle w:val="2"/>
        <w:numPr>
          <w:ilvl w:val="-1"/>
          <w:numId w:val="0"/>
        </w:numPr>
        <w:spacing w:before="0"/>
        <w:ind w:firstLine="420" w:firstLineChars="200"/>
        <w:rPr>
          <w:rFonts w:hint="eastAsia" w:ascii="宋体" w:hAnsi="宋体" w:cs="宋体"/>
          <w:color w:val="auto"/>
          <w:szCs w:val="21"/>
          <w:highlight w:val="none"/>
        </w:rPr>
      </w:pPr>
      <w:r>
        <w:rPr>
          <w:rFonts w:hint="eastAsia" w:cs="宋体"/>
          <w:color w:val="auto"/>
          <w:szCs w:val="21"/>
          <w:highlight w:val="none"/>
          <w:lang w:eastAsia="zh-CN"/>
        </w:rPr>
        <w:t>（</w:t>
      </w:r>
      <w:r>
        <w:rPr>
          <w:rFonts w:hint="eastAsia" w:cs="宋体"/>
          <w:color w:val="auto"/>
          <w:szCs w:val="21"/>
          <w:highlight w:val="none"/>
          <w:lang w:val="en-US" w:eastAsia="zh-CN"/>
        </w:rPr>
        <w:t>2</w:t>
      </w:r>
      <w:r>
        <w:rPr>
          <w:rFonts w:hint="eastAsia" w:cs="宋体"/>
          <w:color w:val="auto"/>
          <w:szCs w:val="21"/>
          <w:highlight w:val="none"/>
          <w:lang w:eastAsia="zh-CN"/>
        </w:rPr>
        <w:t>）</w:t>
      </w:r>
      <w:r>
        <w:rPr>
          <w:rFonts w:hint="eastAsia" w:cs="宋体"/>
          <w:color w:val="auto"/>
          <w:szCs w:val="21"/>
          <w:highlight w:val="none"/>
        </w:rPr>
        <w:t>在泰州市住房和城乡建设局官网的曝光台上被曝光且正在曝光期间的</w:t>
      </w:r>
      <w:r>
        <w:rPr>
          <w:rFonts w:hint="eastAsia" w:cs="宋体"/>
          <w:sz w:val="21"/>
          <w:szCs w:val="21"/>
          <w:lang w:eastAsia="zh-CN"/>
        </w:rPr>
        <w:t>（</w:t>
      </w:r>
      <w:r>
        <w:rPr>
          <w:rFonts w:hint="eastAsia" w:cs="宋体"/>
          <w:sz w:val="21"/>
          <w:szCs w:val="21"/>
        </w:rPr>
        <w:t>曝光</w:t>
      </w:r>
      <w:r>
        <w:rPr>
          <w:rFonts w:hint="eastAsia" w:cs="宋体"/>
          <w:sz w:val="21"/>
          <w:szCs w:val="21"/>
          <w:lang w:val="en-US" w:eastAsia="zh-CN"/>
        </w:rPr>
        <w:t>仅限</w:t>
      </w:r>
      <w:r>
        <w:rPr>
          <w:rFonts w:hint="eastAsia" w:ascii="宋体" w:hAnsi="宋体" w:cs="宋体"/>
          <w:color w:val="auto"/>
          <w:sz w:val="21"/>
          <w:szCs w:val="21"/>
          <w:highlight w:val="none"/>
        </w:rPr>
        <w:t>以下</w:t>
      </w:r>
      <w:r>
        <w:rPr>
          <w:rFonts w:hint="eastAsia" w:cs="宋体"/>
          <w:sz w:val="21"/>
          <w:szCs w:val="21"/>
          <w:lang w:val="en-US" w:eastAsia="zh-CN"/>
        </w:rPr>
        <w:t>行为：</w:t>
      </w:r>
      <w:r>
        <w:rPr>
          <w:rFonts w:hint="eastAsia" w:ascii="宋体" w:hAnsi="宋体" w:cs="宋体"/>
          <w:sz w:val="21"/>
          <w:szCs w:val="21"/>
        </w:rPr>
        <w:t>串通投标、弄虚作假、以他人名义投标、骗取中标、转包、违法分包</w:t>
      </w:r>
      <w:r>
        <w:rPr>
          <w:rFonts w:hint="eastAsia" w:cs="宋体"/>
          <w:sz w:val="21"/>
          <w:szCs w:val="21"/>
          <w:lang w:eastAsia="zh-CN"/>
        </w:rPr>
        <w:t>）</w:t>
      </w:r>
      <w:r>
        <w:rPr>
          <w:rFonts w:hint="eastAsia" w:cs="宋体"/>
          <w:color w:val="auto"/>
          <w:szCs w:val="21"/>
          <w:highlight w:val="none"/>
        </w:rPr>
        <w:t>；</w:t>
      </w:r>
    </w:p>
    <w:p>
      <w:pPr>
        <w:adjustRightInd w:val="0"/>
        <w:snapToGrid w:val="0"/>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以上被曝光的行为，有相关部门正式公文证明</w:t>
      </w:r>
      <w:r>
        <w:rPr>
          <w:rFonts w:hint="eastAsia" w:ascii="宋体" w:hAnsi="宋体" w:cs="宋体"/>
          <w:color w:val="auto"/>
          <w:szCs w:val="21"/>
          <w:highlight w:val="none"/>
          <w:lang w:val="en-US" w:eastAsia="zh-CN"/>
        </w:rPr>
        <w:t>曝光</w:t>
      </w:r>
      <w:r>
        <w:rPr>
          <w:rFonts w:hint="eastAsia" w:ascii="宋体" w:hAnsi="宋体" w:cs="宋体"/>
          <w:color w:val="auto"/>
          <w:szCs w:val="21"/>
          <w:highlight w:val="none"/>
        </w:rPr>
        <w:t>已被取消或</w:t>
      </w:r>
      <w:r>
        <w:rPr>
          <w:rFonts w:hint="eastAsia" w:ascii="宋体" w:hAnsi="宋体" w:cs="宋体"/>
          <w:color w:val="auto"/>
          <w:szCs w:val="21"/>
          <w:highlight w:val="none"/>
          <w:lang w:val="en-US" w:eastAsia="zh-CN"/>
        </w:rPr>
        <w:t>曝光</w:t>
      </w:r>
      <w:r>
        <w:rPr>
          <w:rFonts w:hint="eastAsia" w:ascii="宋体" w:hAnsi="宋体" w:cs="宋体"/>
          <w:color w:val="auto"/>
          <w:szCs w:val="21"/>
          <w:highlight w:val="none"/>
        </w:rPr>
        <w:t>期已满的除外。</w:t>
      </w:r>
    </w:p>
    <w:p>
      <w:pPr>
        <w:adjustRightInd w:val="0"/>
        <w:snapToGrid w:val="0"/>
        <w:spacing w:line="360" w:lineRule="auto"/>
        <w:ind w:firstLine="630" w:firstLineChars="300"/>
        <w:rPr>
          <w:rFonts w:hint="eastAsia" w:ascii="宋体" w:hAnsi="宋体" w:cs="宋体"/>
          <w:color w:val="auto"/>
          <w:szCs w:val="21"/>
          <w:highlight w:val="none"/>
        </w:rPr>
      </w:pPr>
      <w:r>
        <w:rPr>
          <w:rFonts w:hint="eastAsia" w:ascii="宋体" w:hAnsi="宋体" w:cs="宋体"/>
          <w:color w:val="auto"/>
          <w:szCs w:val="21"/>
          <w:highlight w:val="none"/>
        </w:rPr>
        <w:t>3.</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rPr>
        <w:t>投标人不得有招标文件第二章投标人须知第1.4.3项规定的情形。</w:t>
      </w:r>
    </w:p>
    <w:p>
      <w:pPr>
        <w:adjustRightInd w:val="0"/>
        <w:snapToGrid w:val="0"/>
        <w:spacing w:line="360" w:lineRule="auto"/>
        <w:ind w:firstLine="630" w:firstLineChars="300"/>
        <w:rPr>
          <w:rFonts w:ascii="宋体" w:hAnsi="宋体" w:cs="宋体"/>
          <w:color w:val="auto"/>
          <w:szCs w:val="21"/>
          <w:highlight w:val="none"/>
        </w:rPr>
      </w:pPr>
      <w:r>
        <w:rPr>
          <w:rFonts w:hint="eastAsia" w:ascii="宋体" w:hAnsi="宋体" w:cs="宋体"/>
          <w:color w:val="auto"/>
          <w:szCs w:val="21"/>
          <w:highlight w:val="none"/>
          <w:lang w:val="en-US" w:eastAsia="zh-CN"/>
        </w:rPr>
        <w:t>注：上述3.4（4）、3.4（5）、3.6、3.7</w:t>
      </w:r>
      <w:r>
        <w:rPr>
          <w:rFonts w:hint="eastAsia" w:ascii="宋体" w:hAnsi="宋体" w:cs="宋体"/>
          <w:color w:val="auto"/>
          <w:szCs w:val="21"/>
          <w:highlight w:val="none"/>
        </w:rPr>
        <w:t>项评审方式为承诺制，如查实投标人在《</w:t>
      </w:r>
      <w:r>
        <w:rPr>
          <w:rFonts w:hint="eastAsia" w:ascii="宋体" w:hAnsi="宋体" w:cs="宋体"/>
          <w:color w:val="auto"/>
          <w:szCs w:val="21"/>
          <w:highlight w:val="none"/>
          <w:lang w:val="en-US" w:eastAsia="zh-CN"/>
        </w:rPr>
        <w:t>诚信</w:t>
      </w:r>
      <w:r>
        <w:rPr>
          <w:rFonts w:hint="eastAsia" w:ascii="宋体" w:hAnsi="宋体" w:cs="宋体"/>
          <w:color w:val="auto"/>
          <w:szCs w:val="21"/>
          <w:highlight w:val="none"/>
        </w:rPr>
        <w:t xml:space="preserve">投标承诺书》中虚假承诺，按弄虚作假处理。   </w:t>
      </w:r>
      <w:r>
        <w:rPr>
          <w:rFonts w:hint="eastAsia" w:ascii="宋体" w:hAnsi="宋体" w:cs="宋体"/>
          <w:b/>
          <w:color w:val="auto"/>
          <w:szCs w:val="21"/>
          <w:highlight w:val="none"/>
        </w:rPr>
        <w:t xml:space="preserve">          </w:t>
      </w:r>
    </w:p>
    <w:p>
      <w:pPr>
        <w:adjustRightInd w:val="0"/>
        <w:snapToGrid w:val="0"/>
        <w:spacing w:line="360" w:lineRule="auto"/>
        <w:ind w:firstLine="630" w:firstLineChars="300"/>
        <w:rPr>
          <w:rFonts w:ascii="宋体" w:hAnsi="宋体" w:cs="宋体"/>
          <w:color w:val="auto"/>
          <w:szCs w:val="21"/>
          <w:highlight w:val="none"/>
        </w:rPr>
      </w:pPr>
      <w:r>
        <w:rPr>
          <w:rFonts w:hint="eastAsia" w:ascii="宋体" w:hAnsi="宋体" w:cs="宋体"/>
          <w:color w:val="auto"/>
          <w:szCs w:val="21"/>
          <w:highlight w:val="none"/>
        </w:rPr>
        <w:t>3.7本次招标</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（接受/不接受）联合体投标。</w:t>
      </w:r>
    </w:p>
    <w:p>
      <w:pPr>
        <w:adjustRightInd w:val="0"/>
        <w:snapToGrid w:val="0"/>
        <w:spacing w:after="120" w:afterLines="50" w:line="360" w:lineRule="auto"/>
        <w:ind w:firstLine="630" w:firstLineChars="300"/>
        <w:rPr>
          <w:rFonts w:ascii="宋体" w:hAnsi="宋体" w:cs="宋体"/>
          <w:color w:val="auto"/>
          <w:szCs w:val="21"/>
          <w:highlight w:val="none"/>
        </w:rPr>
      </w:pPr>
      <w:r>
        <w:rPr>
          <w:rFonts w:hint="eastAsia" w:ascii="宋体" w:hAnsi="宋体" w:cs="宋体"/>
          <w:color w:val="auto"/>
          <w:szCs w:val="21"/>
          <w:highlight w:val="none"/>
        </w:rPr>
        <w:t>采用联合体投标的，应满足招标文件第二章投标人须知第1.4.2项的规定。</w:t>
      </w:r>
    </w:p>
    <w:p>
      <w:pPr>
        <w:pStyle w:val="5"/>
        <w:spacing w:after="20" w:line="360" w:lineRule="auto"/>
        <w:rPr>
          <w:rFonts w:ascii="宋体" w:hAnsi="宋体" w:cs="宋体"/>
          <w:color w:val="auto"/>
          <w:highlight w:val="none"/>
        </w:rPr>
      </w:pPr>
      <w:bookmarkStart w:id="37" w:name="_Toc29492"/>
      <w:bookmarkStart w:id="38" w:name="_Toc4986"/>
      <w:bookmarkStart w:id="39" w:name="_Toc15125"/>
      <w:bookmarkStart w:id="40" w:name="_Toc11338"/>
      <w:bookmarkStart w:id="41" w:name="_Toc16898"/>
      <w:bookmarkStart w:id="42" w:name="_Toc32503"/>
      <w:r>
        <w:rPr>
          <w:rFonts w:hint="eastAsia" w:ascii="宋体" w:hAnsi="宋体" w:cs="宋体"/>
          <w:color w:val="auto"/>
          <w:highlight w:val="none"/>
        </w:rPr>
        <w:t xml:space="preserve">4. </w:t>
      </w:r>
      <w:bookmarkEnd w:id="35"/>
      <w:bookmarkStart w:id="43" w:name="_Toc389065126"/>
      <w:r>
        <w:rPr>
          <w:rFonts w:hint="eastAsia" w:ascii="宋体" w:hAnsi="宋体" w:cs="宋体"/>
          <w:color w:val="auto"/>
          <w:highlight w:val="none"/>
        </w:rPr>
        <w:t>招标文件的获取</w:t>
      </w:r>
      <w:bookmarkEnd w:id="36"/>
      <w:bookmarkEnd w:id="37"/>
      <w:bookmarkEnd w:id="38"/>
      <w:bookmarkEnd w:id="39"/>
      <w:bookmarkEnd w:id="40"/>
      <w:bookmarkEnd w:id="41"/>
      <w:bookmarkEnd w:id="42"/>
      <w:bookmarkEnd w:id="43"/>
    </w:p>
    <w:p>
      <w:pPr>
        <w:adjustRightInd w:val="0"/>
        <w:snapToGrid w:val="0"/>
        <w:spacing w:line="360" w:lineRule="auto"/>
        <w:ind w:left="1680" w:leftChars="200" w:hanging="1260" w:hangingChars="600"/>
        <w:rPr>
          <w:rFonts w:ascii="宋体" w:hAnsi="宋体" w:cs="宋体"/>
          <w:color w:val="auto"/>
          <w:kern w:val="0"/>
          <w:szCs w:val="21"/>
          <w:highlight w:val="none"/>
        </w:rPr>
      </w:pPr>
      <w:r>
        <w:rPr>
          <w:rFonts w:hint="eastAsia" w:ascii="宋体" w:hAnsi="宋体" w:cs="宋体"/>
          <w:color w:val="auto"/>
          <w:kern w:val="0"/>
          <w:szCs w:val="21"/>
          <w:highlight w:val="none"/>
        </w:rPr>
        <w:t>4.1招标文件获取时间为：</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年</w:t>
      </w:r>
      <w:r>
        <w:rPr>
          <w:rFonts w:ascii="宋体" w:hAnsi="宋体" w:cs="宋体"/>
          <w:color w:val="auto"/>
          <w:kern w:val="0"/>
          <w:szCs w:val="21"/>
          <w:highlight w:val="none"/>
          <w:u w:val="single"/>
        </w:rPr>
        <w:t xml:space="preserve">   </w:t>
      </w:r>
      <w:r>
        <w:rPr>
          <w:rFonts w:hint="eastAsia" w:ascii="宋体" w:hAnsi="宋体" w:cs="宋体"/>
          <w:color w:val="auto"/>
          <w:kern w:val="0"/>
          <w:szCs w:val="21"/>
          <w:highlight w:val="none"/>
        </w:rPr>
        <w:t>月</w:t>
      </w:r>
      <w:r>
        <w:rPr>
          <w:rFonts w:ascii="宋体" w:hAnsi="宋体" w:cs="宋体"/>
          <w:color w:val="auto"/>
          <w:kern w:val="0"/>
          <w:szCs w:val="21"/>
          <w:highlight w:val="none"/>
          <w:u w:val="single"/>
        </w:rPr>
        <w:t xml:space="preserve">   </w:t>
      </w:r>
      <w:r>
        <w:rPr>
          <w:rFonts w:hint="eastAsia" w:ascii="宋体" w:hAnsi="宋体" w:cs="宋体"/>
          <w:color w:val="auto"/>
          <w:kern w:val="0"/>
          <w:szCs w:val="21"/>
          <w:highlight w:val="none"/>
        </w:rPr>
        <w:t>日</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时</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分至</w:t>
      </w:r>
      <w:r>
        <w:rPr>
          <w:rFonts w:ascii="宋体" w:hAnsi="宋体" w:cs="宋体"/>
          <w:color w:val="auto"/>
          <w:kern w:val="0"/>
          <w:szCs w:val="21"/>
          <w:highlight w:val="none"/>
          <w:u w:val="single"/>
        </w:rPr>
        <w:t xml:space="preserve"> </w:t>
      </w:r>
      <w:r>
        <w:rPr>
          <w:rFonts w:ascii="宋体" w:hAnsi="宋体"/>
          <w:color w:val="auto"/>
          <w:kern w:val="0"/>
          <w:highlight w:val="none"/>
          <w:u w:val="single"/>
        </w:rPr>
        <w:t xml:space="preserve"> </w:t>
      </w:r>
      <w:r>
        <w:rPr>
          <w:rFonts w:ascii="宋体" w:hAnsi="宋体" w:cs="宋体"/>
          <w:color w:val="auto"/>
          <w:kern w:val="0"/>
          <w:szCs w:val="21"/>
          <w:highlight w:val="none"/>
          <w:u w:val="single"/>
        </w:rPr>
        <w:t xml:space="preserve"> </w:t>
      </w:r>
      <w:r>
        <w:rPr>
          <w:rFonts w:hint="eastAsia" w:ascii="宋体" w:hAnsi="宋体" w:cs="宋体"/>
          <w:color w:val="auto"/>
          <w:kern w:val="0"/>
          <w:szCs w:val="21"/>
          <w:highlight w:val="none"/>
        </w:rPr>
        <w:t>年</w:t>
      </w:r>
      <w:r>
        <w:rPr>
          <w:rFonts w:ascii="宋体" w:hAnsi="宋体" w:cs="宋体"/>
          <w:color w:val="auto"/>
          <w:kern w:val="0"/>
          <w:szCs w:val="21"/>
          <w:highlight w:val="none"/>
          <w:u w:val="single"/>
        </w:rPr>
        <w:t xml:space="preserve">   </w:t>
      </w:r>
      <w:r>
        <w:rPr>
          <w:rFonts w:hint="eastAsia" w:ascii="宋体" w:hAnsi="宋体" w:cs="宋体"/>
          <w:color w:val="auto"/>
          <w:kern w:val="0"/>
          <w:szCs w:val="21"/>
          <w:highlight w:val="none"/>
        </w:rPr>
        <w:t>月</w:t>
      </w:r>
      <w:r>
        <w:rPr>
          <w:rFonts w:hint="eastAsia" w:ascii="宋体" w:hAnsi="宋体" w:cs="宋体"/>
          <w:color w:val="auto"/>
          <w:kern w:val="0"/>
          <w:szCs w:val="21"/>
          <w:highlight w:val="none"/>
          <w:u w:val="single"/>
        </w:rPr>
        <w:t xml:space="preserve"> </w:t>
      </w:r>
      <w:r>
        <w:rPr>
          <w:rFonts w:ascii="宋体" w:hAnsi="宋体" w:cs="宋体"/>
          <w:color w:val="auto"/>
          <w:kern w:val="0"/>
          <w:szCs w:val="21"/>
          <w:highlight w:val="none"/>
          <w:u w:val="single"/>
        </w:rPr>
        <w:t xml:space="preserve">  </w:t>
      </w:r>
      <w:r>
        <w:rPr>
          <w:rFonts w:hint="eastAsia" w:ascii="宋体" w:hAnsi="宋体" w:cs="宋体"/>
          <w:color w:val="auto"/>
          <w:kern w:val="0"/>
          <w:szCs w:val="21"/>
          <w:highlight w:val="none"/>
        </w:rPr>
        <w:t>日</w:t>
      </w:r>
      <w:r>
        <w:rPr>
          <w:rFonts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时</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 xml:space="preserve">分； </w:t>
      </w:r>
    </w:p>
    <w:p>
      <w:pPr>
        <w:adjustRightInd w:val="0"/>
        <w:snapToGrid w:val="0"/>
        <w:spacing w:line="360" w:lineRule="auto"/>
        <w:ind w:firstLine="420" w:firstLineChars="200"/>
        <w:rPr>
          <w:rFonts w:ascii="宋体" w:hAnsi="宋体" w:cs="宋体"/>
          <w:color w:val="auto"/>
          <w:kern w:val="0"/>
          <w:szCs w:val="21"/>
          <w:highlight w:val="none"/>
        </w:rPr>
      </w:pPr>
      <w:r>
        <w:rPr>
          <w:rFonts w:hint="eastAsia" w:ascii="宋体" w:hAnsi="宋体" w:cs="宋体"/>
          <w:color w:val="auto"/>
          <w:kern w:val="0"/>
          <w:szCs w:val="21"/>
          <w:highlight w:val="none"/>
        </w:rPr>
        <w:t>4.2招标文件获取方式：投标人使用CA数字证书登录“电子交易平台”获取；</w:t>
      </w:r>
    </w:p>
    <w:p>
      <w:pPr>
        <w:adjustRightInd w:val="0"/>
        <w:snapToGrid w:val="0"/>
        <w:spacing w:line="360" w:lineRule="auto"/>
        <w:ind w:firstLine="840" w:firstLineChars="400"/>
        <w:rPr>
          <w:rFonts w:hint="eastAsia" w:ascii="宋体" w:hAnsi="宋体" w:cs="宋体"/>
          <w:color w:val="auto"/>
          <w:kern w:val="0"/>
          <w:szCs w:val="21"/>
          <w:highlight w:val="none"/>
        </w:rPr>
      </w:pPr>
      <w:r>
        <w:rPr>
          <w:rFonts w:hint="eastAsia" w:ascii="宋体" w:hAnsi="宋体" w:eastAsia="宋体" w:cs="宋体"/>
          <w:i w:val="0"/>
          <w:iCs w:val="0"/>
          <w:caps w:val="0"/>
          <w:color w:val="auto"/>
          <w:spacing w:val="0"/>
          <w:kern w:val="0"/>
          <w:sz w:val="21"/>
          <w:szCs w:val="21"/>
          <w:highlight w:val="none"/>
          <w:shd w:val="clear" w:color="auto" w:fill="auto"/>
        </w:rPr>
        <w:t>本招标公告及文件中“电子交易平台”是指:泰州市建设工程电子交易平台7.0</w:t>
      </w:r>
      <w:r>
        <w:rPr>
          <w:rFonts w:hint="eastAsia" w:ascii="宋体" w:hAnsi="宋体" w:eastAsia="宋体" w:cs="宋体"/>
          <w:i w:val="0"/>
          <w:iCs w:val="0"/>
          <w:caps w:val="0"/>
          <w:color w:val="auto"/>
          <w:spacing w:val="0"/>
          <w:kern w:val="0"/>
          <w:sz w:val="21"/>
          <w:szCs w:val="21"/>
          <w:highlight w:val="none"/>
          <w:shd w:val="clear" w:color="auto" w:fill="auto"/>
          <w:lang w:eastAsia="zh-CN"/>
        </w:rPr>
        <w:t>；</w:t>
      </w:r>
    </w:p>
    <w:p>
      <w:pPr>
        <w:keepNext w:val="0"/>
        <w:keepLines w:val="0"/>
        <w:pageBreakBefore w:val="0"/>
        <w:widowControl w:val="0"/>
        <w:kinsoku/>
        <w:wordWrap/>
        <w:overflowPunct/>
        <w:topLinePunct w:val="0"/>
        <w:autoSpaceDE/>
        <w:autoSpaceDN/>
        <w:bidi w:val="0"/>
        <w:adjustRightInd w:val="0"/>
        <w:snapToGrid w:val="0"/>
        <w:spacing w:after="0" w:afterLines="50" w:line="360" w:lineRule="auto"/>
        <w:ind w:firstLine="420" w:firstLineChars="200"/>
        <w:textAlignment w:val="auto"/>
        <w:outlineLvl w:val="9"/>
        <w:rPr>
          <w:rFonts w:hint="eastAsia" w:ascii="宋体" w:hAnsi="宋体" w:cs="宋体"/>
          <w:color w:val="auto"/>
          <w:szCs w:val="21"/>
          <w:highlight w:val="none"/>
        </w:rPr>
      </w:pPr>
      <w:r>
        <w:rPr>
          <w:rFonts w:hint="eastAsia" w:ascii="宋体" w:hAnsi="宋体" w:cs="宋体"/>
          <w:color w:val="auto"/>
          <w:kern w:val="0"/>
          <w:szCs w:val="21"/>
          <w:highlight w:val="none"/>
        </w:rPr>
        <w:t>4.3</w:t>
      </w:r>
      <w:r>
        <w:rPr>
          <w:rFonts w:hint="eastAsia" w:ascii="宋体" w:hAnsi="宋体" w:eastAsia="宋体" w:cs="宋体"/>
          <w:i w:val="0"/>
          <w:iCs w:val="0"/>
          <w:caps w:val="0"/>
          <w:color w:val="auto"/>
          <w:spacing w:val="0"/>
          <w:kern w:val="0"/>
          <w:sz w:val="21"/>
          <w:szCs w:val="21"/>
          <w:highlight w:val="none"/>
          <w:shd w:val="clear" w:color="auto" w:fill="auto"/>
        </w:rPr>
        <w:t>投标工具使用费50元,售后不退。</w:t>
      </w:r>
    </w:p>
    <w:p>
      <w:pPr>
        <w:pStyle w:val="5"/>
        <w:spacing w:line="360" w:lineRule="auto"/>
        <w:rPr>
          <w:rFonts w:ascii="宋体" w:hAnsi="宋体" w:cs="宋体"/>
          <w:color w:val="auto"/>
          <w:highlight w:val="none"/>
        </w:rPr>
      </w:pPr>
      <w:bookmarkStart w:id="44" w:name="_Toc389065127"/>
      <w:bookmarkStart w:id="45" w:name="_Toc6382"/>
      <w:bookmarkStart w:id="46" w:name="_Toc11742"/>
      <w:bookmarkStart w:id="47" w:name="_Toc5380"/>
      <w:bookmarkStart w:id="48" w:name="_Toc31604"/>
      <w:bookmarkStart w:id="49" w:name="_Toc21164"/>
      <w:bookmarkStart w:id="50" w:name="_Toc20765"/>
      <w:bookmarkStart w:id="51" w:name="_Toc508286061"/>
      <w:r>
        <w:rPr>
          <w:rFonts w:hint="eastAsia" w:ascii="宋体" w:hAnsi="宋体" w:cs="宋体"/>
          <w:color w:val="auto"/>
          <w:highlight w:val="none"/>
        </w:rPr>
        <w:t>5. 投标</w:t>
      </w:r>
      <w:bookmarkEnd w:id="44"/>
      <w:r>
        <w:rPr>
          <w:rFonts w:hint="eastAsia" w:ascii="宋体" w:hAnsi="宋体" w:cs="宋体"/>
          <w:color w:val="auto"/>
          <w:highlight w:val="none"/>
        </w:rPr>
        <w:t>截止时间</w:t>
      </w:r>
      <w:bookmarkEnd w:id="45"/>
      <w:bookmarkEnd w:id="46"/>
      <w:bookmarkEnd w:id="47"/>
      <w:bookmarkEnd w:id="48"/>
      <w:bookmarkEnd w:id="49"/>
      <w:bookmarkEnd w:id="50"/>
      <w:bookmarkEnd w:id="51"/>
    </w:p>
    <w:p>
      <w:pPr>
        <w:adjustRightInd w:val="0"/>
        <w:snapToGrid w:val="0"/>
        <w:spacing w:line="360" w:lineRule="auto"/>
        <w:ind w:firstLine="420" w:firstLineChars="200"/>
        <w:rPr>
          <w:rFonts w:ascii="宋体" w:hAnsi="宋体" w:cs="宋体"/>
          <w:color w:val="auto"/>
          <w:szCs w:val="21"/>
          <w:highlight w:val="none"/>
        </w:rPr>
      </w:pPr>
      <w:bookmarkStart w:id="52" w:name="_Toc389065128"/>
      <w:r>
        <w:rPr>
          <w:rFonts w:hint="eastAsia" w:ascii="宋体" w:hAnsi="宋体" w:cs="宋体"/>
          <w:color w:val="auto"/>
          <w:szCs w:val="21"/>
          <w:highlight w:val="none"/>
        </w:rPr>
        <w:t>5.1 投标截止时间为</w:t>
      </w:r>
      <w:r>
        <w:rPr>
          <w:rFonts w:hint="eastAsia" w:ascii="宋体" w:hAnsi="宋体" w:cs="宋体"/>
          <w:color w:val="auto"/>
          <w:kern w:val="0"/>
          <w:szCs w:val="21"/>
          <w:highlight w:val="none"/>
        </w:rPr>
        <w:t xml:space="preserve"> ：</w:t>
      </w:r>
      <w:r>
        <w:rPr>
          <w:rFonts w:hint="eastAsia" w:ascii="宋体" w:hAnsi="宋体" w:cs="宋体"/>
          <w:color w:val="auto"/>
          <w:kern w:val="0"/>
          <w:szCs w:val="21"/>
          <w:highlight w:val="none"/>
          <w:u w:val="single"/>
        </w:rPr>
        <w:t xml:space="preserve">        </w:t>
      </w:r>
      <w:r>
        <w:rPr>
          <w:rFonts w:hint="eastAsia" w:ascii="宋体" w:hAnsi="宋体" w:cs="宋体"/>
          <w:color w:val="auto"/>
          <w:szCs w:val="21"/>
          <w:highlight w:val="none"/>
        </w:rPr>
        <w:t>年</w:t>
      </w:r>
      <w:r>
        <w:rPr>
          <w:rFonts w:ascii="宋体" w:hAnsi="宋体" w:cs="宋体"/>
          <w:color w:val="auto"/>
          <w:szCs w:val="21"/>
          <w:highlight w:val="none"/>
          <w:u w:val="single"/>
        </w:rPr>
        <w:t xml:space="preserve">    </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ascii="宋体" w:hAnsi="宋体" w:cs="宋体"/>
          <w:color w:val="auto"/>
          <w:szCs w:val="21"/>
          <w:highlight w:val="none"/>
          <w:u w:val="single"/>
        </w:rPr>
        <w:t xml:space="preserve">   </w:t>
      </w:r>
      <w:r>
        <w:rPr>
          <w:rFonts w:hint="eastAsia" w:ascii="宋体" w:hAnsi="宋体" w:cs="宋体"/>
          <w:color w:val="auto"/>
          <w:szCs w:val="21"/>
          <w:highlight w:val="none"/>
          <w:u w:val="single"/>
        </w:rPr>
        <w:t xml:space="preserve">   </w:t>
      </w:r>
      <w:r>
        <w:rPr>
          <w:rFonts w:ascii="宋体" w:hAnsi="宋体" w:cs="宋体"/>
          <w:color w:val="auto"/>
          <w:szCs w:val="21"/>
          <w:highlight w:val="none"/>
          <w:u w:val="single"/>
        </w:rPr>
        <w:t xml:space="preserve"> </w:t>
      </w:r>
      <w:r>
        <w:rPr>
          <w:rFonts w:hint="eastAsia" w:ascii="宋体" w:hAnsi="宋体" w:cs="宋体"/>
          <w:color w:val="auto"/>
          <w:szCs w:val="21"/>
          <w:highlight w:val="none"/>
        </w:rPr>
        <w:t>日</w:t>
      </w:r>
      <w:r>
        <w:rPr>
          <w:rFonts w:ascii="宋体" w:hAnsi="宋体" w:cs="宋体"/>
          <w:color w:val="auto"/>
          <w:szCs w:val="21"/>
          <w:highlight w:val="none"/>
          <w:u w:val="single"/>
        </w:rPr>
        <w:t xml:space="preserve">   </w:t>
      </w:r>
      <w:r>
        <w:rPr>
          <w:rFonts w:hint="eastAsia" w:ascii="宋体" w:hAnsi="宋体" w:cs="宋体"/>
          <w:color w:val="auto"/>
          <w:szCs w:val="21"/>
          <w:highlight w:val="none"/>
          <w:u w:val="single"/>
        </w:rPr>
        <w:t xml:space="preserve">   </w:t>
      </w:r>
      <w:r>
        <w:rPr>
          <w:rFonts w:ascii="宋体" w:hAnsi="宋体" w:cs="宋体"/>
          <w:color w:val="auto"/>
          <w:szCs w:val="21"/>
          <w:highlight w:val="none"/>
          <w:u w:val="single"/>
        </w:rPr>
        <w:t xml:space="preserve"> </w:t>
      </w:r>
      <w:r>
        <w:rPr>
          <w:rFonts w:hint="eastAsia" w:ascii="宋体" w:hAnsi="宋体" w:cs="宋体"/>
          <w:color w:val="auto"/>
          <w:szCs w:val="21"/>
          <w:highlight w:val="none"/>
        </w:rPr>
        <w:t>时</w:t>
      </w:r>
      <w:r>
        <w:rPr>
          <w:rFonts w:ascii="宋体" w:hAnsi="宋体" w:cs="宋体"/>
          <w:color w:val="auto"/>
          <w:szCs w:val="21"/>
          <w:highlight w:val="none"/>
          <w:u w:val="single"/>
        </w:rPr>
        <w:t xml:space="preserve">   </w:t>
      </w:r>
      <w:r>
        <w:rPr>
          <w:rFonts w:hint="eastAsia" w:ascii="宋体" w:hAnsi="宋体" w:cs="宋体"/>
          <w:color w:val="auto"/>
          <w:szCs w:val="21"/>
          <w:highlight w:val="none"/>
          <w:u w:val="single"/>
        </w:rPr>
        <w:t xml:space="preserve">   </w:t>
      </w:r>
      <w:r>
        <w:rPr>
          <w:rFonts w:ascii="宋体" w:hAnsi="宋体" w:cs="宋体"/>
          <w:color w:val="auto"/>
          <w:szCs w:val="21"/>
          <w:highlight w:val="none"/>
          <w:u w:val="single"/>
        </w:rPr>
        <w:t xml:space="preserve"> </w:t>
      </w:r>
      <w:r>
        <w:rPr>
          <w:rFonts w:hint="eastAsia" w:ascii="宋体" w:hAnsi="宋体" w:cs="宋体"/>
          <w:color w:val="auto"/>
          <w:szCs w:val="21"/>
          <w:highlight w:val="none"/>
        </w:rPr>
        <w:t>分。</w:t>
      </w:r>
    </w:p>
    <w:p>
      <w:pPr>
        <w:pStyle w:val="5"/>
        <w:adjustRightInd w:val="0"/>
        <w:snapToGrid w:val="0"/>
        <w:spacing w:before="0" w:after="0" w:line="360" w:lineRule="auto"/>
        <w:rPr>
          <w:rFonts w:ascii="宋体" w:hAnsi="宋体" w:cs="宋体"/>
          <w:color w:val="auto"/>
          <w:szCs w:val="21"/>
          <w:highlight w:val="none"/>
        </w:rPr>
      </w:pPr>
      <w:bookmarkStart w:id="53" w:name="_Toc19625"/>
      <w:bookmarkStart w:id="54" w:name="_Toc498006637"/>
      <w:bookmarkStart w:id="55" w:name="_Toc30978"/>
      <w:bookmarkStart w:id="56" w:name="_Toc29551"/>
      <w:bookmarkStart w:id="57" w:name="_Toc15777"/>
      <w:bookmarkStart w:id="58" w:name="_Toc17593"/>
      <w:bookmarkStart w:id="59" w:name="_Toc4193"/>
      <w:bookmarkStart w:id="60" w:name="_Toc3128"/>
      <w:bookmarkStart w:id="61" w:name="_Toc508286063"/>
      <w:r>
        <w:rPr>
          <w:rFonts w:hint="eastAsia" w:ascii="宋体" w:hAnsi="宋体" w:cs="宋体"/>
          <w:color w:val="auto"/>
          <w:szCs w:val="21"/>
          <w:highlight w:val="none"/>
        </w:rPr>
        <w:t xml:space="preserve">6. </w:t>
      </w:r>
      <w:bookmarkEnd w:id="53"/>
      <w:bookmarkEnd w:id="54"/>
      <w:r>
        <w:rPr>
          <w:rFonts w:hint="eastAsia" w:ascii="宋体" w:hAnsi="宋体" w:cs="宋体"/>
          <w:color w:val="auto"/>
          <w:szCs w:val="21"/>
          <w:highlight w:val="none"/>
        </w:rPr>
        <w:t>评标办法</w:t>
      </w:r>
      <w:bookmarkEnd w:id="55"/>
      <w:bookmarkEnd w:id="56"/>
      <w:bookmarkEnd w:id="57"/>
      <w:bookmarkEnd w:id="58"/>
      <w:bookmarkEnd w:id="59"/>
      <w:bookmarkEnd w:id="60"/>
    </w:p>
    <w:p>
      <w:pPr>
        <w:spacing w:line="360" w:lineRule="auto"/>
        <w:ind w:firstLine="435"/>
        <w:rPr>
          <w:rFonts w:ascii="宋体" w:hAnsi="宋体" w:cs="宋体"/>
          <w:color w:val="auto"/>
          <w:szCs w:val="21"/>
          <w:highlight w:val="none"/>
          <w:u w:val="single"/>
        </w:rPr>
      </w:pPr>
      <w:r>
        <w:rPr>
          <w:rFonts w:hint="eastAsia" w:ascii="宋体" w:hAnsi="宋体" w:cs="宋体"/>
          <w:color w:val="auto"/>
          <w:szCs w:val="21"/>
          <w:highlight w:val="none"/>
        </w:rPr>
        <w:t>6.1 是否评定分离：</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spacing w:after="120" w:afterLines="50" w:line="360" w:lineRule="auto"/>
        <w:ind w:firstLine="437"/>
        <w:rPr>
          <w:rFonts w:hint="eastAsia"/>
          <w:color w:val="auto"/>
          <w:spacing w:val="-2"/>
          <w:sz w:val="21"/>
          <w:szCs w:val="21"/>
          <w:highlight w:val="none"/>
          <w:u w:val="none"/>
          <w:lang w:val="en-US" w:eastAsia="zh-CN"/>
        </w:rPr>
      </w:pPr>
      <w:r>
        <w:rPr>
          <w:rFonts w:hint="eastAsia" w:ascii="宋体" w:hAnsi="宋体" w:cs="宋体"/>
          <w:color w:val="auto"/>
          <w:szCs w:val="21"/>
          <w:highlight w:val="none"/>
        </w:rPr>
        <w:t xml:space="preserve">6.2 </w:t>
      </w:r>
      <w:r>
        <w:rPr>
          <w:rFonts w:hint="eastAsia"/>
          <w:color w:val="auto"/>
          <w:spacing w:val="-2"/>
          <w:szCs w:val="21"/>
          <w:highlight w:val="none"/>
        </w:rPr>
        <w:t>本次招标采用：</w:t>
      </w:r>
      <w:r>
        <w:rPr>
          <w:rFonts w:hint="eastAsia"/>
          <w:color w:val="auto"/>
          <w:spacing w:val="-2"/>
          <w:szCs w:val="21"/>
          <w:highlight w:val="none"/>
          <w:u w:val="single"/>
        </w:rPr>
        <w:t xml:space="preserve">          </w:t>
      </w:r>
      <w:r>
        <w:rPr>
          <w:rFonts w:hint="eastAsia"/>
          <w:color w:val="auto"/>
          <w:spacing w:val="-2"/>
          <w:sz w:val="21"/>
          <w:szCs w:val="21"/>
          <w:highlight w:val="none"/>
          <w:u w:val="single"/>
          <w:lang w:val="en-US" w:eastAsia="zh-CN"/>
        </w:rPr>
        <w:t xml:space="preserve"> </w:t>
      </w:r>
      <w:r>
        <w:rPr>
          <w:rFonts w:hint="eastAsia"/>
          <w:color w:val="auto"/>
          <w:spacing w:val="-2"/>
          <w:sz w:val="21"/>
          <w:szCs w:val="21"/>
          <w:highlight w:val="none"/>
          <w:u w:val="none"/>
          <w:lang w:val="en-US" w:eastAsia="zh-CN"/>
        </w:rPr>
        <w:t>，具体方法如下：详见招标文件第三章  。</w:t>
      </w:r>
    </w:p>
    <w:p>
      <w:pPr>
        <w:pStyle w:val="2"/>
        <w:spacing w:before="0" w:afterLines="0"/>
        <w:rPr>
          <w:rFonts w:hint="eastAsia" w:eastAsia="宋体"/>
          <w:color w:val="auto"/>
          <w:highlight w:val="none"/>
          <w:lang w:val="en-US" w:eastAsia="zh-CN"/>
        </w:rPr>
      </w:pPr>
      <w:r>
        <w:rPr>
          <w:rFonts w:hint="eastAsia"/>
          <w:color w:val="auto"/>
          <w:spacing w:val="-2"/>
          <w:sz w:val="21"/>
          <w:szCs w:val="21"/>
          <w:highlight w:val="none"/>
          <w:u w:val="none"/>
          <w:lang w:val="en-US" w:eastAsia="zh-CN"/>
        </w:rPr>
        <w:t>6.3</w:t>
      </w:r>
      <w:r>
        <w:rPr>
          <w:rFonts w:hint="eastAsia" w:ascii="宋体" w:hAnsi="宋体" w:eastAsia="宋体" w:cs="宋体"/>
          <w:color w:val="auto"/>
          <w:sz w:val="21"/>
          <w:highlight w:val="none"/>
          <w:lang w:val="en-US" w:eastAsia="zh-CN"/>
        </w:rPr>
        <w:t>设计</w:t>
      </w:r>
      <w:r>
        <w:rPr>
          <w:rFonts w:ascii="宋体" w:hAnsi="宋体" w:eastAsia="宋体" w:cs="宋体"/>
          <w:color w:val="auto"/>
          <w:sz w:val="21"/>
          <w:highlight w:val="none"/>
        </w:rPr>
        <w:t>成果</w:t>
      </w:r>
      <w:r>
        <w:rPr>
          <w:rFonts w:hint="eastAsia" w:eastAsia="宋体" w:cs="宋体"/>
          <w:color w:val="auto"/>
          <w:sz w:val="21"/>
          <w:highlight w:val="none"/>
          <w:lang w:val="en-US" w:eastAsia="zh-CN"/>
        </w:rPr>
        <w:t>是否给予</w:t>
      </w:r>
      <w:r>
        <w:rPr>
          <w:rFonts w:ascii="宋体" w:hAnsi="宋体" w:eastAsia="宋体" w:cs="宋体"/>
          <w:color w:val="auto"/>
          <w:sz w:val="21"/>
          <w:highlight w:val="none"/>
        </w:rPr>
        <w:t>经济补偿</w:t>
      </w:r>
      <w:r>
        <w:rPr>
          <w:rFonts w:hint="eastAsia" w:eastAsia="宋体" w:cs="宋体"/>
          <w:color w:val="auto"/>
          <w:sz w:val="21"/>
          <w:highlight w:val="none"/>
          <w:lang w:eastAsia="zh-CN"/>
        </w:rPr>
        <w:t>：</w:t>
      </w:r>
    </w:p>
    <w:p>
      <w:pPr>
        <w:spacing w:afterLines="0" w:line="360" w:lineRule="auto"/>
        <w:ind w:firstLine="437"/>
        <w:rPr>
          <w:rFonts w:hint="eastAsia" w:ascii="宋体" w:hAnsi="宋体" w:eastAsia="宋体"/>
          <w:color w:val="auto"/>
          <w:sz w:val="21"/>
          <w:szCs w:val="21"/>
          <w:highlight w:val="none"/>
        </w:rPr>
      </w:pPr>
      <w:r>
        <w:rPr>
          <w:rFonts w:hint="eastAsia" w:ascii="宋体" w:hAnsi="宋体" w:eastAsia="宋体"/>
          <w:color w:val="auto"/>
          <w:sz w:val="21"/>
          <w:szCs w:val="21"/>
          <w:highlight w:val="none"/>
        </w:rPr>
        <w:sym w:font="Wingdings 2" w:char="00A3"/>
      </w:r>
      <w:r>
        <w:rPr>
          <w:rFonts w:hint="eastAsia" w:ascii="宋体" w:hAnsi="宋体" w:eastAsia="宋体"/>
          <w:color w:val="auto"/>
          <w:sz w:val="21"/>
          <w:szCs w:val="21"/>
          <w:highlight w:val="none"/>
          <w:lang w:val="en-US" w:eastAsia="zh-CN"/>
        </w:rPr>
        <w:t>不补偿</w:t>
      </w:r>
    </w:p>
    <w:p>
      <w:pPr>
        <w:spacing w:after="120" w:afterLines="50" w:line="360" w:lineRule="auto"/>
        <w:ind w:firstLine="437"/>
        <w:rPr>
          <w:rFonts w:ascii="宋体" w:hAnsi="宋体" w:cs="宋体"/>
          <w:color w:val="auto"/>
          <w:highlight w:val="none"/>
        </w:rPr>
      </w:pPr>
      <w:r>
        <w:rPr>
          <w:rFonts w:hint="eastAsia" w:ascii="宋体" w:hAnsi="宋体" w:eastAsia="宋体"/>
          <w:color w:val="auto"/>
          <w:sz w:val="21"/>
          <w:szCs w:val="21"/>
          <w:highlight w:val="none"/>
        </w:rPr>
        <w:sym w:font="Wingdings 2" w:char="00A3"/>
      </w:r>
      <w:r>
        <w:rPr>
          <w:rFonts w:hint="eastAsia" w:ascii="宋体" w:hAnsi="宋体" w:eastAsia="宋体"/>
          <w:color w:val="auto"/>
          <w:sz w:val="21"/>
          <w:szCs w:val="21"/>
          <w:highlight w:val="none"/>
          <w:lang w:val="en-US" w:eastAsia="zh-CN"/>
        </w:rPr>
        <w:t>补偿，</w:t>
      </w:r>
      <w:r>
        <w:rPr>
          <w:rFonts w:hint="eastAsia" w:ascii="宋体" w:hAnsi="宋体" w:eastAsia="宋体"/>
          <w:color w:val="auto"/>
          <w:spacing w:val="-1"/>
          <w:sz w:val="21"/>
          <w:highlight w:val="none"/>
        </w:rPr>
        <w:t>补偿标准：</w:t>
      </w:r>
      <w:r>
        <w:rPr>
          <w:rFonts w:hint="eastAsia" w:ascii="宋体" w:hAnsi="宋体"/>
          <w:color w:val="auto"/>
          <w:spacing w:val="-1"/>
          <w:sz w:val="21"/>
          <w:highlight w:val="none"/>
          <w:u w:val="single"/>
          <w:lang w:val="en-US" w:eastAsia="zh-CN"/>
        </w:rPr>
        <w:t xml:space="preserve">                                         </w:t>
      </w:r>
      <w:r>
        <w:rPr>
          <w:rFonts w:hint="eastAsia" w:ascii="宋体" w:hAnsi="宋体"/>
          <w:color w:val="auto"/>
          <w:spacing w:val="-1"/>
          <w:sz w:val="21"/>
          <w:highlight w:val="none"/>
          <w:u w:val="none"/>
          <w:lang w:val="en-US" w:eastAsia="zh-CN"/>
        </w:rPr>
        <w:t>。</w:t>
      </w:r>
      <w:r>
        <w:rPr>
          <w:rFonts w:hint="eastAsia" w:ascii="宋体" w:hAnsi="宋体" w:cs="宋体"/>
          <w:color w:val="auto"/>
          <w:szCs w:val="21"/>
          <w:highlight w:val="none"/>
        </w:rPr>
        <w:t xml:space="preserve">   </w:t>
      </w:r>
    </w:p>
    <w:bookmarkEnd w:id="52"/>
    <w:bookmarkEnd w:id="61"/>
    <w:p>
      <w:pPr>
        <w:pStyle w:val="5"/>
        <w:spacing w:line="360" w:lineRule="auto"/>
        <w:rPr>
          <w:rFonts w:ascii="宋体" w:hAnsi="宋体" w:cs="宋体"/>
          <w:color w:val="auto"/>
          <w:highlight w:val="none"/>
        </w:rPr>
      </w:pPr>
      <w:bookmarkStart w:id="62" w:name="_Toc9796"/>
      <w:bookmarkStart w:id="63" w:name="_Toc29259"/>
      <w:bookmarkStart w:id="64" w:name="_Toc13716"/>
      <w:bookmarkStart w:id="65" w:name="_Toc30634"/>
      <w:bookmarkStart w:id="66" w:name="_Toc8070"/>
      <w:bookmarkStart w:id="67" w:name="_Toc22019"/>
      <w:bookmarkStart w:id="68" w:name="_Toc508286064"/>
      <w:r>
        <w:rPr>
          <w:rFonts w:hint="eastAsia" w:ascii="宋体" w:hAnsi="宋体" w:cs="宋体"/>
          <w:color w:val="auto"/>
          <w:highlight w:val="none"/>
        </w:rPr>
        <w:t>7. 发布公告的媒介</w:t>
      </w:r>
      <w:bookmarkEnd w:id="62"/>
      <w:bookmarkEnd w:id="63"/>
      <w:bookmarkEnd w:id="64"/>
      <w:bookmarkEnd w:id="65"/>
      <w:bookmarkEnd w:id="66"/>
      <w:bookmarkEnd w:id="67"/>
      <w:bookmarkEnd w:id="68"/>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szCs w:val="21"/>
          <w:highlight w:val="none"/>
        </w:rPr>
        <w:t>本次招标公告同时在江苏建设工程招标网、</w:t>
      </w:r>
      <w:r>
        <w:rPr>
          <w:rFonts w:hint="eastAsia" w:ascii="宋体" w:hAnsi="宋体" w:cs="宋体"/>
          <w:color w:val="auto"/>
          <w:szCs w:val="21"/>
          <w:highlight w:val="none"/>
          <w:u w:val="none"/>
        </w:rPr>
        <w:t>江苏省公共资源交易平台、泰州市公共资源交易平台</w:t>
      </w:r>
      <w:r>
        <w:rPr>
          <w:rFonts w:hint="eastAsia" w:ascii="宋体" w:hAnsi="宋体" w:cs="宋体"/>
          <w:color w:val="auto"/>
          <w:szCs w:val="21"/>
          <w:highlight w:val="none"/>
        </w:rPr>
        <w:t>上发布。</w:t>
      </w:r>
    </w:p>
    <w:p>
      <w:pPr>
        <w:pStyle w:val="5"/>
        <w:numPr>
          <w:ilvl w:val="0"/>
          <w:numId w:val="8"/>
        </w:numPr>
        <w:spacing w:line="360" w:lineRule="auto"/>
        <w:rPr>
          <w:rFonts w:ascii="宋体" w:hAnsi="宋体" w:cs="宋体"/>
          <w:color w:val="auto"/>
          <w:highlight w:val="none"/>
        </w:rPr>
      </w:pPr>
      <w:bookmarkStart w:id="69" w:name="_Toc7144"/>
      <w:bookmarkStart w:id="70" w:name="_Toc19445"/>
      <w:bookmarkStart w:id="71" w:name="_Toc508286065"/>
      <w:bookmarkStart w:id="72" w:name="_Toc3980"/>
      <w:bookmarkStart w:id="73" w:name="_Toc10755"/>
      <w:bookmarkStart w:id="74" w:name="_Toc24529"/>
      <w:bookmarkStart w:id="75" w:name="_Toc30395"/>
      <w:r>
        <w:rPr>
          <w:rFonts w:hint="eastAsia" w:ascii="宋体" w:hAnsi="宋体" w:cs="宋体"/>
          <w:color w:val="auto"/>
          <w:highlight w:val="none"/>
        </w:rPr>
        <w:t>联系方式</w:t>
      </w:r>
      <w:bookmarkEnd w:id="69"/>
      <w:bookmarkEnd w:id="70"/>
      <w:bookmarkEnd w:id="71"/>
      <w:bookmarkEnd w:id="72"/>
      <w:bookmarkEnd w:id="73"/>
      <w:bookmarkEnd w:id="74"/>
      <w:bookmarkEnd w:id="75"/>
    </w:p>
    <w:p>
      <w:pPr>
        <w:adjustRightInd w:val="0"/>
        <w:snapToGrid w:val="0"/>
        <w:spacing w:line="288" w:lineRule="auto"/>
        <w:ind w:firstLine="420" w:firstLineChars="200"/>
        <w:rPr>
          <w:rFonts w:ascii="宋体" w:hAnsi="宋体" w:cs="宋体"/>
          <w:color w:val="auto"/>
          <w:highlight w:val="none"/>
          <w:u w:val="single"/>
        </w:rPr>
      </w:pPr>
      <w:r>
        <w:rPr>
          <w:rFonts w:hint="eastAsia" w:ascii="宋体" w:hAnsi="宋体" w:cs="宋体"/>
          <w:color w:val="auto"/>
          <w:highlight w:val="none"/>
        </w:rPr>
        <w:t>招 标 人：</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招标代理机构：</w:t>
      </w:r>
      <w:r>
        <w:rPr>
          <w:rFonts w:hint="eastAsia" w:ascii="宋体" w:hAnsi="宋体" w:cs="宋体"/>
          <w:color w:val="auto"/>
          <w:highlight w:val="none"/>
          <w:u w:val="single"/>
        </w:rPr>
        <w:t xml:space="preserve">                        </w:t>
      </w:r>
    </w:p>
    <w:p>
      <w:pPr>
        <w:adjustRightInd w:val="0"/>
        <w:snapToGrid w:val="0"/>
        <w:spacing w:line="288" w:lineRule="auto"/>
        <w:ind w:firstLine="420" w:firstLineChars="200"/>
        <w:rPr>
          <w:rFonts w:ascii="宋体" w:hAnsi="宋体" w:cs="宋体"/>
          <w:color w:val="auto"/>
          <w:highlight w:val="none"/>
          <w:u w:val="single"/>
        </w:rPr>
      </w:pPr>
      <w:r>
        <w:rPr>
          <w:rFonts w:hint="eastAsia" w:ascii="宋体" w:hAnsi="宋体" w:cs="宋体"/>
          <w:color w:val="auto"/>
          <w:highlight w:val="none"/>
        </w:rPr>
        <w:t>地    址：</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地    址：</w:t>
      </w:r>
      <w:r>
        <w:rPr>
          <w:rFonts w:hint="eastAsia" w:ascii="宋体" w:hAnsi="宋体" w:cs="宋体"/>
          <w:color w:val="auto"/>
          <w:highlight w:val="none"/>
          <w:u w:val="single"/>
        </w:rPr>
        <w:t xml:space="preserve">                            </w:t>
      </w:r>
    </w:p>
    <w:p>
      <w:pPr>
        <w:adjustRightInd w:val="0"/>
        <w:snapToGrid w:val="0"/>
        <w:spacing w:line="288" w:lineRule="auto"/>
        <w:ind w:firstLine="420" w:firstLineChars="200"/>
        <w:rPr>
          <w:rFonts w:ascii="宋体" w:hAnsi="宋体" w:cs="宋体"/>
          <w:color w:val="auto"/>
          <w:highlight w:val="none"/>
        </w:rPr>
      </w:pPr>
      <w:r>
        <w:rPr>
          <w:rFonts w:hint="eastAsia" w:ascii="宋体" w:hAnsi="宋体" w:cs="宋体"/>
          <w:color w:val="auto"/>
          <w:highlight w:val="none"/>
        </w:rPr>
        <w:t>电子邮箱：</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电子邮箱：</w:t>
      </w:r>
      <w:r>
        <w:rPr>
          <w:rFonts w:hint="eastAsia" w:ascii="宋体" w:hAnsi="宋体" w:cs="宋体"/>
          <w:color w:val="auto"/>
          <w:highlight w:val="none"/>
          <w:u w:val="single"/>
        </w:rPr>
        <w:t xml:space="preserve">                            </w:t>
      </w:r>
    </w:p>
    <w:p>
      <w:pPr>
        <w:adjustRightInd w:val="0"/>
        <w:snapToGrid w:val="0"/>
        <w:spacing w:line="288" w:lineRule="auto"/>
        <w:ind w:firstLine="420" w:firstLineChars="200"/>
        <w:rPr>
          <w:rFonts w:ascii="宋体" w:hAnsi="宋体" w:cs="宋体"/>
          <w:color w:val="auto"/>
          <w:highlight w:val="none"/>
        </w:rPr>
      </w:pPr>
      <w:r>
        <w:rPr>
          <w:rFonts w:hint="eastAsia" w:ascii="宋体" w:hAnsi="宋体" w:cs="宋体"/>
          <w:color w:val="auto"/>
          <w:highlight w:val="none"/>
        </w:rPr>
        <w:t>联 系 人：</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联 系 人：</w:t>
      </w:r>
      <w:r>
        <w:rPr>
          <w:rFonts w:hint="eastAsia" w:ascii="宋体" w:hAnsi="宋体" w:cs="宋体"/>
          <w:color w:val="auto"/>
          <w:highlight w:val="none"/>
          <w:u w:val="single"/>
        </w:rPr>
        <w:t xml:space="preserve">                            </w:t>
      </w:r>
    </w:p>
    <w:p>
      <w:pPr>
        <w:adjustRightInd w:val="0"/>
        <w:snapToGrid w:val="0"/>
        <w:spacing w:line="288" w:lineRule="auto"/>
        <w:ind w:firstLine="420" w:firstLineChars="200"/>
        <w:rPr>
          <w:rFonts w:ascii="宋体" w:hAnsi="宋体" w:cs="宋体"/>
          <w:color w:val="auto"/>
          <w:highlight w:val="none"/>
        </w:rPr>
      </w:pPr>
      <w:r>
        <w:rPr>
          <w:rFonts w:hint="eastAsia" w:ascii="宋体" w:hAnsi="宋体" w:cs="宋体"/>
          <w:color w:val="auto"/>
          <w:highlight w:val="none"/>
        </w:rPr>
        <w:t>电    话：</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电    话：</w:t>
      </w:r>
      <w:r>
        <w:rPr>
          <w:rFonts w:hint="eastAsia" w:ascii="宋体" w:hAnsi="宋体" w:cs="宋体"/>
          <w:color w:val="auto"/>
          <w:highlight w:val="none"/>
          <w:u w:val="single"/>
        </w:rPr>
        <w:t xml:space="preserve">                            </w:t>
      </w:r>
    </w:p>
    <w:p>
      <w:pPr>
        <w:pStyle w:val="4"/>
        <w:jc w:val="center"/>
        <w:rPr>
          <w:color w:val="auto"/>
          <w:highlight w:val="none"/>
        </w:rPr>
      </w:pPr>
      <w:bookmarkStart w:id="76" w:name="_Toc389065142"/>
      <w:bookmarkStart w:id="77" w:name="_Toc3546"/>
      <w:bookmarkStart w:id="78" w:name="_Toc22928"/>
      <w:bookmarkStart w:id="79" w:name="_Toc12334"/>
      <w:bookmarkStart w:id="80" w:name="_Toc22425"/>
      <w:bookmarkStart w:id="81" w:name="_Toc13639"/>
      <w:bookmarkStart w:id="82" w:name="_Toc21526"/>
      <w:r>
        <w:rPr>
          <w:rStyle w:val="57"/>
          <w:rFonts w:hint="eastAsia"/>
          <w:b/>
          <w:bCs/>
          <w:color w:val="auto"/>
          <w:highlight w:val="none"/>
        </w:rPr>
        <w:t>第二章 投标人须知</w:t>
      </w:r>
      <w:bookmarkEnd w:id="76"/>
      <w:bookmarkEnd w:id="77"/>
      <w:bookmarkEnd w:id="78"/>
      <w:bookmarkEnd w:id="79"/>
      <w:bookmarkEnd w:id="80"/>
      <w:bookmarkEnd w:id="81"/>
      <w:bookmarkEnd w:id="82"/>
    </w:p>
    <w:p>
      <w:pPr>
        <w:pStyle w:val="5"/>
        <w:spacing w:after="0" w:line="288" w:lineRule="auto"/>
        <w:jc w:val="center"/>
        <w:rPr>
          <w:rFonts w:ascii="黑体" w:hAnsi="黑体" w:eastAsia="黑体" w:cs="黑体"/>
          <w:b w:val="0"/>
          <w:bCs w:val="0"/>
          <w:color w:val="auto"/>
          <w:sz w:val="32"/>
          <w:highlight w:val="none"/>
        </w:rPr>
      </w:pPr>
      <w:bookmarkStart w:id="83" w:name="_Toc1720141"/>
      <w:bookmarkStart w:id="84" w:name="_Toc16077"/>
      <w:bookmarkStart w:id="85" w:name="_Toc19384"/>
      <w:bookmarkStart w:id="86" w:name="_Toc29602"/>
      <w:bookmarkStart w:id="87" w:name="_Toc389065143"/>
      <w:bookmarkStart w:id="88" w:name="_Toc508286066"/>
      <w:bookmarkStart w:id="89" w:name="_Toc19511"/>
      <w:bookmarkStart w:id="90" w:name="_Toc18450"/>
      <w:bookmarkStart w:id="91" w:name="_Toc27962"/>
      <w:r>
        <w:rPr>
          <w:rFonts w:hint="eastAsia" w:ascii="黑体" w:hAnsi="黑体" w:eastAsia="黑体" w:cs="黑体"/>
          <w:b w:val="0"/>
          <w:bCs w:val="0"/>
          <w:color w:val="auto"/>
          <w:sz w:val="32"/>
          <w:highlight w:val="none"/>
        </w:rPr>
        <w:t>投标人须知前附表</w:t>
      </w:r>
      <w:bookmarkEnd w:id="83"/>
      <w:bookmarkEnd w:id="84"/>
      <w:bookmarkEnd w:id="85"/>
      <w:bookmarkEnd w:id="86"/>
      <w:bookmarkEnd w:id="87"/>
      <w:bookmarkEnd w:id="88"/>
      <w:bookmarkEnd w:id="89"/>
      <w:bookmarkEnd w:id="90"/>
      <w:bookmarkEnd w:id="91"/>
    </w:p>
    <w:tbl>
      <w:tblPr>
        <w:tblStyle w:val="44"/>
        <w:tblW w:w="9003"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66"/>
        <w:gridCol w:w="2463"/>
        <w:gridCol w:w="527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3" w:hRule="atLeast"/>
          <w:tblHeader/>
          <w:jc w:val="center"/>
        </w:trPr>
        <w:tc>
          <w:tcPr>
            <w:tcW w:w="1266" w:type="dxa"/>
            <w:shd w:val="clear" w:color="auto" w:fill="E6E6E6"/>
            <w:vAlign w:val="center"/>
          </w:tcPr>
          <w:p>
            <w:pPr>
              <w:adjustRightInd w:val="0"/>
              <w:snapToGrid w:val="0"/>
              <w:spacing w:line="400" w:lineRule="exact"/>
              <w:jc w:val="center"/>
              <w:rPr>
                <w:rFonts w:ascii="宋体" w:hAnsi="宋体" w:cs="宋体"/>
                <w:b/>
                <w:color w:val="auto"/>
                <w:szCs w:val="21"/>
                <w:highlight w:val="none"/>
              </w:rPr>
            </w:pPr>
            <w:r>
              <w:rPr>
                <w:rFonts w:hint="eastAsia" w:ascii="宋体" w:hAnsi="宋体" w:cs="宋体"/>
                <w:b/>
                <w:color w:val="auto"/>
                <w:szCs w:val="21"/>
                <w:highlight w:val="none"/>
              </w:rPr>
              <w:t>条款号</w:t>
            </w:r>
          </w:p>
        </w:tc>
        <w:tc>
          <w:tcPr>
            <w:tcW w:w="2463" w:type="dxa"/>
            <w:shd w:val="clear" w:color="auto" w:fill="E6E6E6"/>
            <w:vAlign w:val="center"/>
          </w:tcPr>
          <w:p>
            <w:pPr>
              <w:adjustRightInd w:val="0"/>
              <w:snapToGrid w:val="0"/>
              <w:spacing w:line="400" w:lineRule="exact"/>
              <w:jc w:val="center"/>
              <w:rPr>
                <w:rFonts w:ascii="宋体" w:hAnsi="宋体" w:cs="宋体"/>
                <w:b/>
                <w:color w:val="auto"/>
                <w:szCs w:val="21"/>
                <w:highlight w:val="none"/>
              </w:rPr>
            </w:pPr>
            <w:r>
              <w:rPr>
                <w:rFonts w:hint="eastAsia" w:ascii="宋体" w:hAnsi="宋体" w:cs="宋体"/>
                <w:b/>
                <w:color w:val="auto"/>
                <w:szCs w:val="21"/>
                <w:highlight w:val="none"/>
              </w:rPr>
              <w:t>条  款  名  称</w:t>
            </w:r>
          </w:p>
        </w:tc>
        <w:tc>
          <w:tcPr>
            <w:tcW w:w="5274" w:type="dxa"/>
            <w:shd w:val="clear" w:color="auto" w:fill="E6E6E6"/>
            <w:vAlign w:val="center"/>
          </w:tcPr>
          <w:p>
            <w:pPr>
              <w:adjustRightInd w:val="0"/>
              <w:snapToGrid w:val="0"/>
              <w:spacing w:line="400" w:lineRule="exact"/>
              <w:jc w:val="center"/>
              <w:rPr>
                <w:rFonts w:ascii="宋体" w:hAnsi="宋体" w:cs="宋体"/>
                <w:b/>
                <w:color w:val="auto"/>
                <w:szCs w:val="21"/>
                <w:highlight w:val="none"/>
              </w:rPr>
            </w:pPr>
            <w:r>
              <w:rPr>
                <w:rFonts w:hint="eastAsia" w:ascii="宋体" w:hAnsi="宋体" w:cs="宋体"/>
                <w:b/>
                <w:color w:val="auto"/>
                <w:szCs w:val="21"/>
                <w:highlight w:val="none"/>
              </w:rPr>
              <w:t>编  列  内  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27"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1.1.2</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招标人</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highlight w:val="none"/>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1.1.3</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招标代理机构</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highlight w:val="none"/>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1.1.4</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项目名称及标段名称</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highlight w:val="none"/>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1.1.5</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lang w:val="en-US" w:eastAsia="zh-CN"/>
              </w:rPr>
              <w:t>项目</w:t>
            </w:r>
            <w:r>
              <w:rPr>
                <w:rFonts w:hint="eastAsia" w:ascii="宋体" w:hAnsi="宋体" w:cs="宋体"/>
                <w:color w:val="auto"/>
                <w:szCs w:val="21"/>
                <w:highlight w:val="none"/>
              </w:rPr>
              <w:t>地点</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highlight w:val="none"/>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1.1.6</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lang w:val="en-US" w:eastAsia="zh-CN"/>
              </w:rPr>
              <w:t>工程</w:t>
            </w:r>
            <w:r>
              <w:rPr>
                <w:rFonts w:hint="eastAsia" w:ascii="宋体" w:hAnsi="宋体" w:cs="宋体"/>
                <w:color w:val="auto"/>
                <w:szCs w:val="21"/>
                <w:highlight w:val="none"/>
              </w:rPr>
              <w:t>规模</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highlight w:val="none"/>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1.1.7</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合同估算价</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highlight w:val="none"/>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1.2.1</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资金来源</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highlight w:val="none"/>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3" w:hRule="exac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1.2.2</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出资比例</w:t>
            </w:r>
          </w:p>
        </w:tc>
        <w:tc>
          <w:tcPr>
            <w:tcW w:w="5274" w:type="dxa"/>
            <w:vAlign w:val="center"/>
          </w:tcPr>
          <w:p>
            <w:pPr>
              <w:spacing w:line="288" w:lineRule="auto"/>
              <w:ind w:left="1000" w:hanging="999" w:hangingChars="476"/>
              <w:rPr>
                <w:rFonts w:ascii="宋体" w:hAnsi="宋体" w:cs="宋体"/>
                <w:color w:val="auto"/>
                <w:szCs w:val="21"/>
                <w:highlight w:val="none"/>
              </w:rPr>
            </w:pPr>
            <w:r>
              <w:rPr>
                <w:rFonts w:hint="eastAsia" w:ascii="宋体" w:hAnsi="宋体" w:cs="宋体"/>
                <w:color w:val="auto"/>
                <w:szCs w:val="21"/>
                <w:highlight w:val="none"/>
              </w:rPr>
              <w:t>出资比例：自筹资金</w:t>
            </w:r>
            <w:r>
              <w:rPr>
                <w:rFonts w:hint="eastAsia" w:ascii="宋体" w:hAnsi="宋体" w:cs="宋体"/>
                <w:color w:val="auto"/>
                <w:szCs w:val="21"/>
                <w:highlight w:val="none"/>
                <w:u w:val="thick"/>
              </w:rPr>
              <w:t xml:space="preserve">     </w:t>
            </w:r>
            <w:r>
              <w:rPr>
                <w:rFonts w:hint="eastAsia" w:ascii="宋体" w:hAnsi="宋体" w:cs="宋体"/>
                <w:color w:val="auto"/>
                <w:szCs w:val="21"/>
                <w:highlight w:val="none"/>
              </w:rPr>
              <w:t xml:space="preserve">％ ；   </w:t>
            </w:r>
          </w:p>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财政资金</w:t>
            </w:r>
            <w:r>
              <w:rPr>
                <w:rFonts w:hint="eastAsia" w:ascii="宋体" w:hAnsi="宋体" w:cs="宋体"/>
                <w:color w:val="auto"/>
                <w:szCs w:val="21"/>
                <w:highlight w:val="none"/>
                <w:u w:val="thick"/>
              </w:rPr>
              <w:t xml:space="preserve">     </w:t>
            </w:r>
            <w:r>
              <w:rPr>
                <w:rFonts w:hint="eastAsia" w:ascii="宋体" w:hAnsi="宋体" w:cs="宋体"/>
                <w:color w:val="auto"/>
                <w:szCs w:val="21"/>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1.2.3</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资金落实情况</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rPr>
              <w:t>□已落实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1474"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1.2.4</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合同价款支付方式</w:t>
            </w:r>
          </w:p>
        </w:tc>
        <w:tc>
          <w:tcPr>
            <w:tcW w:w="5274" w:type="dxa"/>
            <w:vAlign w:val="center"/>
          </w:tcPr>
          <w:p>
            <w:pPr>
              <w:adjustRightInd w:val="0"/>
              <w:snapToGrid w:val="0"/>
              <w:spacing w:line="400" w:lineRule="exact"/>
              <w:jc w:val="left"/>
              <w:rPr>
                <w:color w:val="auto"/>
                <w:highlight w:val="none"/>
              </w:rPr>
            </w:pPr>
            <w:r>
              <w:rPr>
                <w:color w:val="auto"/>
                <w:spacing w:val="0"/>
                <w:highlight w:val="none"/>
              </w:rPr>
              <w:t>见招标公告</w:t>
            </w:r>
          </w:p>
          <w:p>
            <w:pPr>
              <w:adjustRightInd w:val="0"/>
              <w:snapToGrid w:val="0"/>
              <w:spacing w:line="400" w:lineRule="exact"/>
              <w:rPr>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1.3.1</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招标范围</w:t>
            </w:r>
          </w:p>
        </w:tc>
        <w:tc>
          <w:tcPr>
            <w:tcW w:w="5274" w:type="dxa"/>
            <w:vAlign w:val="center"/>
          </w:tcPr>
          <w:p>
            <w:pPr>
              <w:adjustRightInd w:val="0"/>
              <w:snapToGrid w:val="0"/>
              <w:spacing w:line="400" w:lineRule="exact"/>
              <w:rPr>
                <w:rFonts w:ascii="宋体" w:hAnsi="宋体" w:cs="宋体"/>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1.3.2</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要求工期</w:t>
            </w:r>
          </w:p>
        </w:tc>
        <w:tc>
          <w:tcPr>
            <w:tcW w:w="5274" w:type="dxa"/>
          </w:tcPr>
          <w:p>
            <w:pPr>
              <w:adjustRightInd w:val="0"/>
              <w:snapToGrid w:val="0"/>
              <w:spacing w:before="120" w:beforeLines="50" w:line="288" w:lineRule="auto"/>
              <w:rPr>
                <w:rFonts w:ascii="宋体" w:hAnsi="宋体" w:cs="宋体"/>
                <w:color w:val="auto"/>
                <w:highlight w:val="none"/>
              </w:rPr>
            </w:pPr>
            <w:r>
              <w:rPr>
                <w:rFonts w:hint="eastAsia" w:ascii="宋体" w:hAnsi="宋体" w:cs="宋体"/>
                <w:color w:val="auto"/>
                <w:highlight w:val="none"/>
              </w:rPr>
              <w:t>总工期要求：</w:t>
            </w:r>
            <w:r>
              <w:rPr>
                <w:rFonts w:hint="eastAsia" w:ascii="宋体" w:hAnsi="宋体" w:cs="宋体"/>
                <w:color w:val="auto"/>
                <w:highlight w:val="none"/>
                <w:u w:val="single"/>
              </w:rPr>
              <w:t xml:space="preserve">        </w:t>
            </w:r>
            <w:r>
              <w:rPr>
                <w:rFonts w:hint="eastAsia" w:ascii="宋体" w:hAnsi="宋体" w:cs="宋体"/>
                <w:color w:val="auto"/>
                <w:highlight w:val="none"/>
              </w:rPr>
              <w:t>日历天；</w:t>
            </w:r>
          </w:p>
          <w:p>
            <w:pPr>
              <w:adjustRightInd w:val="0"/>
              <w:snapToGrid w:val="0"/>
              <w:spacing w:line="288" w:lineRule="auto"/>
              <w:rPr>
                <w:rFonts w:ascii="宋体" w:hAnsi="宋体" w:cs="宋体"/>
                <w:color w:val="auto"/>
                <w:highlight w:val="none"/>
              </w:rPr>
            </w:pPr>
            <w:r>
              <w:rPr>
                <w:rFonts w:hint="eastAsia" w:ascii="宋体" w:hAnsi="宋体" w:cs="宋体"/>
                <w:color w:val="auto"/>
                <w:highlight w:val="none"/>
              </w:rPr>
              <w:t>其中：设计工期：</w:t>
            </w:r>
            <w:r>
              <w:rPr>
                <w:rFonts w:hint="eastAsia" w:ascii="宋体" w:hAnsi="宋体" w:cs="宋体"/>
                <w:color w:val="auto"/>
                <w:highlight w:val="none"/>
                <w:u w:val="single"/>
              </w:rPr>
              <w:t xml:space="preserve">         </w:t>
            </w:r>
            <w:r>
              <w:rPr>
                <w:rFonts w:hint="eastAsia" w:ascii="宋体" w:hAnsi="宋体" w:cs="宋体"/>
                <w:color w:val="auto"/>
                <w:highlight w:val="none"/>
              </w:rPr>
              <w:t>日历天</w:t>
            </w:r>
          </w:p>
          <w:p>
            <w:pPr>
              <w:adjustRightInd w:val="0"/>
              <w:snapToGrid w:val="0"/>
              <w:spacing w:line="288" w:lineRule="auto"/>
              <w:ind w:firstLine="630" w:firstLineChars="300"/>
              <w:rPr>
                <w:rFonts w:ascii="宋体" w:hAnsi="宋体" w:cs="宋体"/>
                <w:color w:val="auto"/>
                <w:highlight w:val="none"/>
                <w:u w:val="single"/>
              </w:rPr>
            </w:pPr>
            <w:r>
              <w:rPr>
                <w:rFonts w:hint="eastAsia" w:ascii="宋体" w:hAnsi="宋体" w:cs="宋体"/>
                <w:color w:val="auto"/>
                <w:highlight w:val="none"/>
              </w:rPr>
              <w:t>施工工期：</w:t>
            </w:r>
            <w:r>
              <w:rPr>
                <w:rFonts w:hint="eastAsia" w:ascii="宋体" w:hAnsi="宋体" w:cs="宋体"/>
                <w:color w:val="auto"/>
                <w:highlight w:val="none"/>
                <w:u w:val="single"/>
              </w:rPr>
              <w:t xml:space="preserve">         </w:t>
            </w:r>
            <w:r>
              <w:rPr>
                <w:rFonts w:hint="eastAsia" w:ascii="宋体" w:hAnsi="宋体" w:cs="宋体"/>
                <w:color w:val="auto"/>
                <w:highlight w:val="none"/>
              </w:rPr>
              <w:t>日历天</w:t>
            </w:r>
          </w:p>
          <w:p>
            <w:pPr>
              <w:adjustRightInd w:val="0"/>
              <w:snapToGrid w:val="0"/>
              <w:spacing w:line="288" w:lineRule="auto"/>
              <w:rPr>
                <w:rFonts w:ascii="宋体" w:hAnsi="宋体" w:cs="宋体"/>
                <w:color w:val="auto"/>
                <w:szCs w:val="21"/>
                <w:highlight w:val="none"/>
              </w:rPr>
            </w:pPr>
            <w:r>
              <w:rPr>
                <w:rFonts w:hint="eastAsia" w:ascii="宋体" w:hAnsi="宋体" w:cs="宋体"/>
                <w:color w:val="auto"/>
                <w:highlight w:val="none"/>
              </w:rPr>
              <w:t>除上述总工期外，发包人还要求以下节点工期（如有）：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1.3.3</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质量要求</w:t>
            </w:r>
          </w:p>
        </w:tc>
        <w:tc>
          <w:tcPr>
            <w:tcW w:w="5274" w:type="dxa"/>
            <w:vAlign w:val="center"/>
          </w:tcPr>
          <w:p>
            <w:pPr>
              <w:keepNext w:val="0"/>
              <w:keepLines w:val="0"/>
              <w:pageBreakBefore w:val="0"/>
              <w:widowControl w:val="0"/>
              <w:kinsoku/>
              <w:wordWrap/>
              <w:overflowPunct/>
              <w:topLinePunct w:val="0"/>
              <w:autoSpaceDE/>
              <w:autoSpaceDN/>
              <w:bidi w:val="0"/>
              <w:spacing w:line="288" w:lineRule="auto"/>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t>设计要求的质量标准：</w:t>
            </w:r>
          </w:p>
          <w:p>
            <w:pPr>
              <w:adjustRightInd w:val="0"/>
              <w:snapToGrid w:val="0"/>
              <w:spacing w:line="288" w:lineRule="auto"/>
              <w:outlineLvl w:val="9"/>
              <w:rPr>
                <w:color w:val="auto"/>
                <w:highlight w:val="none"/>
              </w:rPr>
            </w:pPr>
            <w:r>
              <w:rPr>
                <w:rFonts w:hint="eastAsia" w:ascii="宋体" w:hAnsi="宋体" w:cs="宋体"/>
                <w:color w:val="auto"/>
                <w:szCs w:val="21"/>
                <w:highlight w:val="none"/>
                <w:lang w:val="en-US" w:eastAsia="zh-CN"/>
              </w:rPr>
              <w:t>材料物资的采购要求的质量标准：</w:t>
            </w:r>
          </w:p>
          <w:p>
            <w:pPr>
              <w:keepNext w:val="0"/>
              <w:keepLines w:val="0"/>
              <w:pageBreakBefore w:val="0"/>
              <w:widowControl w:val="0"/>
              <w:kinsoku/>
              <w:wordWrap/>
              <w:overflowPunct/>
              <w:topLinePunct w:val="0"/>
              <w:autoSpaceDE/>
              <w:autoSpaceDN/>
              <w:bidi w:val="0"/>
              <w:adjustRightInd w:val="0"/>
              <w:snapToGrid w:val="0"/>
              <w:spacing w:line="288" w:lineRule="auto"/>
              <w:textAlignment w:val="auto"/>
              <w:outlineLvl w:val="9"/>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rPr>
              <w:t>施工要求的质量标准：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17"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1.4.1</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投标人资格要求</w:t>
            </w:r>
          </w:p>
        </w:tc>
        <w:tc>
          <w:tcPr>
            <w:tcW w:w="5274" w:type="dxa"/>
          </w:tcPr>
          <w:p>
            <w:pPr>
              <w:numPr>
                <w:ilvl w:val="0"/>
                <w:numId w:val="9"/>
              </w:numPr>
              <w:spacing w:before="120" w:beforeLines="50" w:line="288" w:lineRule="auto"/>
              <w:jc w:val="left"/>
              <w:rPr>
                <w:rFonts w:ascii="宋体" w:hAnsi="宋体" w:cs="宋体"/>
                <w:color w:val="auto"/>
                <w:kern w:val="0"/>
                <w:szCs w:val="21"/>
                <w:highlight w:val="none"/>
              </w:rPr>
            </w:pPr>
            <w:r>
              <w:rPr>
                <w:rFonts w:hint="eastAsia" w:ascii="宋体" w:hAnsi="宋体" w:cs="宋体"/>
                <w:color w:val="auto"/>
                <w:kern w:val="0"/>
                <w:szCs w:val="21"/>
                <w:highlight w:val="none"/>
              </w:rPr>
              <w:t>资质要求：见招标公告</w:t>
            </w:r>
          </w:p>
          <w:p>
            <w:pPr>
              <w:spacing w:line="288" w:lineRule="auto"/>
              <w:jc w:val="left"/>
              <w:rPr>
                <w:rFonts w:ascii="宋体" w:hAnsi="宋体" w:cs="宋体"/>
                <w:color w:val="auto"/>
                <w:kern w:val="0"/>
                <w:szCs w:val="21"/>
                <w:highlight w:val="none"/>
              </w:rPr>
            </w:pPr>
            <w:r>
              <w:rPr>
                <w:rFonts w:hint="eastAsia" w:ascii="宋体" w:hAnsi="宋体" w:cs="宋体"/>
                <w:color w:val="auto"/>
                <w:kern w:val="0"/>
                <w:szCs w:val="21"/>
                <w:highlight w:val="none"/>
              </w:rPr>
              <w:t>（2）财务要求：</w:t>
            </w:r>
            <w:r>
              <w:rPr>
                <w:rFonts w:hint="eastAsia" w:ascii="宋体" w:hAnsi="宋体" w:cs="宋体"/>
                <w:color w:val="auto"/>
                <w:szCs w:val="21"/>
                <w:highlight w:val="none"/>
              </w:rPr>
              <w:t>□无要求，□有要求，具体如下:</w:t>
            </w:r>
          </w:p>
          <w:p>
            <w:pPr>
              <w:spacing w:line="288" w:lineRule="auto"/>
              <w:jc w:val="left"/>
              <w:rPr>
                <w:rFonts w:ascii="宋体" w:hAnsi="宋体" w:cs="宋体"/>
                <w:color w:val="auto"/>
                <w:kern w:val="0"/>
                <w:szCs w:val="21"/>
                <w:highlight w:val="none"/>
              </w:rPr>
            </w:pPr>
            <w:r>
              <w:rPr>
                <w:rFonts w:hint="eastAsia" w:ascii="宋体" w:hAnsi="宋体" w:cs="宋体"/>
                <w:color w:val="auto"/>
                <w:kern w:val="0"/>
                <w:szCs w:val="21"/>
                <w:highlight w:val="none"/>
              </w:rPr>
              <w:t>（3）业绩要求：见招标公告</w:t>
            </w:r>
          </w:p>
          <w:p>
            <w:pPr>
              <w:spacing w:line="288" w:lineRule="auto"/>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（4）信誉要求：见招标公告</w:t>
            </w:r>
          </w:p>
          <w:p>
            <w:pPr>
              <w:spacing w:line="288" w:lineRule="auto"/>
              <w:jc w:val="left"/>
              <w:rPr>
                <w:rFonts w:hint="eastAsia" w:ascii="宋体" w:hAnsi="宋体" w:eastAsia="宋体" w:cs="宋体"/>
                <w:color w:val="auto"/>
                <w:kern w:val="0"/>
                <w:szCs w:val="21"/>
                <w:highlight w:val="none"/>
                <w:lang w:val="en-US" w:eastAsia="zh-CN"/>
              </w:rPr>
            </w:pP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lang w:val="en-US" w:eastAsia="zh-CN"/>
              </w:rPr>
              <w:t>5</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lang w:val="en-US" w:eastAsia="zh-CN"/>
              </w:rPr>
              <w:t>工程总承包项目经理、施工项目负责人、设计负责人要求：</w:t>
            </w:r>
            <w:r>
              <w:rPr>
                <w:rFonts w:hint="eastAsia" w:ascii="宋体" w:hAnsi="宋体" w:cs="宋体"/>
                <w:color w:val="auto"/>
                <w:kern w:val="0"/>
                <w:szCs w:val="21"/>
                <w:highlight w:val="none"/>
              </w:rPr>
              <w:t>见招标公告</w:t>
            </w:r>
          </w:p>
          <w:p>
            <w:pPr>
              <w:adjustRightInd w:val="0"/>
              <w:snapToGrid w:val="0"/>
              <w:spacing w:line="288" w:lineRule="auto"/>
              <w:rPr>
                <w:rFonts w:ascii="宋体" w:hAnsi="宋体" w:cs="宋体"/>
                <w:color w:val="auto"/>
                <w:szCs w:val="21"/>
                <w:highlight w:val="none"/>
              </w:rPr>
            </w:pPr>
            <w:r>
              <w:rPr>
                <w:rFonts w:hint="eastAsia" w:ascii="宋体" w:hAnsi="宋体" w:cs="宋体"/>
                <w:color w:val="auto"/>
                <w:kern w:val="0"/>
                <w:szCs w:val="21"/>
                <w:highlight w:val="none"/>
              </w:rPr>
              <w:t>（</w:t>
            </w:r>
            <w:r>
              <w:rPr>
                <w:rFonts w:hint="eastAsia" w:ascii="宋体" w:hAnsi="宋体" w:cs="宋体"/>
                <w:color w:val="auto"/>
                <w:kern w:val="0"/>
                <w:szCs w:val="21"/>
                <w:highlight w:val="none"/>
                <w:lang w:val="en-US" w:eastAsia="zh-CN"/>
              </w:rPr>
              <w:t>6</w:t>
            </w:r>
            <w:r>
              <w:rPr>
                <w:rFonts w:hint="eastAsia" w:ascii="宋体" w:hAnsi="宋体" w:cs="宋体"/>
                <w:color w:val="auto"/>
                <w:kern w:val="0"/>
                <w:szCs w:val="21"/>
                <w:highlight w:val="none"/>
              </w:rPr>
              <w:t>）其他要求：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7"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1.4.2</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是否接受联合体投标</w:t>
            </w:r>
          </w:p>
        </w:tc>
        <w:tc>
          <w:tcPr>
            <w:tcW w:w="5274" w:type="dxa"/>
            <w:vAlign w:val="center"/>
          </w:tcPr>
          <w:p>
            <w:pPr>
              <w:adjustRightInd w:val="0"/>
              <w:snapToGrid w:val="0"/>
              <w:spacing w:line="276" w:lineRule="auto"/>
              <w:rPr>
                <w:rFonts w:ascii="宋体" w:hAnsi="宋体" w:cs="宋体"/>
                <w:color w:val="auto"/>
                <w:szCs w:val="21"/>
                <w:highlight w:val="none"/>
              </w:rPr>
            </w:pPr>
            <w:r>
              <w:rPr>
                <w:rFonts w:ascii="宋体" w:hAnsi="宋体" w:cs="宋体"/>
                <w:color w:val="auto"/>
                <w:szCs w:val="21"/>
                <w:highlight w:val="none"/>
              </w:rPr>
              <w:t>□</w:t>
            </w:r>
            <w:r>
              <w:rPr>
                <w:rFonts w:hint="eastAsia" w:ascii="宋体" w:hAnsi="宋体" w:cs="宋体"/>
                <w:color w:val="auto"/>
                <w:szCs w:val="21"/>
                <w:highlight w:val="none"/>
              </w:rPr>
              <w:t>不接受</w:t>
            </w:r>
          </w:p>
          <w:p>
            <w:pPr>
              <w:adjustRightInd w:val="0"/>
              <w:snapToGrid w:val="0"/>
              <w:spacing w:line="276" w:lineRule="auto"/>
              <w:rPr>
                <w:color w:val="auto"/>
                <w:szCs w:val="21"/>
                <w:highlight w:val="none"/>
              </w:rPr>
            </w:pPr>
            <w:r>
              <w:rPr>
                <w:rFonts w:ascii="宋体" w:hAnsi="宋体" w:cs="宋体"/>
                <w:color w:val="auto"/>
                <w:szCs w:val="21"/>
                <w:highlight w:val="none"/>
              </w:rPr>
              <w:t>□</w:t>
            </w:r>
            <w:r>
              <w:rPr>
                <w:rFonts w:hint="eastAsia" w:ascii="宋体" w:hAnsi="宋体" w:cs="宋体"/>
                <w:color w:val="auto"/>
                <w:szCs w:val="21"/>
                <w:highlight w:val="none"/>
              </w:rPr>
              <w:t>接受，</w:t>
            </w:r>
            <w:r>
              <w:rPr>
                <w:rFonts w:hint="eastAsia"/>
                <w:color w:val="auto"/>
                <w:szCs w:val="21"/>
                <w:highlight w:val="none"/>
              </w:rPr>
              <w:t>应满足下列要求：</w:t>
            </w:r>
          </w:p>
          <w:p>
            <w:pPr>
              <w:adjustRightInd w:val="0"/>
              <w:snapToGrid w:val="0"/>
              <w:spacing w:line="288" w:lineRule="auto"/>
              <w:rPr>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1.4.3</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投标人不得存在的情形</w:t>
            </w:r>
          </w:p>
        </w:tc>
        <w:tc>
          <w:tcPr>
            <w:tcW w:w="5274" w:type="dxa"/>
            <w:vAlign w:val="center"/>
          </w:tcPr>
          <w:p>
            <w:pPr>
              <w:adjustRightInd w:val="0"/>
              <w:snapToGrid w:val="0"/>
              <w:spacing w:line="288" w:lineRule="auto"/>
              <w:rPr>
                <w:color w:val="auto"/>
                <w:highlight w:val="none"/>
              </w:rPr>
            </w:pPr>
            <w:r>
              <w:rPr>
                <w:rFonts w:hint="eastAsia"/>
                <w:color w:val="auto"/>
                <w:highlight w:val="none"/>
                <w:lang w:val="en-US" w:eastAsia="zh-CN"/>
              </w:rPr>
              <w:t>1.</w:t>
            </w:r>
            <w:r>
              <w:rPr>
                <w:rFonts w:hint="eastAsia"/>
                <w:color w:val="auto"/>
                <w:highlight w:val="none"/>
              </w:rPr>
              <w:t>处于被责令停业、财产被接管、冻结和破产状态，以及投标资格被取消或者被暂停且在暂停期。</w:t>
            </w:r>
          </w:p>
          <w:p>
            <w:pPr>
              <w:adjustRightInd w:val="0"/>
              <w:snapToGrid w:val="0"/>
              <w:spacing w:line="288" w:lineRule="auto"/>
              <w:rPr>
                <w:rFonts w:hint="eastAsia"/>
                <w:color w:val="auto"/>
                <w:highlight w:val="none"/>
                <w:lang w:val="en-US" w:eastAsia="zh-CN"/>
              </w:rPr>
            </w:pPr>
            <w:r>
              <w:rPr>
                <w:rFonts w:hint="eastAsia"/>
                <w:color w:val="auto"/>
                <w:highlight w:val="none"/>
              </w:rPr>
              <w:t>其中，财产被冻结是指，被冻结财产占企业注册资本的</w:t>
            </w:r>
            <w:r>
              <w:rPr>
                <w:rFonts w:hint="eastAsia"/>
                <w:color w:val="auto"/>
                <w:highlight w:val="none"/>
                <w:u w:val="single"/>
              </w:rPr>
              <w:t xml:space="preserve">   </w:t>
            </w:r>
            <w:r>
              <w:rPr>
                <w:rFonts w:hint="eastAsia"/>
                <w:color w:val="auto"/>
                <w:highlight w:val="none"/>
              </w:rPr>
              <w:t>%</w:t>
            </w:r>
            <w:r>
              <w:rPr>
                <w:rFonts w:hint="eastAsia"/>
                <w:color w:val="auto"/>
                <w:highlight w:val="none"/>
                <w:lang w:val="en-US" w:eastAsia="zh-CN"/>
              </w:rPr>
              <w:t>及以上。</w:t>
            </w:r>
          </w:p>
          <w:p>
            <w:pPr>
              <w:keepNext w:val="0"/>
              <w:keepLines w:val="0"/>
              <w:pageBreakBefore w:val="0"/>
              <w:widowControl w:val="0"/>
              <w:kinsoku/>
              <w:wordWrap/>
              <w:overflowPunct/>
              <w:topLinePunct w:val="0"/>
              <w:autoSpaceDE/>
              <w:autoSpaceDN/>
              <w:bidi w:val="0"/>
              <w:adjustRightInd w:val="0"/>
              <w:snapToGrid w:val="0"/>
              <w:spacing w:line="288" w:lineRule="auto"/>
              <w:textAlignment w:val="auto"/>
              <w:outlineLvl w:val="9"/>
              <w:rPr>
                <w:rFonts w:hint="eastAsia" w:ascii="宋体" w:hAnsi="宋体" w:cs="宋体"/>
                <w:color w:val="auto"/>
                <w:szCs w:val="21"/>
                <w:highlight w:val="none"/>
                <w:lang w:val="en-US" w:eastAsia="zh-CN"/>
              </w:rPr>
            </w:pPr>
            <w:r>
              <w:rPr>
                <w:rFonts w:hint="eastAsia"/>
                <w:color w:val="auto"/>
                <w:highlight w:val="none"/>
                <w:lang w:val="en-US" w:eastAsia="zh-CN"/>
              </w:rPr>
              <w:t>2.</w:t>
            </w:r>
            <w:r>
              <w:rPr>
                <w:rFonts w:hint="eastAsia" w:ascii="宋体" w:hAnsi="宋体" w:cs="宋体"/>
                <w:color w:val="auto"/>
                <w:szCs w:val="21"/>
                <w:highlight w:val="none"/>
              </w:rPr>
              <w:t>被“信用中国”网站（www.creditchina.gov.cn</w:t>
            </w:r>
            <w:r>
              <w:rPr>
                <w:rFonts w:hint="eastAsia" w:ascii="宋体" w:hAnsi="宋体" w:cs="宋体"/>
                <w:color w:val="auto"/>
                <w:szCs w:val="21"/>
                <w:highlight w:val="none"/>
                <w:lang w:eastAsia="zh-CN"/>
              </w:rPr>
              <w:t>）</w:t>
            </w:r>
            <w:r>
              <w:rPr>
                <w:rFonts w:hint="eastAsia" w:ascii="宋体" w:hAnsi="宋体" w:cs="宋体"/>
                <w:color w:val="auto"/>
                <w:szCs w:val="21"/>
                <w:highlight w:val="none"/>
              </w:rPr>
              <w:t>列入失信被执行人的</w:t>
            </w:r>
            <w:r>
              <w:rPr>
                <w:rFonts w:hint="eastAsia" w:ascii="宋体" w:hAnsi="宋体" w:cs="宋体"/>
                <w:color w:val="auto"/>
                <w:szCs w:val="21"/>
                <w:highlight w:val="none"/>
                <w:lang w:val="en-US" w:eastAsia="zh-CN"/>
              </w:rPr>
              <w:t>是指：</w:t>
            </w:r>
          </w:p>
          <w:p>
            <w:pPr>
              <w:keepNext w:val="0"/>
              <w:keepLines w:val="0"/>
              <w:pageBreakBefore w:val="0"/>
              <w:widowControl w:val="0"/>
              <w:kinsoku/>
              <w:wordWrap/>
              <w:overflowPunct/>
              <w:topLinePunct w:val="0"/>
              <w:autoSpaceDE/>
              <w:autoSpaceDN/>
              <w:bidi w:val="0"/>
              <w:adjustRightInd w:val="0"/>
              <w:snapToGrid w:val="0"/>
              <w:spacing w:line="288" w:lineRule="auto"/>
              <w:textAlignment w:val="auto"/>
              <w:outlineLvl w:val="9"/>
              <w:rPr>
                <w:rFonts w:hint="eastAsia" w:ascii="宋体" w:hAnsi="宋体" w:cs="宋体"/>
                <w:color w:val="auto"/>
                <w:szCs w:val="21"/>
                <w:highlight w:val="none"/>
                <w:lang w:eastAsia="zh-CN"/>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投标人或其分支机构</w:t>
            </w:r>
            <w:r>
              <w:rPr>
                <w:rFonts w:hint="eastAsia" w:ascii="宋体" w:hAnsi="宋体" w:cs="宋体"/>
                <w:color w:val="auto"/>
                <w:szCs w:val="21"/>
                <w:highlight w:val="none"/>
              </w:rPr>
              <w:t>被“信用中国”网站（www.creditchina.gov.cn</w:t>
            </w:r>
            <w:r>
              <w:rPr>
                <w:rFonts w:hint="eastAsia" w:ascii="宋体" w:hAnsi="宋体" w:cs="宋体"/>
                <w:color w:val="auto"/>
                <w:szCs w:val="21"/>
                <w:highlight w:val="none"/>
                <w:lang w:eastAsia="zh-CN"/>
              </w:rPr>
              <w:t>）</w:t>
            </w:r>
            <w:r>
              <w:rPr>
                <w:rFonts w:hint="eastAsia" w:ascii="宋体" w:hAnsi="宋体" w:cs="宋体"/>
                <w:color w:val="auto"/>
                <w:szCs w:val="21"/>
                <w:highlight w:val="none"/>
              </w:rPr>
              <w:t>列入失信被执行人的</w:t>
            </w:r>
            <w:r>
              <w:rPr>
                <w:rFonts w:hint="eastAsia" w:ascii="宋体" w:hAnsi="宋体" w:cs="宋体"/>
                <w:color w:val="auto"/>
                <w:szCs w:val="21"/>
                <w:highlight w:val="none"/>
                <w:lang w:eastAsia="zh-CN"/>
              </w:rPr>
              <w:t>；</w:t>
            </w:r>
          </w:p>
          <w:p>
            <w:pPr>
              <w:adjustRightInd w:val="0"/>
              <w:snapToGrid w:val="0"/>
              <w:spacing w:line="288" w:lineRule="auto"/>
              <w:rPr>
                <w:rFonts w:hint="eastAsia" w:ascii="宋体" w:hAnsi="宋体" w:cs="宋体"/>
                <w:color w:val="auto"/>
                <w:szCs w:val="21"/>
                <w:highlight w:val="none"/>
                <w:lang w:eastAsia="zh-CN"/>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投标人（分支机构除外）</w:t>
            </w:r>
            <w:r>
              <w:rPr>
                <w:rFonts w:hint="eastAsia" w:ascii="宋体" w:hAnsi="宋体" w:cs="宋体"/>
                <w:color w:val="auto"/>
                <w:szCs w:val="21"/>
                <w:highlight w:val="none"/>
              </w:rPr>
              <w:t>被“信用中国”网站（www.creditchina.gov.cn</w:t>
            </w:r>
            <w:r>
              <w:rPr>
                <w:rFonts w:hint="eastAsia" w:ascii="宋体" w:hAnsi="宋体" w:cs="宋体"/>
                <w:color w:val="auto"/>
                <w:szCs w:val="21"/>
                <w:highlight w:val="none"/>
                <w:lang w:eastAsia="zh-CN"/>
              </w:rPr>
              <w:t>）</w:t>
            </w:r>
            <w:r>
              <w:rPr>
                <w:rFonts w:hint="eastAsia" w:ascii="宋体" w:hAnsi="宋体" w:cs="宋体"/>
                <w:color w:val="auto"/>
                <w:szCs w:val="21"/>
                <w:highlight w:val="none"/>
              </w:rPr>
              <w:t>列入失信被执行人的</w:t>
            </w:r>
            <w:r>
              <w:rPr>
                <w:rFonts w:hint="eastAsia" w:ascii="宋体" w:hAnsi="宋体" w:cs="宋体"/>
                <w:color w:val="auto"/>
                <w:szCs w:val="21"/>
                <w:highlight w:val="none"/>
                <w:lang w:eastAsia="zh-CN"/>
              </w:rPr>
              <w:t>。</w:t>
            </w:r>
          </w:p>
          <w:p>
            <w:pPr>
              <w:adjustRightInd w:val="0"/>
              <w:snapToGrid w:val="0"/>
              <w:spacing w:line="288" w:lineRule="auto"/>
              <w:rPr>
                <w:rFonts w:hint="default" w:ascii="宋体" w:hAnsi="宋体" w:cs="宋体"/>
                <w:color w:val="auto"/>
                <w:szCs w:val="21"/>
                <w:highlight w:val="none"/>
                <w:lang w:val="en-US" w:eastAsia="zh-CN"/>
              </w:rPr>
            </w:pPr>
            <w:r>
              <w:rPr>
                <w:rFonts w:hint="eastAsia" w:ascii="宋体" w:hAnsi="宋体" w:cs="宋体"/>
                <w:color w:val="auto"/>
                <w:szCs w:val="21"/>
                <w:highlight w:val="none"/>
                <w:lang w:val="en-US" w:eastAsia="zh-CN"/>
              </w:rPr>
              <w:t>3.其他情形</w:t>
            </w:r>
          </w:p>
          <w:p>
            <w:pPr>
              <w:pageBreakBefore w:val="0"/>
              <w:kinsoku/>
              <w:wordWrap/>
              <w:overflowPunct/>
              <w:topLinePunct w:val="0"/>
              <w:autoSpaceDE/>
              <w:autoSpaceDN/>
              <w:bidi w:val="0"/>
              <w:adjustRightInd w:val="0"/>
              <w:snapToGrid w:val="0"/>
              <w:spacing w:line="288" w:lineRule="auto"/>
              <w:ind w:left="0" w:leftChars="0"/>
              <w:jc w:val="left"/>
              <w:textAlignment w:val="auto"/>
              <w:rPr>
                <w:rFonts w:hint="eastAsia" w:ascii="宋体" w:hAnsi="宋体" w:eastAsia="宋体" w:cs="宋体"/>
                <w:color w:val="auto"/>
                <w:kern w:val="0"/>
                <w:szCs w:val="21"/>
                <w:highlight w:val="none"/>
                <w:lang w:eastAsia="zh-CN"/>
              </w:rPr>
            </w:pPr>
            <w:r>
              <w:rPr>
                <w:rFonts w:hint="eastAsia"/>
                <w:color w:val="auto"/>
                <w:highlight w:val="none"/>
              </w:rPr>
              <w:sym w:font="Wingdings" w:char="00A8"/>
            </w:r>
            <w:r>
              <w:rPr>
                <w:rFonts w:hint="eastAsia" w:ascii="宋体" w:hAnsi="宋体" w:cs="宋体"/>
                <w:color w:val="auto"/>
                <w:szCs w:val="21"/>
                <w:highlight w:val="none"/>
              </w:rPr>
              <w:t>自</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日起至</w:t>
            </w:r>
            <w:r>
              <w:rPr>
                <w:rFonts w:hint="eastAsia" w:ascii="宋体" w:hAnsi="宋体" w:cs="宋体"/>
                <w:color w:val="auto"/>
                <w:szCs w:val="21"/>
                <w:highlight w:val="none"/>
                <w:lang w:val="en-US" w:eastAsia="zh-CN"/>
              </w:rPr>
              <w:t>投标截止时间</w:t>
            </w:r>
            <w:r>
              <w:rPr>
                <w:rFonts w:hint="eastAsia" w:ascii="宋体" w:hAnsi="宋体" w:cs="宋体"/>
                <w:color w:val="auto"/>
                <w:szCs w:val="21"/>
                <w:highlight w:val="none"/>
              </w:rPr>
              <w:t>止</w:t>
            </w:r>
            <w:r>
              <w:rPr>
                <w:rFonts w:hint="eastAsia" w:ascii="宋体" w:hAnsi="宋体" w:cs="宋体"/>
                <w:color w:val="auto"/>
                <w:szCs w:val="21"/>
                <w:highlight w:val="none"/>
                <w:lang w:eastAsia="zh-CN"/>
              </w:rPr>
              <w:t>，</w:t>
            </w:r>
            <w:r>
              <w:rPr>
                <w:rFonts w:hint="eastAsia" w:ascii="宋体" w:hAnsi="宋体" w:cs="宋体"/>
                <w:color w:val="auto"/>
                <w:kern w:val="0"/>
                <w:szCs w:val="21"/>
                <w:highlight w:val="none"/>
              </w:rPr>
              <w:t>因违反招标投标规定受到行政处罚的</w:t>
            </w:r>
            <w:r>
              <w:rPr>
                <w:rFonts w:hint="eastAsia" w:ascii="宋体" w:hAnsi="宋体" w:cs="宋体"/>
                <w:color w:val="auto"/>
                <w:kern w:val="0"/>
                <w:szCs w:val="21"/>
                <w:highlight w:val="none"/>
                <w:lang w:eastAsia="zh-CN"/>
              </w:rPr>
              <w:t>。</w:t>
            </w:r>
          </w:p>
          <w:p>
            <w:pPr>
              <w:adjustRightInd w:val="0"/>
              <w:snapToGrid w:val="0"/>
              <w:spacing w:line="288" w:lineRule="auto"/>
              <w:rPr>
                <w:rFonts w:hint="eastAsia" w:eastAsia="宋体"/>
                <w:color w:val="auto"/>
                <w:highlight w:val="none"/>
                <w:lang w:val="en-US" w:eastAsia="zh-CN"/>
              </w:rPr>
            </w:pPr>
            <w:r>
              <w:rPr>
                <w:rFonts w:hint="eastAsia"/>
                <w:color w:val="auto"/>
                <w:highlight w:val="none"/>
              </w:rPr>
              <w:sym w:font="Wingdings" w:char="00A8"/>
            </w:r>
            <w:r>
              <w:rPr>
                <w:rFonts w:hint="eastAsia" w:ascii="宋体" w:hAnsi="宋体" w:cs="宋体"/>
                <w:color w:val="auto"/>
                <w:szCs w:val="21"/>
                <w:highlight w:val="none"/>
              </w:rPr>
              <w:t>自</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日起至</w:t>
            </w:r>
            <w:r>
              <w:rPr>
                <w:rFonts w:hint="eastAsia" w:ascii="宋体" w:hAnsi="宋体" w:cs="宋体"/>
                <w:color w:val="auto"/>
                <w:szCs w:val="21"/>
                <w:highlight w:val="none"/>
                <w:lang w:val="en-US" w:eastAsia="zh-CN"/>
              </w:rPr>
              <w:t>投标截止时间</w:t>
            </w:r>
            <w:r>
              <w:rPr>
                <w:rFonts w:hint="eastAsia" w:ascii="宋体" w:hAnsi="宋体" w:cs="宋体"/>
                <w:color w:val="auto"/>
                <w:szCs w:val="21"/>
                <w:highlight w:val="none"/>
              </w:rPr>
              <w:t>止</w:t>
            </w:r>
            <w:r>
              <w:rPr>
                <w:rFonts w:hint="eastAsia" w:ascii="宋体" w:hAnsi="宋体" w:cs="宋体"/>
                <w:color w:val="auto"/>
                <w:szCs w:val="21"/>
                <w:highlight w:val="none"/>
                <w:lang w:eastAsia="zh-CN"/>
              </w:rPr>
              <w:t>，</w:t>
            </w:r>
            <w:r>
              <w:rPr>
                <w:rFonts w:hint="eastAsia" w:ascii="宋体" w:hAnsi="宋体" w:cs="宋体"/>
                <w:color w:val="auto"/>
                <w:kern w:val="0"/>
                <w:szCs w:val="21"/>
                <w:highlight w:val="none"/>
              </w:rPr>
              <w:t>被人民法院生效裁判认定存在违约情形的</w:t>
            </w:r>
            <w:r>
              <w:rPr>
                <w:rFonts w:hint="eastAsia" w:ascii="宋体" w:hAnsi="宋体" w:cs="宋体"/>
                <w:color w:val="auto"/>
                <w:kern w:val="0"/>
                <w:szCs w:val="21"/>
                <w:highlight w:val="non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1.5.2</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eastAsia="宋体" w:cs="宋体"/>
                <w:color w:val="auto"/>
                <w:sz w:val="21"/>
                <w:highlight w:val="none"/>
                <w:lang w:val="en-US" w:eastAsia="zh-CN"/>
              </w:rPr>
              <w:t>设计</w:t>
            </w:r>
            <w:r>
              <w:rPr>
                <w:rFonts w:ascii="宋体" w:hAnsi="宋体" w:eastAsia="宋体" w:cs="宋体"/>
                <w:color w:val="auto"/>
                <w:sz w:val="21"/>
                <w:highlight w:val="none"/>
              </w:rPr>
              <w:t>成果</w:t>
            </w:r>
            <w:r>
              <w:rPr>
                <w:rFonts w:hint="eastAsia" w:eastAsia="宋体" w:cs="宋体"/>
                <w:color w:val="auto"/>
                <w:sz w:val="21"/>
                <w:highlight w:val="none"/>
                <w:lang w:val="en-US" w:eastAsia="zh-CN"/>
              </w:rPr>
              <w:t>是否给予</w:t>
            </w:r>
            <w:r>
              <w:rPr>
                <w:rFonts w:ascii="宋体" w:hAnsi="宋体" w:eastAsia="宋体" w:cs="宋体"/>
                <w:color w:val="auto"/>
                <w:sz w:val="21"/>
                <w:highlight w:val="none"/>
              </w:rPr>
              <w:t>经济补偿</w:t>
            </w:r>
          </w:p>
        </w:tc>
        <w:tc>
          <w:tcPr>
            <w:tcW w:w="5274" w:type="dxa"/>
            <w:vAlign w:val="center"/>
          </w:tcPr>
          <w:p>
            <w:pPr>
              <w:pStyle w:val="187"/>
              <w:spacing w:before="29"/>
              <w:ind w:left="0"/>
              <w:jc w:val="both"/>
              <w:rPr>
                <w:rFonts w:hint="eastAsia" w:ascii="宋体" w:hAnsi="宋体" w:eastAsia="宋体"/>
                <w:color w:val="auto"/>
                <w:sz w:val="21"/>
                <w:highlight w:val="none"/>
                <w:lang w:eastAsia="zh-CN"/>
              </w:rPr>
            </w:pPr>
            <w:r>
              <w:rPr>
                <w:rFonts w:hint="eastAsia" w:ascii="宋体" w:hAnsi="宋体" w:eastAsia="宋体"/>
                <w:color w:val="auto"/>
                <w:spacing w:val="-1"/>
                <w:sz w:val="21"/>
                <w:highlight w:val="none"/>
                <w:lang w:eastAsia="zh-CN"/>
              </w:rPr>
              <w:t>□不补偿</w:t>
            </w:r>
          </w:p>
          <w:p>
            <w:pPr>
              <w:adjustRightInd w:val="0"/>
              <w:snapToGrid w:val="0"/>
              <w:spacing w:line="400" w:lineRule="exact"/>
              <w:rPr>
                <w:rFonts w:ascii="宋体" w:hAnsi="宋体" w:cs="宋体"/>
                <w:color w:val="auto"/>
                <w:szCs w:val="21"/>
                <w:highlight w:val="none"/>
              </w:rPr>
            </w:pPr>
            <w:r>
              <w:rPr>
                <w:rFonts w:hint="eastAsia" w:ascii="宋体" w:hAnsi="宋体" w:eastAsia="宋体"/>
                <w:color w:val="auto"/>
                <w:spacing w:val="-1"/>
                <w:sz w:val="21"/>
                <w:highlight w:val="none"/>
                <w:lang w:eastAsia="zh-CN"/>
              </w:rPr>
              <w:t>□补偿，补偿标准：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1.9.1</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踏勘现场</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rPr>
              <w:t>投标人自行踏勘。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1.10</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分包</w:t>
            </w:r>
          </w:p>
        </w:tc>
        <w:tc>
          <w:tcPr>
            <w:tcW w:w="5274" w:type="dxa"/>
            <w:vAlign w:val="center"/>
          </w:tcPr>
          <w:p>
            <w:pPr>
              <w:adjustRightInd w:val="0"/>
              <w:snapToGrid w:val="0"/>
              <w:spacing w:line="400" w:lineRule="exact"/>
              <w:rPr>
                <w:rFonts w:hint="eastAsia" w:ascii="宋体" w:hAnsi="宋体" w:cs="宋体"/>
                <w:color w:val="auto"/>
                <w:szCs w:val="21"/>
                <w:highlight w:val="none"/>
              </w:rPr>
            </w:pPr>
            <w:r>
              <w:rPr>
                <w:rFonts w:ascii="宋体" w:hAnsi="宋体" w:cs="宋体"/>
                <w:color w:val="auto"/>
                <w:szCs w:val="21"/>
                <w:highlight w:val="none"/>
              </w:rPr>
              <w:t>□</w:t>
            </w:r>
            <w:r>
              <w:rPr>
                <w:rFonts w:hint="eastAsia" w:ascii="MS Gothic" w:hAnsi="MS Gothic" w:cs="MS Gothic"/>
                <w:color w:val="auto"/>
                <w:highlight w:val="none"/>
              </w:rPr>
              <w:t>不</w:t>
            </w:r>
            <w:r>
              <w:rPr>
                <w:rFonts w:hint="eastAsia" w:ascii="宋体" w:hAnsi="宋体" w:cs="宋体"/>
                <w:color w:val="auto"/>
                <w:szCs w:val="21"/>
                <w:highlight w:val="none"/>
              </w:rPr>
              <w:t>允许</w:t>
            </w:r>
          </w:p>
          <w:p>
            <w:pPr>
              <w:adjustRightInd w:val="0"/>
              <w:snapToGrid w:val="0"/>
              <w:spacing w:line="400" w:lineRule="exact"/>
              <w:rPr>
                <w:rFonts w:hint="eastAsia" w:ascii="宋体" w:hAnsi="宋体" w:eastAsia="宋体" w:cs="宋体"/>
                <w:color w:val="auto"/>
                <w:szCs w:val="21"/>
                <w:highlight w:val="none"/>
                <w:u w:val="single"/>
                <w:lang w:val="en-US" w:eastAsia="zh-CN"/>
              </w:rPr>
            </w:pPr>
            <w:r>
              <w:rPr>
                <w:rFonts w:ascii="宋体" w:hAnsi="宋体" w:cs="宋体"/>
                <w:color w:val="auto"/>
                <w:szCs w:val="21"/>
                <w:highlight w:val="none"/>
              </w:rPr>
              <w:t>□</w:t>
            </w:r>
            <w:r>
              <w:rPr>
                <w:rFonts w:hint="eastAsia" w:ascii="宋体" w:hAnsi="宋体" w:cs="宋体"/>
                <w:color w:val="auto"/>
                <w:szCs w:val="21"/>
                <w:highlight w:val="none"/>
              </w:rPr>
              <w:t>允许</w:t>
            </w:r>
            <w:r>
              <w:rPr>
                <w:rFonts w:hint="eastAsia" w:ascii="宋体" w:hAnsi="宋体" w:cs="宋体"/>
                <w:color w:val="auto"/>
                <w:szCs w:val="21"/>
                <w:highlight w:val="none"/>
                <w:lang w:eastAsia="zh-CN"/>
              </w:rPr>
              <w:t>，</w:t>
            </w:r>
            <w:r>
              <w:rPr>
                <w:rFonts w:hint="eastAsia" w:ascii="宋体" w:hAnsi="宋体" w:cs="宋体"/>
                <w:color w:val="auto"/>
                <w:szCs w:val="21"/>
                <w:highlight w:val="none"/>
              </w:rPr>
              <w:t>分包要求：</w:t>
            </w:r>
            <w:r>
              <w:rPr>
                <w:rFonts w:hint="eastAsia" w:ascii="宋体" w:hAnsi="宋体" w:cs="宋体"/>
                <w:color w:val="auto"/>
                <w:szCs w:val="21"/>
                <w:highlight w:val="none"/>
                <w:u w:val="single"/>
                <w:lang w:val="en-US" w:eastAsia="zh-CN"/>
              </w:rPr>
              <w:t xml:space="preserve">                                     </w:t>
            </w:r>
          </w:p>
          <w:p>
            <w:pPr>
              <w:adjustRightInd w:val="0"/>
              <w:snapToGrid w:val="0"/>
              <w:spacing w:line="400" w:lineRule="exact"/>
              <w:rPr>
                <w:rFonts w:hint="eastAsia" w:ascii="宋体" w:hAnsi="宋体" w:eastAsia="宋体" w:cs="宋体"/>
                <w:color w:val="auto"/>
                <w:szCs w:val="21"/>
                <w:highlight w:val="none"/>
                <w:u w:val="single"/>
                <w:lang w:val="en-US" w:eastAsia="zh-CN"/>
              </w:rPr>
            </w:pPr>
            <w:r>
              <w:rPr>
                <w:rFonts w:hint="eastAsia" w:ascii="宋体" w:hAnsi="宋体" w:cs="宋体"/>
                <w:color w:val="auto"/>
                <w:szCs w:val="21"/>
                <w:highlight w:val="none"/>
                <w:u w:val="single"/>
                <w:lang w:val="en-US" w:eastAsia="zh-CN"/>
              </w:rPr>
              <w:t xml:space="preserve">                                               </w:t>
            </w:r>
          </w:p>
          <w:p>
            <w:pPr>
              <w:adjustRightInd w:val="0"/>
              <w:snapToGrid w:val="0"/>
              <w:spacing w:line="400" w:lineRule="exact"/>
              <w:rPr>
                <w:rFonts w:hint="eastAsia" w:ascii="宋体" w:hAnsi="宋体" w:eastAsia="宋体" w:cs="宋体"/>
                <w:color w:val="auto"/>
                <w:szCs w:val="21"/>
                <w:highlight w:val="none"/>
                <w:u w:val="single"/>
                <w:lang w:val="en-US" w:eastAsia="zh-CN"/>
              </w:rPr>
            </w:pPr>
            <w:r>
              <w:rPr>
                <w:rFonts w:hint="eastAsia" w:ascii="宋体" w:hAnsi="宋体" w:cs="宋体"/>
                <w:color w:val="auto"/>
                <w:szCs w:val="21"/>
                <w:highlight w:val="none"/>
                <w:u w:val="single"/>
                <w:lang w:val="en-US" w:eastAsia="zh-CN"/>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2.1.1</w:t>
            </w:r>
          </w:p>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（9）</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构成招标文件的其他</w:t>
            </w:r>
          </w:p>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材料</w:t>
            </w:r>
          </w:p>
        </w:tc>
        <w:tc>
          <w:tcPr>
            <w:tcW w:w="5274" w:type="dxa"/>
            <w:vAlign w:val="center"/>
          </w:tcPr>
          <w:p>
            <w:pPr>
              <w:tabs>
                <w:tab w:val="left" w:pos="826"/>
              </w:tabs>
              <w:adjustRightInd w:val="0"/>
              <w:snapToGrid w:val="0"/>
              <w:spacing w:line="400" w:lineRule="exact"/>
              <w:rPr>
                <w:rFonts w:ascii="宋体" w:hAnsi="宋体" w:cs="宋体"/>
                <w:color w:val="auto"/>
                <w:szCs w:val="21"/>
                <w:highlight w:val="none"/>
              </w:rPr>
            </w:pPr>
            <w:r>
              <w:rPr>
                <w:rFonts w:hint="eastAsia" w:hAnsi="宋体"/>
                <w:color w:val="auto"/>
                <w:highlight w:val="none"/>
              </w:rPr>
              <w:t>招标文件的澄清、修改、补充通知等内容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2.2.1</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投标人要求澄清招标文件的截止时间</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时</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2.4</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最高投标限价</w:t>
            </w:r>
          </w:p>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（招标控制价）</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rPr>
              <w:t>□金额：</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万元</w:t>
            </w:r>
          </w:p>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rPr>
              <w:t xml:space="preserve">□计算方法：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83" w:hRule="atLeast"/>
          <w:jc w:val="center"/>
        </w:trPr>
        <w:tc>
          <w:tcPr>
            <w:tcW w:w="1266"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3.1.1</w:t>
            </w:r>
          </w:p>
        </w:tc>
        <w:tc>
          <w:tcPr>
            <w:tcW w:w="2463"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构成投标文件的材料</w:t>
            </w:r>
          </w:p>
        </w:tc>
        <w:tc>
          <w:tcPr>
            <w:tcW w:w="5274" w:type="dxa"/>
            <w:vAlign w:val="center"/>
          </w:tcPr>
          <w:p>
            <w:pPr>
              <w:spacing w:line="288" w:lineRule="auto"/>
              <w:rPr>
                <w:rFonts w:ascii="宋体" w:hAnsi="宋体" w:cs="宋体"/>
                <w:b/>
                <w:color w:val="auto"/>
                <w:szCs w:val="21"/>
                <w:highlight w:val="none"/>
              </w:rPr>
            </w:pPr>
            <w:r>
              <w:rPr>
                <w:rFonts w:hint="eastAsia" w:ascii="宋体" w:hAnsi="宋体" w:cs="宋体"/>
                <w:b/>
                <w:color w:val="auto"/>
                <w:szCs w:val="21"/>
                <w:highlight w:val="none"/>
              </w:rPr>
              <w:t>1、商务标：</w:t>
            </w:r>
          </w:p>
          <w:p>
            <w:pPr>
              <w:spacing w:line="288" w:lineRule="auto"/>
              <w:rPr>
                <w:rFonts w:ascii="宋体" w:hAnsi="宋体" w:cs="宋体"/>
                <w:color w:val="auto"/>
                <w:szCs w:val="21"/>
                <w:highlight w:val="none"/>
              </w:rPr>
            </w:pPr>
            <w:r>
              <w:rPr>
                <w:rFonts w:hint="eastAsia" w:ascii="宋体" w:hAnsi="宋体" w:cs="宋体"/>
                <w:color w:val="auto"/>
                <w:szCs w:val="21"/>
                <w:highlight w:val="none"/>
              </w:rPr>
              <w:t>□投标函及投标函附录；</w:t>
            </w:r>
          </w:p>
          <w:p>
            <w:pPr>
              <w:spacing w:line="288" w:lineRule="auto"/>
              <w:rPr>
                <w:rFonts w:ascii="宋体" w:hAnsi="宋体" w:cs="宋体"/>
                <w:color w:val="auto"/>
                <w:szCs w:val="21"/>
                <w:highlight w:val="none"/>
              </w:rPr>
            </w:pPr>
            <w:r>
              <w:rPr>
                <w:rFonts w:hint="eastAsia" w:ascii="宋体" w:hAnsi="宋体" w:cs="宋体"/>
                <w:color w:val="auto"/>
                <w:szCs w:val="21"/>
                <w:highlight w:val="none"/>
              </w:rPr>
              <w:t>□法定代表人身份证明或授权委托书；</w:t>
            </w:r>
          </w:p>
          <w:p>
            <w:pPr>
              <w:spacing w:line="288" w:lineRule="auto"/>
              <w:rPr>
                <w:rFonts w:ascii="宋体" w:hAnsi="宋体" w:cs="宋体"/>
                <w:color w:val="auto"/>
                <w:szCs w:val="21"/>
                <w:highlight w:val="none"/>
              </w:rPr>
            </w:pPr>
            <w:r>
              <w:rPr>
                <w:rFonts w:hint="eastAsia" w:ascii="宋体" w:hAnsi="宋体" w:cs="宋体"/>
                <w:color w:val="auto"/>
                <w:szCs w:val="21"/>
                <w:highlight w:val="none"/>
              </w:rPr>
              <w:t>□联合体协议书（如有）；</w:t>
            </w:r>
          </w:p>
          <w:p>
            <w:pPr>
              <w:spacing w:line="288" w:lineRule="auto"/>
              <w:rPr>
                <w:rFonts w:ascii="宋体" w:hAnsi="宋体" w:cs="宋体"/>
                <w:color w:val="auto"/>
                <w:szCs w:val="21"/>
                <w:highlight w:val="none"/>
              </w:rPr>
            </w:pPr>
            <w:r>
              <w:rPr>
                <w:rFonts w:hint="eastAsia" w:ascii="宋体" w:hAnsi="宋体" w:cs="宋体"/>
                <w:color w:val="auto"/>
                <w:szCs w:val="21"/>
                <w:highlight w:val="none"/>
              </w:rPr>
              <w:t>□投标人基本情况表；</w:t>
            </w:r>
          </w:p>
          <w:p>
            <w:pPr>
              <w:spacing w:line="288" w:lineRule="auto"/>
              <w:rPr>
                <w:rFonts w:ascii="宋体" w:hAnsi="宋体" w:cs="宋体"/>
                <w:color w:val="auto"/>
                <w:szCs w:val="21"/>
                <w:highlight w:val="none"/>
              </w:rPr>
            </w:pPr>
            <w:r>
              <w:rPr>
                <w:rFonts w:hint="eastAsia" w:ascii="宋体" w:hAnsi="宋体" w:cs="宋体"/>
                <w:bCs/>
                <w:color w:val="auto"/>
                <w:szCs w:val="21"/>
                <w:highlight w:val="none"/>
              </w:rPr>
              <w:t>□</w:t>
            </w:r>
            <w:r>
              <w:rPr>
                <w:rFonts w:hint="eastAsia" w:ascii="宋体" w:hAnsi="宋体" w:cs="宋体"/>
                <w:color w:val="auto"/>
                <w:szCs w:val="21"/>
                <w:highlight w:val="none"/>
              </w:rPr>
              <w:t>项目管理机构组成表；</w:t>
            </w:r>
          </w:p>
          <w:p>
            <w:pPr>
              <w:spacing w:line="288" w:lineRule="auto"/>
              <w:rPr>
                <w:rFonts w:ascii="宋体" w:hAnsi="宋体" w:cs="宋体"/>
                <w:color w:val="auto"/>
                <w:kern w:val="0"/>
                <w:highlight w:val="none"/>
              </w:rPr>
            </w:pPr>
            <w:r>
              <w:rPr>
                <w:rFonts w:hint="eastAsia" w:ascii="宋体" w:hAnsi="宋体" w:cs="宋体"/>
                <w:color w:val="auto"/>
                <w:szCs w:val="21"/>
                <w:highlight w:val="none"/>
              </w:rPr>
              <w:t>□工程</w:t>
            </w:r>
            <w:r>
              <w:rPr>
                <w:rFonts w:hint="eastAsia" w:ascii="宋体" w:hAnsi="宋体" w:cs="宋体"/>
                <w:color w:val="auto"/>
                <w:kern w:val="0"/>
                <w:highlight w:val="none"/>
              </w:rPr>
              <w:t>总承包项目经理及主要项目管理人员简历表</w:t>
            </w:r>
          </w:p>
          <w:p>
            <w:pPr>
              <w:spacing w:line="288" w:lineRule="auto"/>
              <w:rPr>
                <w:rFonts w:ascii="宋体" w:hAnsi="宋体" w:cs="宋体"/>
                <w:color w:val="auto"/>
                <w:kern w:val="0"/>
                <w:highlight w:val="none"/>
              </w:rPr>
            </w:pPr>
            <w:r>
              <w:rPr>
                <w:rFonts w:hint="eastAsia" w:ascii="宋体" w:hAnsi="宋体" w:cs="宋体"/>
                <w:color w:val="auto"/>
                <w:szCs w:val="21"/>
                <w:highlight w:val="none"/>
              </w:rPr>
              <w:t>□</w:t>
            </w:r>
            <w:r>
              <w:rPr>
                <w:rFonts w:hint="eastAsia" w:ascii="宋体" w:hAnsi="宋体" w:cs="宋体"/>
                <w:color w:val="auto"/>
                <w:kern w:val="0"/>
                <w:highlight w:val="none"/>
              </w:rPr>
              <w:t>投标人类似工程业绩一览表</w:t>
            </w:r>
            <w:r>
              <w:rPr>
                <w:rFonts w:hint="eastAsia"/>
                <w:color w:val="auto"/>
                <w:kern w:val="0"/>
                <w:highlight w:val="none"/>
              </w:rPr>
              <w:t>（含工程总承包项目经理类似工程业绩）</w:t>
            </w:r>
          </w:p>
          <w:p>
            <w:pPr>
              <w:spacing w:line="288" w:lineRule="auto"/>
              <w:rPr>
                <w:rFonts w:ascii="宋体" w:hAnsi="宋体" w:cs="宋体"/>
                <w:color w:val="auto"/>
                <w:szCs w:val="21"/>
                <w:highlight w:val="none"/>
              </w:rPr>
            </w:pPr>
            <w:r>
              <w:rPr>
                <w:rFonts w:hint="eastAsia" w:ascii="宋体" w:hAnsi="宋体" w:cs="宋体"/>
                <w:color w:val="auto"/>
                <w:szCs w:val="21"/>
                <w:highlight w:val="none"/>
              </w:rPr>
              <w:t>□拟再发包计划表（如有）；</w:t>
            </w:r>
          </w:p>
          <w:p>
            <w:pPr>
              <w:spacing w:line="288" w:lineRule="auto"/>
              <w:rPr>
                <w:rFonts w:ascii="宋体" w:hAnsi="宋体" w:cs="宋体"/>
                <w:color w:val="auto"/>
                <w:szCs w:val="21"/>
                <w:highlight w:val="none"/>
              </w:rPr>
            </w:pPr>
            <w:r>
              <w:rPr>
                <w:rFonts w:hint="eastAsia" w:ascii="宋体" w:hAnsi="宋体" w:cs="宋体"/>
                <w:color w:val="auto"/>
                <w:szCs w:val="21"/>
                <w:highlight w:val="none"/>
              </w:rPr>
              <w:t>□拟分包计划表（如有）；</w:t>
            </w:r>
          </w:p>
          <w:p>
            <w:pPr>
              <w:spacing w:line="288" w:lineRule="auto"/>
              <w:rPr>
                <w:rFonts w:ascii="宋体" w:hAnsi="宋体" w:cs="宋体"/>
                <w:b/>
                <w:color w:val="auto"/>
                <w:szCs w:val="21"/>
                <w:highlight w:val="none"/>
              </w:rPr>
            </w:pPr>
            <w:r>
              <w:rPr>
                <w:rFonts w:hint="eastAsia" w:ascii="宋体" w:hAnsi="宋体" w:cs="宋体"/>
                <w:b/>
                <w:color w:val="auto"/>
                <w:szCs w:val="21"/>
                <w:highlight w:val="none"/>
              </w:rPr>
              <w:t>2、经济标：</w:t>
            </w:r>
          </w:p>
          <w:p>
            <w:pPr>
              <w:spacing w:line="288" w:lineRule="auto"/>
              <w:rPr>
                <w:rFonts w:ascii="宋体" w:hAnsi="宋体" w:cs="宋体"/>
                <w:color w:val="auto"/>
                <w:szCs w:val="21"/>
                <w:highlight w:val="none"/>
              </w:rPr>
            </w:pPr>
            <w:r>
              <w:rPr>
                <w:rFonts w:hint="eastAsia" w:ascii="宋体" w:hAnsi="宋体" w:cs="宋体"/>
                <w:color w:val="auto"/>
                <w:szCs w:val="21"/>
                <w:highlight w:val="none"/>
              </w:rPr>
              <w:t>□工程总承包报价；</w:t>
            </w:r>
          </w:p>
          <w:p>
            <w:pPr>
              <w:spacing w:line="288" w:lineRule="auto"/>
              <w:rPr>
                <w:rFonts w:ascii="宋体" w:hAnsi="宋体" w:cs="宋体"/>
                <w:color w:val="auto"/>
                <w:szCs w:val="21"/>
                <w:highlight w:val="none"/>
              </w:rPr>
            </w:pPr>
            <w:r>
              <w:rPr>
                <w:rFonts w:hint="eastAsia" w:ascii="宋体" w:hAnsi="宋体" w:cs="宋体"/>
                <w:color w:val="auto"/>
                <w:szCs w:val="21"/>
                <w:highlight w:val="none"/>
              </w:rPr>
              <w:t>□投标分项报价汇总表；</w:t>
            </w:r>
          </w:p>
          <w:p>
            <w:pPr>
              <w:spacing w:line="288" w:lineRule="auto"/>
              <w:rPr>
                <w:rFonts w:ascii="宋体" w:hAnsi="宋体" w:cs="宋体"/>
                <w:color w:val="auto"/>
                <w:szCs w:val="21"/>
                <w:highlight w:val="none"/>
              </w:rPr>
            </w:pPr>
            <w:r>
              <w:rPr>
                <w:rFonts w:hint="eastAsia" w:ascii="宋体" w:hAnsi="宋体" w:cs="宋体"/>
                <w:color w:val="auto"/>
                <w:szCs w:val="21"/>
                <w:highlight w:val="none"/>
              </w:rPr>
              <w:t>□各投标分项报价明细表；</w:t>
            </w:r>
          </w:p>
          <w:p>
            <w:pPr>
              <w:spacing w:line="288" w:lineRule="auto"/>
              <w:rPr>
                <w:rFonts w:ascii="宋体" w:hAnsi="宋体" w:cs="宋体"/>
                <w:b/>
                <w:color w:val="auto"/>
                <w:szCs w:val="21"/>
                <w:highlight w:val="none"/>
              </w:rPr>
            </w:pPr>
            <w:r>
              <w:rPr>
                <w:rFonts w:hint="eastAsia" w:ascii="宋体" w:hAnsi="宋体" w:cs="宋体"/>
                <w:b/>
                <w:color w:val="auto"/>
                <w:szCs w:val="21"/>
                <w:highlight w:val="none"/>
              </w:rPr>
              <w:t>3、技术标：</w:t>
            </w:r>
          </w:p>
          <w:p>
            <w:pPr>
              <w:spacing w:line="288" w:lineRule="auto"/>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bCs/>
                <w:color w:val="auto"/>
                <w:szCs w:val="21"/>
                <w:highlight w:val="none"/>
              </w:rPr>
              <w:t>方案设计文件或初步设计文件或者专业工程设计文件</w:t>
            </w:r>
            <w:r>
              <w:rPr>
                <w:rFonts w:hint="eastAsia"/>
                <w:color w:val="auto"/>
                <w:highlight w:val="none"/>
              </w:rPr>
              <w:t>（暗标）</w:t>
            </w:r>
            <w:r>
              <w:rPr>
                <w:rFonts w:hint="eastAsia" w:ascii="宋体" w:hAnsi="宋体" w:cs="宋体"/>
                <w:color w:val="auto"/>
                <w:szCs w:val="21"/>
                <w:highlight w:val="none"/>
              </w:rPr>
              <w:t>；</w:t>
            </w:r>
          </w:p>
          <w:p>
            <w:pPr>
              <w:spacing w:line="288" w:lineRule="auto"/>
              <w:rPr>
                <w:rFonts w:ascii="宋体" w:hAnsi="宋体" w:cs="宋体"/>
                <w:color w:val="auto"/>
                <w:szCs w:val="21"/>
                <w:highlight w:val="none"/>
              </w:rPr>
            </w:pPr>
            <w:r>
              <w:rPr>
                <w:rFonts w:hint="eastAsia" w:ascii="宋体" w:hAnsi="宋体" w:cs="宋体"/>
                <w:color w:val="auto"/>
                <w:szCs w:val="21"/>
                <w:highlight w:val="none"/>
              </w:rPr>
              <w:t>□项目管理组织方案</w:t>
            </w:r>
            <w:r>
              <w:rPr>
                <w:rFonts w:hint="eastAsia"/>
                <w:color w:val="auto"/>
                <w:highlight w:val="none"/>
              </w:rPr>
              <w:t>（暗标）</w:t>
            </w:r>
            <w:r>
              <w:rPr>
                <w:rFonts w:hint="eastAsia" w:ascii="宋体" w:hAnsi="宋体" w:cs="宋体"/>
                <w:color w:val="auto"/>
                <w:szCs w:val="21"/>
                <w:highlight w:val="none"/>
              </w:rPr>
              <w:t>；</w:t>
            </w:r>
          </w:p>
          <w:p>
            <w:pPr>
              <w:spacing w:line="288" w:lineRule="auto"/>
              <w:rPr>
                <w:rFonts w:ascii="宋体" w:hAnsi="宋体" w:cs="宋体"/>
                <w:color w:val="auto"/>
                <w:szCs w:val="21"/>
                <w:highlight w:val="none"/>
              </w:rPr>
            </w:pPr>
            <w:r>
              <w:rPr>
                <w:rFonts w:hint="eastAsia" w:ascii="宋体" w:hAnsi="宋体" w:cs="宋体"/>
                <w:color w:val="auto"/>
                <w:kern w:val="0"/>
                <w:highlight w:val="none"/>
              </w:rPr>
              <w:t>□</w:t>
            </w:r>
            <w:r>
              <w:rPr>
                <w:rFonts w:hint="eastAsia" w:ascii="宋体" w:hAnsi="宋体" w:cs="宋体"/>
                <w:color w:val="auto"/>
                <w:highlight w:val="none"/>
              </w:rPr>
              <w:t>……</w:t>
            </w:r>
          </w:p>
          <w:p>
            <w:pPr>
              <w:spacing w:line="288" w:lineRule="auto"/>
              <w:rPr>
                <w:rFonts w:ascii="宋体" w:hAnsi="宋体" w:cs="宋体"/>
                <w:b/>
                <w:bCs/>
                <w:color w:val="auto"/>
                <w:szCs w:val="21"/>
                <w:highlight w:val="none"/>
              </w:rPr>
            </w:pPr>
            <w:r>
              <w:rPr>
                <w:rFonts w:hint="eastAsia" w:ascii="宋体" w:hAnsi="宋体" w:cs="宋体"/>
                <w:b/>
                <w:bCs/>
                <w:color w:val="auto"/>
                <w:szCs w:val="21"/>
                <w:highlight w:val="none"/>
              </w:rPr>
              <w:t>需从诚信库中获取的材料：</w:t>
            </w:r>
          </w:p>
          <w:p>
            <w:pPr>
              <w:spacing w:line="288" w:lineRule="auto"/>
              <w:rPr>
                <w:rFonts w:ascii="宋体" w:hAnsi="宋体" w:cs="宋体"/>
                <w:color w:val="auto"/>
                <w:kern w:val="0"/>
                <w:highlight w:val="none"/>
              </w:rPr>
            </w:pPr>
            <w:r>
              <w:rPr>
                <w:rFonts w:hint="eastAsia" w:ascii="宋体" w:hAnsi="宋体" w:cs="宋体"/>
                <w:color w:val="auto"/>
                <w:kern w:val="0"/>
                <w:highlight w:val="none"/>
              </w:rPr>
              <w:t>□企业营业执照;</w:t>
            </w:r>
          </w:p>
          <w:p>
            <w:pPr>
              <w:spacing w:line="288" w:lineRule="auto"/>
              <w:rPr>
                <w:rFonts w:ascii="宋体" w:hAnsi="宋体" w:cs="宋体"/>
                <w:color w:val="auto"/>
                <w:kern w:val="0"/>
                <w:highlight w:val="none"/>
              </w:rPr>
            </w:pPr>
            <w:r>
              <w:rPr>
                <w:rFonts w:hint="eastAsia" w:ascii="宋体" w:hAnsi="宋体" w:cs="宋体"/>
                <w:color w:val="auto"/>
                <w:kern w:val="0"/>
                <w:highlight w:val="none"/>
              </w:rPr>
              <w:t>□企业资质证书;</w:t>
            </w:r>
          </w:p>
          <w:p>
            <w:pPr>
              <w:spacing w:line="288" w:lineRule="auto"/>
              <w:rPr>
                <w:rFonts w:ascii="宋体" w:hAnsi="宋体" w:cs="宋体"/>
                <w:color w:val="auto"/>
                <w:kern w:val="0"/>
                <w:highlight w:val="none"/>
              </w:rPr>
            </w:pPr>
            <w:r>
              <w:rPr>
                <w:rFonts w:hint="eastAsia" w:ascii="宋体" w:hAnsi="宋体" w:cs="宋体"/>
                <w:color w:val="auto"/>
                <w:kern w:val="0"/>
                <w:highlight w:val="none"/>
              </w:rPr>
              <w:t>□</w:t>
            </w:r>
            <w:r>
              <w:rPr>
                <w:rFonts w:hint="eastAsia" w:cs="仿宋_GB2312"/>
                <w:color w:val="auto"/>
                <w:kern w:val="0"/>
                <w:highlight w:val="none"/>
              </w:rPr>
              <w:t>企业基本存款账户开户许可证（或基本存款账户证明材料）</w:t>
            </w:r>
            <w:r>
              <w:rPr>
                <w:rFonts w:hint="eastAsia" w:ascii="宋体" w:hAnsi="宋体" w:cs="宋体"/>
                <w:color w:val="auto"/>
                <w:kern w:val="0"/>
                <w:highlight w:val="none"/>
              </w:rPr>
              <w:t>;</w:t>
            </w:r>
          </w:p>
          <w:p>
            <w:pPr>
              <w:spacing w:line="288" w:lineRule="auto"/>
              <w:rPr>
                <w:rFonts w:ascii="宋体" w:hAnsi="宋体" w:cs="宋体"/>
                <w:color w:val="auto"/>
                <w:kern w:val="0"/>
                <w:highlight w:val="none"/>
              </w:rPr>
            </w:pPr>
            <w:r>
              <w:rPr>
                <w:rFonts w:hint="eastAsia" w:ascii="宋体" w:hAnsi="宋体" w:cs="宋体"/>
                <w:color w:val="auto"/>
                <w:kern w:val="0"/>
                <w:highlight w:val="none"/>
              </w:rPr>
              <w:t>□安全生产许可证;</w:t>
            </w:r>
          </w:p>
          <w:p>
            <w:pPr>
              <w:spacing w:line="288" w:lineRule="auto"/>
              <w:rPr>
                <w:rFonts w:ascii="宋体" w:hAnsi="宋体" w:cs="宋体"/>
                <w:color w:val="auto"/>
                <w:kern w:val="0"/>
                <w:highlight w:val="none"/>
              </w:rPr>
            </w:pPr>
            <w:r>
              <w:rPr>
                <w:rFonts w:hint="eastAsia" w:ascii="宋体" w:hAnsi="宋体" w:cs="宋体"/>
                <w:color w:val="auto"/>
                <w:kern w:val="0"/>
                <w:highlight w:val="none"/>
              </w:rPr>
              <w:t>□工程建设类注册执业资格证书或工程建设类高级专业技术职称证书；</w:t>
            </w:r>
          </w:p>
          <w:p>
            <w:pPr>
              <w:pStyle w:val="2"/>
              <w:spacing w:before="0"/>
              <w:ind w:firstLine="0" w:firstLineChars="0"/>
              <w:rPr>
                <w:rFonts w:hint="eastAsia" w:ascii="宋体" w:hAnsi="宋体" w:cs="宋体"/>
                <w:color w:val="auto"/>
                <w:highlight w:val="none"/>
              </w:rPr>
            </w:pPr>
            <w:r>
              <w:rPr>
                <w:rFonts w:hint="eastAsia" w:ascii="宋体" w:hAnsi="宋体" w:cs="宋体"/>
                <w:color w:val="auto"/>
                <w:kern w:val="0"/>
                <w:highlight w:val="none"/>
              </w:rPr>
              <w:t>□工程建设类注册执业资格证书或职称证书</w:t>
            </w:r>
            <w:r>
              <w:rPr>
                <w:rFonts w:hint="eastAsia" w:ascii="宋体" w:hAnsi="宋体" w:cs="宋体"/>
                <w:color w:val="auto"/>
                <w:highlight w:val="none"/>
              </w:rPr>
              <w:t>（</w:t>
            </w:r>
            <w:r>
              <w:rPr>
                <w:rFonts w:hint="eastAsia"/>
                <w:color w:val="auto"/>
                <w:highlight w:val="none"/>
              </w:rPr>
              <w:t>用于项目管理机构加分的相关证书电子扫描件可不从诚信库中获取</w:t>
            </w:r>
            <w:r>
              <w:rPr>
                <w:rFonts w:hint="eastAsia" w:ascii="宋体" w:hAnsi="宋体" w:cs="宋体"/>
                <w:color w:val="auto"/>
                <w:highlight w:val="none"/>
              </w:rPr>
              <w:t>）；</w:t>
            </w:r>
          </w:p>
          <w:p>
            <w:pPr>
              <w:pStyle w:val="2"/>
              <w:spacing w:before="0"/>
              <w:ind w:firstLine="0" w:firstLineChars="0"/>
              <w:rPr>
                <w:rFonts w:hint="eastAsia" w:ascii="宋体" w:hAnsi="宋体" w:cs="宋体"/>
                <w:color w:val="auto"/>
                <w:highlight w:val="none"/>
              </w:rPr>
            </w:pPr>
            <w:r>
              <w:rPr>
                <w:rFonts w:hint="eastAsia" w:ascii="宋体" w:hAnsi="宋体" w:cs="宋体"/>
                <w:color w:val="auto"/>
                <w:kern w:val="0"/>
                <w:highlight w:val="none"/>
              </w:rPr>
              <w:t>□</w:t>
            </w:r>
            <w:r>
              <w:rPr>
                <w:rFonts w:hint="eastAsia" w:ascii="宋体" w:hAnsi="宋体" w:cs="宋体"/>
                <w:color w:val="auto"/>
                <w:szCs w:val="21"/>
                <w:highlight w:val="none"/>
              </w:rPr>
              <w:t>安全生产考核合格证书(B证)</w:t>
            </w:r>
            <w:r>
              <w:rPr>
                <w:rFonts w:hint="eastAsia" w:ascii="宋体" w:hAnsi="宋体" w:cs="宋体"/>
                <w:color w:val="auto"/>
                <w:kern w:val="0"/>
                <w:highlight w:val="none"/>
              </w:rPr>
              <w:t>；</w:t>
            </w:r>
          </w:p>
          <w:p>
            <w:pPr>
              <w:spacing w:line="288" w:lineRule="auto"/>
              <w:rPr>
                <w:rFonts w:ascii="宋体" w:hAnsi="宋体" w:cs="宋体"/>
                <w:color w:val="auto"/>
                <w:highlight w:val="none"/>
              </w:rPr>
            </w:pPr>
            <w:r>
              <w:rPr>
                <w:rFonts w:hint="eastAsia" w:ascii="宋体" w:hAnsi="宋体" w:cs="宋体"/>
                <w:color w:val="auto"/>
                <w:kern w:val="0"/>
                <w:highlight w:val="none"/>
              </w:rPr>
              <w:t>□</w:t>
            </w:r>
            <w:r>
              <w:rPr>
                <w:rFonts w:hint="eastAsia" w:ascii="宋体" w:hAnsi="宋体" w:cs="宋体"/>
                <w:color w:val="auto"/>
                <w:highlight w:val="none"/>
                <w:lang w:val="en-US" w:eastAsia="zh-CN"/>
              </w:rPr>
              <w:t>业绩</w:t>
            </w:r>
            <w:r>
              <w:rPr>
                <w:rFonts w:hint="eastAsia"/>
                <w:color w:val="auto"/>
                <w:highlight w:val="none"/>
              </w:rPr>
              <w:t>证明材料</w:t>
            </w:r>
            <w:r>
              <w:rPr>
                <w:rFonts w:hint="eastAsia" w:ascii="宋体" w:hAnsi="宋体" w:cs="宋体"/>
                <w:color w:val="auto"/>
                <w:szCs w:val="21"/>
                <w:highlight w:val="none"/>
              </w:rPr>
              <w:t>（</w:t>
            </w:r>
            <w:r>
              <w:rPr>
                <w:rFonts w:hint="eastAsia"/>
                <w:color w:val="auto"/>
                <w:highlight w:val="none"/>
              </w:rPr>
              <w:t>详见招标文件第二章投标人须知前附表 10.5 条规定</w:t>
            </w:r>
            <w:r>
              <w:rPr>
                <w:rFonts w:hint="eastAsia" w:ascii="宋体" w:hAnsi="宋体" w:cs="宋体"/>
                <w:color w:val="auto"/>
                <w:szCs w:val="21"/>
                <w:highlight w:val="none"/>
              </w:rPr>
              <w:t>）</w:t>
            </w:r>
            <w:r>
              <w:rPr>
                <w:rFonts w:hint="eastAsia" w:ascii="宋体" w:hAnsi="宋体" w:cs="宋体"/>
                <w:color w:val="auto"/>
                <w:highlight w:val="none"/>
              </w:rPr>
              <w:t>;</w:t>
            </w:r>
          </w:p>
          <w:p>
            <w:pPr>
              <w:spacing w:line="288" w:lineRule="auto"/>
              <w:rPr>
                <w:rFonts w:ascii="宋体" w:hAnsi="宋体" w:cs="宋体"/>
                <w:color w:val="auto"/>
                <w:highlight w:val="none"/>
              </w:rPr>
            </w:pPr>
            <w:r>
              <w:rPr>
                <w:rFonts w:hint="eastAsia" w:ascii="宋体" w:hAnsi="宋体" w:cs="宋体"/>
                <w:color w:val="auto"/>
                <w:kern w:val="0"/>
                <w:highlight w:val="none"/>
              </w:rPr>
              <w:t>□</w:t>
            </w:r>
            <w:r>
              <w:rPr>
                <w:rFonts w:hint="eastAsia" w:ascii="宋体" w:hAnsi="宋体" w:cs="宋体"/>
                <w:color w:val="auto"/>
                <w:highlight w:val="none"/>
              </w:rPr>
              <w:t>……</w:t>
            </w:r>
          </w:p>
          <w:p>
            <w:pPr>
              <w:spacing w:line="288" w:lineRule="auto"/>
              <w:rPr>
                <w:rFonts w:ascii="宋体" w:hAnsi="宋体" w:cs="宋体"/>
                <w:b/>
                <w:bCs/>
                <w:color w:val="auto"/>
                <w:szCs w:val="21"/>
                <w:highlight w:val="none"/>
              </w:rPr>
            </w:pPr>
            <w:r>
              <w:rPr>
                <w:rFonts w:hint="eastAsia" w:ascii="宋体" w:hAnsi="宋体" w:cs="宋体"/>
                <w:b/>
                <w:bCs/>
                <w:color w:val="auto"/>
                <w:szCs w:val="21"/>
                <w:highlight w:val="none"/>
              </w:rPr>
              <w:t>需提供扫描件的材料：</w:t>
            </w:r>
          </w:p>
          <w:p>
            <w:pPr>
              <w:spacing w:line="288" w:lineRule="auto"/>
              <w:rPr>
                <w:rFonts w:ascii="宋体" w:hAnsi="宋体" w:cs="宋体"/>
                <w:color w:val="auto"/>
                <w:szCs w:val="21"/>
                <w:highlight w:val="none"/>
              </w:rPr>
            </w:pPr>
            <w:r>
              <w:rPr>
                <w:rFonts w:hint="eastAsia" w:ascii="宋体" w:hAnsi="宋体" w:cs="宋体"/>
                <w:color w:val="auto"/>
                <w:kern w:val="0"/>
                <w:highlight w:val="none"/>
              </w:rPr>
              <w:t>□</w:t>
            </w:r>
            <w:r>
              <w:rPr>
                <w:rFonts w:hint="eastAsia" w:ascii="宋体" w:hAnsi="宋体" w:cs="宋体"/>
                <w:color w:val="auto"/>
                <w:highlight w:val="none"/>
              </w:rPr>
              <w:t>投标保证金缴纳凭证;</w:t>
            </w:r>
          </w:p>
          <w:p>
            <w:pPr>
              <w:spacing w:line="288" w:lineRule="auto"/>
              <w:rPr>
                <w:rFonts w:ascii="宋体" w:hAnsi="宋体" w:cs="宋体"/>
                <w:color w:val="auto"/>
                <w:highlight w:val="none"/>
              </w:rPr>
            </w:pPr>
            <w:r>
              <w:rPr>
                <w:rFonts w:hint="eastAsia" w:ascii="宋体" w:hAnsi="宋体" w:cs="宋体"/>
                <w:color w:val="auto"/>
                <w:kern w:val="0"/>
                <w:highlight w:val="none"/>
              </w:rPr>
              <w:t>□</w:t>
            </w:r>
            <w:r>
              <w:rPr>
                <w:rFonts w:hint="eastAsia" w:ascii="宋体" w:hAnsi="宋体" w:cs="宋体"/>
                <w:color w:val="auto"/>
                <w:highlight w:val="none"/>
              </w:rPr>
              <w:t>会计师事务所审计的财务审计报告和财务报表</w:t>
            </w:r>
            <w:r>
              <w:rPr>
                <w:rFonts w:hint="eastAsia" w:ascii="宋体" w:hAnsi="宋体" w:cs="宋体"/>
                <w:color w:val="auto"/>
                <w:szCs w:val="21"/>
                <w:highlight w:val="none"/>
              </w:rPr>
              <w:t>（</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年-年）</w:t>
            </w:r>
            <w:r>
              <w:rPr>
                <w:rFonts w:hint="eastAsia" w:ascii="宋体" w:hAnsi="宋体" w:cs="宋体"/>
                <w:color w:val="auto"/>
                <w:highlight w:val="none"/>
              </w:rPr>
              <w:t>;</w:t>
            </w:r>
          </w:p>
          <w:p>
            <w:pPr>
              <w:spacing w:line="288" w:lineRule="auto"/>
              <w:rPr>
                <w:rFonts w:hint="eastAsia" w:ascii="宋体" w:hAnsi="宋体" w:eastAsia="宋体"/>
                <w:color w:val="auto"/>
                <w:sz w:val="21"/>
                <w:highlight w:val="none"/>
              </w:rPr>
            </w:pPr>
            <w:r>
              <w:rPr>
                <w:rFonts w:hint="eastAsia" w:ascii="宋体" w:hAnsi="宋体" w:cs="宋体"/>
                <w:color w:val="auto"/>
                <w:kern w:val="0"/>
                <w:highlight w:val="none"/>
              </w:rPr>
              <w:t>□</w:t>
            </w:r>
            <w:r>
              <w:rPr>
                <w:rFonts w:hint="eastAsia"/>
                <w:color w:val="auto"/>
                <w:highlight w:val="none"/>
              </w:rPr>
              <w:t>养老保险缴费证明（时间要求：</w:t>
            </w:r>
            <w:r>
              <w:rPr>
                <w:rFonts w:hint="eastAsia"/>
                <w:color w:val="auto"/>
                <w:highlight w:val="none"/>
                <w:u w:val="single"/>
                <w:lang w:val="en-US" w:eastAsia="zh-CN"/>
              </w:rPr>
              <w:t xml:space="preserve">  </w:t>
            </w:r>
            <w:r>
              <w:rPr>
                <w:rFonts w:hint="eastAsia"/>
                <w:color w:val="auto"/>
                <w:highlight w:val="none"/>
              </w:rPr>
              <w:t>年</w:t>
            </w:r>
            <w:r>
              <w:rPr>
                <w:rFonts w:hint="eastAsia"/>
                <w:color w:val="auto"/>
                <w:highlight w:val="none"/>
                <w:u w:val="single"/>
              </w:rPr>
              <w:t xml:space="preserve"> </w:t>
            </w:r>
            <w:r>
              <w:rPr>
                <w:rFonts w:hint="eastAsia"/>
                <w:color w:val="auto"/>
                <w:highlight w:val="none"/>
                <w:u w:val="single"/>
                <w:lang w:val="en-US" w:eastAsia="zh-CN"/>
              </w:rPr>
              <w:t xml:space="preserve">  </w:t>
            </w:r>
            <w:r>
              <w:rPr>
                <w:rFonts w:hint="eastAsia"/>
                <w:color w:val="auto"/>
                <w:highlight w:val="none"/>
              </w:rPr>
              <w:t>月-</w:t>
            </w:r>
            <w:r>
              <w:rPr>
                <w:rFonts w:hint="eastAsia"/>
                <w:color w:val="auto"/>
                <w:highlight w:val="none"/>
                <w:u w:val="single"/>
                <w:lang w:val="en-US" w:eastAsia="zh-CN"/>
              </w:rPr>
              <w:t xml:space="preserve">  </w:t>
            </w:r>
            <w:r>
              <w:rPr>
                <w:rFonts w:hint="eastAsia"/>
                <w:color w:val="auto"/>
                <w:highlight w:val="none"/>
                <w:u w:val="single"/>
              </w:rPr>
              <w:t xml:space="preserve"> </w:t>
            </w:r>
            <w:r>
              <w:rPr>
                <w:rFonts w:hint="eastAsia"/>
                <w:color w:val="auto"/>
                <w:highlight w:val="none"/>
              </w:rPr>
              <w:t>年</w:t>
            </w:r>
            <w:r>
              <w:rPr>
                <w:rFonts w:hint="eastAsia"/>
                <w:color w:val="auto"/>
                <w:highlight w:val="none"/>
                <w:u w:val="single"/>
                <w:lang w:val="en-US" w:eastAsia="zh-CN"/>
              </w:rPr>
              <w:t xml:space="preserve"> </w:t>
            </w:r>
            <w:r>
              <w:rPr>
                <w:rFonts w:hint="eastAsia"/>
                <w:color w:val="auto"/>
                <w:highlight w:val="none"/>
                <w:u w:val="single"/>
              </w:rPr>
              <w:t xml:space="preserve"> </w:t>
            </w:r>
            <w:r>
              <w:rPr>
                <w:rFonts w:hint="eastAsia"/>
                <w:color w:val="auto"/>
                <w:highlight w:val="none"/>
              </w:rPr>
              <w:t>月，其他要求：应载明缴费单位名称、姓名、缴费时间，并盖有社保中心章或社保中心参保缴费证明电子专用章，不能提供养老保险缴纳证明的高等院校、科研机构、军事管理、事业单位等的人员、须由所在单位上级人事主管部门提供相应的证明材料。如果投标人采用联合体形式参加投标的，由联合体各成员按上述要求分别提供）</w:t>
            </w:r>
            <w:r>
              <w:rPr>
                <w:rFonts w:hint="eastAsia" w:ascii="宋体" w:hAnsi="宋体" w:cs="宋体"/>
                <w:color w:val="auto"/>
                <w:kern w:val="0"/>
                <w:highlight w:val="none"/>
                <w:lang w:eastAsia="zh-CN"/>
              </w:rPr>
              <w:t>；</w:t>
            </w:r>
          </w:p>
          <w:p>
            <w:pPr>
              <w:spacing w:line="288" w:lineRule="auto"/>
              <w:rPr>
                <w:rFonts w:ascii="宋体" w:hAnsi="宋体" w:cs="宋体"/>
                <w:color w:val="auto"/>
                <w:highlight w:val="none"/>
              </w:rPr>
            </w:pPr>
            <w:r>
              <w:rPr>
                <w:rFonts w:hint="eastAsia" w:ascii="宋体" w:hAnsi="宋体" w:cs="宋体"/>
                <w:color w:val="auto"/>
                <w:kern w:val="0"/>
                <w:highlight w:val="none"/>
              </w:rPr>
              <w:t>□</w:t>
            </w:r>
            <w:r>
              <w:rPr>
                <w:rFonts w:hint="eastAsia"/>
                <w:bCs/>
                <w:color w:val="auto"/>
                <w:highlight w:val="none"/>
              </w:rPr>
              <w:t>企业业绩、工程总承包项目经理业绩的“其它辅助证明材料（详见招标文件第二章投标人须知前附表 10.6 条规定）（如有）”</w:t>
            </w:r>
          </w:p>
          <w:p>
            <w:pPr>
              <w:spacing w:line="288" w:lineRule="auto"/>
              <w:rPr>
                <w:rFonts w:hint="eastAsia" w:ascii="宋体" w:hAnsi="宋体" w:eastAsia="宋体" w:cs="宋体"/>
                <w:color w:val="auto"/>
                <w:kern w:val="0"/>
                <w:highlight w:val="none"/>
                <w:lang w:eastAsia="zh-CN"/>
              </w:rPr>
            </w:pPr>
            <w:r>
              <w:rPr>
                <w:rFonts w:hint="eastAsia" w:ascii="宋体" w:hAnsi="宋体" w:cs="宋体"/>
                <w:color w:val="auto"/>
                <w:kern w:val="0"/>
                <w:highlight w:val="none"/>
              </w:rPr>
              <w:t>□</w:t>
            </w:r>
            <w:r>
              <w:rPr>
                <w:rFonts w:hint="eastAsia" w:ascii="宋体" w:hAnsi="宋体" w:cs="宋体"/>
                <w:color w:val="auto"/>
                <w:kern w:val="0"/>
                <w:highlight w:val="none"/>
                <w:lang w:val="en-US" w:eastAsia="zh-CN"/>
              </w:rPr>
              <w:t>诚信</w:t>
            </w:r>
            <w:r>
              <w:rPr>
                <w:rFonts w:hint="eastAsia" w:ascii="宋体" w:hAnsi="宋体" w:cs="宋体"/>
                <w:color w:val="auto"/>
                <w:kern w:val="0"/>
                <w:highlight w:val="none"/>
              </w:rPr>
              <w:t>投标承诺书</w:t>
            </w:r>
          </w:p>
          <w:p>
            <w:pPr>
              <w:spacing w:line="288" w:lineRule="auto"/>
              <w:rPr>
                <w:rFonts w:hint="eastAsia" w:ascii="宋体" w:hAnsi="宋体" w:cs="宋体"/>
                <w:color w:val="auto"/>
                <w:kern w:val="0"/>
                <w:highlight w:val="none"/>
                <w:lang w:eastAsia="zh-CN"/>
              </w:rPr>
            </w:pPr>
            <w:r>
              <w:rPr>
                <w:rFonts w:hint="eastAsia" w:ascii="宋体" w:hAnsi="宋体" w:cs="宋体"/>
                <w:color w:val="auto"/>
                <w:kern w:val="0"/>
                <w:highlight w:val="none"/>
              </w:rPr>
              <w:t>□</w:t>
            </w:r>
            <w:r>
              <w:rPr>
                <w:rFonts w:hint="eastAsia"/>
                <w:color w:val="auto"/>
                <w:highlight w:val="none"/>
              </w:rPr>
              <w:t>用于项目管理机构加分的相关证书（如有）</w:t>
            </w:r>
          </w:p>
          <w:p>
            <w:pPr>
              <w:spacing w:line="288" w:lineRule="auto"/>
              <w:rPr>
                <w:rFonts w:hint="eastAsia" w:ascii="宋体" w:hAnsi="宋体" w:cs="宋体"/>
                <w:lang w:val="en-US" w:eastAsia="zh-CN"/>
              </w:rPr>
            </w:pPr>
            <w:r>
              <w:rPr>
                <w:rFonts w:ascii="宋体" w:hAnsi="宋体"/>
                <w:kern w:val="0"/>
              </w:rPr>
              <w:t>□</w:t>
            </w:r>
            <w:r>
              <w:rPr>
                <w:rFonts w:hint="eastAsia"/>
                <w:color w:val="auto"/>
                <w:kern w:val="0"/>
                <w:highlight w:val="none"/>
              </w:rPr>
              <w:t>工程总承包项目经理类似工程业绩</w:t>
            </w:r>
            <w:r>
              <w:rPr>
                <w:rFonts w:hint="eastAsia" w:ascii="宋体" w:hAnsi="宋体" w:cs="宋体"/>
                <w:lang w:val="en-US" w:eastAsia="zh-CN"/>
              </w:rPr>
              <w:t>负责人变更证明（如有）；</w:t>
            </w:r>
          </w:p>
          <w:p>
            <w:pPr>
              <w:spacing w:line="288" w:lineRule="auto"/>
              <w:rPr>
                <w:rFonts w:ascii="宋体" w:hAnsi="宋体" w:cs="宋体"/>
                <w:color w:val="auto"/>
                <w:kern w:val="0"/>
                <w:highlight w:val="none"/>
              </w:rPr>
            </w:pPr>
            <w:r>
              <w:rPr>
                <w:rFonts w:hint="eastAsia" w:ascii="宋体" w:hAnsi="宋体" w:cs="宋体"/>
                <w:color w:val="auto"/>
                <w:kern w:val="0"/>
                <w:highlight w:val="none"/>
              </w:rPr>
              <w:t>□</w:t>
            </w:r>
            <w:r>
              <w:rPr>
                <w:rFonts w:hint="eastAsia"/>
                <w:color w:val="auto"/>
                <w:highlight w:val="none"/>
              </w:rPr>
              <w:t>投标人认为需要提供的其他材料</w:t>
            </w:r>
            <w:r>
              <w:rPr>
                <w:rFonts w:ascii="宋体" w:hAnsi="宋体" w:cs="宋体"/>
                <w:color w:val="auto"/>
                <w:spacing w:val="-5"/>
                <w:szCs w:val="21"/>
                <w:highlight w:val="none"/>
              </w:rPr>
              <w:t>（如有）</w:t>
            </w:r>
            <w:r>
              <w:rPr>
                <w:rFonts w:hint="eastAsia" w:ascii="宋体" w:hAnsi="宋体" w:cs="宋体"/>
                <w:color w:val="auto"/>
                <w:spacing w:val="-5"/>
                <w:szCs w:val="21"/>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jc w:val="center"/>
              <w:rPr>
                <w:rFonts w:ascii="宋体" w:hAnsi="宋体" w:cs="宋体"/>
                <w:color w:val="auto"/>
                <w:szCs w:val="21"/>
                <w:highlight w:val="none"/>
              </w:rPr>
            </w:pPr>
            <w:r>
              <w:rPr>
                <w:rFonts w:ascii="宋体" w:hAnsi="宋体" w:cs="宋体"/>
                <w:color w:val="auto"/>
                <w:szCs w:val="21"/>
                <w:highlight w:val="none"/>
              </w:rPr>
              <w:t>3.2.</w:t>
            </w:r>
            <w:r>
              <w:rPr>
                <w:rFonts w:hint="eastAsia" w:ascii="宋体" w:hAnsi="宋体" w:cs="宋体"/>
                <w:color w:val="auto"/>
                <w:szCs w:val="21"/>
                <w:highlight w:val="none"/>
                <w:lang w:val="en-US" w:eastAsia="zh-CN"/>
              </w:rPr>
              <w:t>5</w:t>
            </w:r>
          </w:p>
        </w:tc>
        <w:tc>
          <w:tcPr>
            <w:tcW w:w="2463"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投标报价的其他要求</w:t>
            </w:r>
          </w:p>
        </w:tc>
        <w:tc>
          <w:tcPr>
            <w:tcW w:w="5274" w:type="dxa"/>
            <w:vAlign w:val="center"/>
          </w:tcPr>
          <w:p>
            <w:pPr>
              <w:adjustRightInd w:val="0"/>
              <w:snapToGrid w:val="0"/>
              <w:spacing w:line="288" w:lineRule="auto"/>
              <w:rPr>
                <w:rFonts w:ascii="宋体" w:hAnsi="宋体" w:cs="宋体"/>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62"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3.2.6</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合同价格形式</w:t>
            </w:r>
          </w:p>
        </w:tc>
        <w:tc>
          <w:tcPr>
            <w:tcW w:w="5274" w:type="dxa"/>
            <w:vAlign w:val="center"/>
          </w:tcPr>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 xml:space="preserve">□固定总价合同  </w:t>
            </w:r>
          </w:p>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rPr>
              <w:t>□其他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8"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ascii="宋体" w:hAnsi="宋体" w:cs="宋体"/>
                <w:color w:val="auto"/>
                <w:szCs w:val="21"/>
                <w:highlight w:val="none"/>
              </w:rPr>
              <w:t>3.3.1</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投标有效期</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rPr>
              <w:t xml:space="preserve">投标截止日后 </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日历天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13"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3.4.1</w:t>
            </w:r>
          </w:p>
        </w:tc>
        <w:tc>
          <w:tcPr>
            <w:tcW w:w="2463" w:type="dxa"/>
            <w:tcBorders>
              <w:bottom w:val="single" w:color="auto" w:sz="4" w:space="0"/>
            </w:tcBorders>
            <w:vAlign w:val="center"/>
          </w:tcPr>
          <w:p>
            <w:pPr>
              <w:adjustRightInd w:val="0"/>
              <w:snapToGrid w:val="0"/>
              <w:spacing w:line="400" w:lineRule="exact"/>
              <w:jc w:val="center"/>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投标保证金</w:t>
            </w:r>
            <w:r>
              <w:rPr>
                <w:rFonts w:hint="eastAsia" w:ascii="宋体" w:hAnsi="宋体" w:cs="宋体"/>
                <w:color w:val="auto"/>
                <w:szCs w:val="21"/>
                <w:highlight w:val="none"/>
                <w:lang w:eastAsia="zh-CN"/>
              </w:rPr>
              <w:t>提交</w:t>
            </w:r>
          </w:p>
        </w:tc>
        <w:tc>
          <w:tcPr>
            <w:tcW w:w="5274" w:type="dxa"/>
            <w:vAlign w:val="center"/>
          </w:tcPr>
          <w:p>
            <w:pPr>
              <w:keepNext w:val="0"/>
              <w:keepLines w:val="0"/>
              <w:pageBreakBefore w:val="0"/>
              <w:widowControl w:val="0"/>
              <w:kinsoku/>
              <w:wordWrap/>
              <w:overflowPunct/>
              <w:topLinePunct w:val="0"/>
              <w:autoSpaceDE/>
              <w:autoSpaceDN/>
              <w:bidi w:val="0"/>
              <w:spacing w:line="288" w:lineRule="auto"/>
              <w:textAlignment w:val="auto"/>
              <w:outlineLvl w:val="9"/>
              <w:rPr>
                <w:rFonts w:hint="eastAsia" w:ascii="宋体" w:hAnsi="宋体" w:cs="宋体"/>
                <w:color w:val="auto"/>
                <w:szCs w:val="21"/>
                <w:highlight w:val="none"/>
                <w:lang w:val="en-US" w:eastAsia="zh-CN"/>
              </w:rPr>
            </w:pPr>
            <w:r>
              <w:rPr>
                <w:rFonts w:hint="eastAsia" w:ascii="宋体" w:hAnsi="宋体" w:cs="宋体"/>
                <w:color w:val="auto"/>
                <w:szCs w:val="21"/>
                <w:highlight w:val="none"/>
                <w:lang w:val="en-US" w:eastAsia="zh-CN"/>
              </w:rPr>
              <w:t>是否要求投标人提交投标保证金：</w:t>
            </w:r>
          </w:p>
          <w:p>
            <w:pPr>
              <w:keepNext w:val="0"/>
              <w:keepLines w:val="0"/>
              <w:pageBreakBefore w:val="0"/>
              <w:widowControl w:val="0"/>
              <w:kinsoku/>
              <w:wordWrap/>
              <w:overflowPunct/>
              <w:topLinePunct w:val="0"/>
              <w:autoSpaceDE/>
              <w:autoSpaceDN/>
              <w:bidi w:val="0"/>
              <w:adjustRightInd w:val="0"/>
              <w:snapToGrid w:val="0"/>
              <w:spacing w:before="157" w:beforeLines="50" w:line="288" w:lineRule="auto"/>
              <w:textAlignment w:val="auto"/>
              <w:outlineLvl w:val="9"/>
              <w:rPr>
                <w:rFonts w:hint="default" w:ascii="宋体" w:hAnsi="宋体" w:eastAsia="宋体" w:cs="宋体"/>
                <w:color w:val="auto"/>
                <w:szCs w:val="21"/>
                <w:highlight w:val="none"/>
                <w:u w:val="none"/>
                <w:lang w:val="en-US" w:eastAsia="zh-CN"/>
              </w:rPr>
            </w:pPr>
            <w:r>
              <w:rPr>
                <w:rFonts w:hint="eastAsia" w:ascii="宋体" w:hAnsi="宋体" w:cs="宋体"/>
                <w:color w:val="auto"/>
                <w:szCs w:val="21"/>
                <w:highlight w:val="none"/>
                <w:u w:val="none"/>
              </w:rPr>
              <w:t>□</w:t>
            </w:r>
            <w:r>
              <w:rPr>
                <w:rFonts w:hint="eastAsia" w:ascii="宋体" w:hAnsi="宋体" w:cs="宋体"/>
                <w:color w:val="auto"/>
                <w:szCs w:val="21"/>
                <w:highlight w:val="none"/>
                <w:u w:val="none"/>
                <w:lang w:val="en-US" w:eastAsia="zh-CN"/>
              </w:rPr>
              <w:t>不要求</w:t>
            </w:r>
            <w:r>
              <w:rPr>
                <w:rFonts w:hint="eastAsia" w:ascii="宋体" w:hAnsi="宋体" w:cs="宋体"/>
                <w:szCs w:val="21"/>
                <w:lang w:eastAsia="zh-CN"/>
              </w:rPr>
              <w:t>（</w:t>
            </w:r>
            <w:r>
              <w:rPr>
                <w:rFonts w:hint="eastAsia" w:ascii="宋体" w:hAnsi="宋体" w:cs="宋体"/>
                <w:szCs w:val="21"/>
                <w:lang w:val="en-US" w:eastAsia="zh-CN"/>
              </w:rPr>
              <w:t>采用信用承诺制</w:t>
            </w:r>
            <w:r>
              <w:rPr>
                <w:rFonts w:hint="eastAsia" w:ascii="宋体" w:hAnsi="宋体" w:cs="宋体"/>
                <w:szCs w:val="21"/>
                <w:lang w:eastAsia="zh-CN"/>
              </w:rPr>
              <w:t>）</w:t>
            </w:r>
          </w:p>
          <w:p>
            <w:pPr>
              <w:adjustRightInd w:val="0"/>
              <w:snapToGrid w:val="0"/>
              <w:spacing w:before="157" w:beforeLines="50" w:line="288" w:lineRule="auto"/>
              <w:outlineLvl w:val="9"/>
              <w:rPr>
                <w:rFonts w:hint="eastAsia" w:ascii="宋体" w:hAnsi="宋体" w:cs="Arial"/>
                <w:color w:val="auto"/>
                <w:szCs w:val="21"/>
                <w:highlight w:val="none"/>
              </w:rPr>
            </w:pPr>
            <w:r>
              <w:rPr>
                <w:rFonts w:hint="eastAsia" w:ascii="宋体" w:hAnsi="宋体" w:cs="宋体"/>
                <w:color w:val="auto"/>
                <w:szCs w:val="21"/>
                <w:highlight w:val="none"/>
                <w:u w:val="none"/>
              </w:rPr>
              <w:t>□</w:t>
            </w:r>
            <w:r>
              <w:rPr>
                <w:rFonts w:hint="eastAsia" w:ascii="宋体" w:hAnsi="宋体" w:cs="宋体"/>
                <w:color w:val="auto"/>
                <w:szCs w:val="21"/>
                <w:highlight w:val="none"/>
                <w:u w:val="none"/>
                <w:lang w:val="en-US" w:eastAsia="zh-CN"/>
              </w:rPr>
              <w:t>要求，</w:t>
            </w:r>
            <w:r>
              <w:rPr>
                <w:rFonts w:hint="eastAsia" w:ascii="宋体" w:hAnsi="宋体" w:cs="Arial"/>
                <w:color w:val="auto"/>
                <w:szCs w:val="21"/>
                <w:highlight w:val="none"/>
              </w:rPr>
              <w:t>投标保证金的形式：</w:t>
            </w:r>
          </w:p>
          <w:p>
            <w:pPr>
              <w:adjustRightInd w:val="0"/>
              <w:snapToGrid w:val="0"/>
              <w:spacing w:before="157" w:beforeLines="50" w:line="288" w:lineRule="auto"/>
              <w:ind w:firstLine="2310" w:firstLineChars="1100"/>
              <w:outlineLvl w:val="9"/>
              <w:rPr>
                <w:rFonts w:hint="eastAsia" w:ascii="宋体" w:cs="Arial"/>
                <w:color w:val="auto"/>
                <w:szCs w:val="21"/>
                <w:highlight w:val="none"/>
              </w:rPr>
            </w:pPr>
            <w:r>
              <w:rPr>
                <w:rFonts w:hint="eastAsia"/>
                <w:color w:val="auto"/>
                <w:szCs w:val="21"/>
                <w:highlight w:val="none"/>
              </w:rPr>
              <w:t>□</w:t>
            </w:r>
            <w:r>
              <w:rPr>
                <w:rFonts w:hint="eastAsia" w:ascii="宋体" w:hAnsi="宋体"/>
                <w:color w:val="auto"/>
                <w:szCs w:val="21"/>
                <w:highlight w:val="none"/>
              </w:rPr>
              <w:t>银行电汇或网上银行支付</w:t>
            </w:r>
            <w:r>
              <w:rPr>
                <w:rFonts w:hint="eastAsia" w:ascii="宋体" w:cs="Arial"/>
                <w:color w:val="auto"/>
                <w:szCs w:val="21"/>
                <w:highlight w:val="none"/>
              </w:rPr>
              <w:t xml:space="preserve">   </w:t>
            </w:r>
          </w:p>
          <w:p>
            <w:pPr>
              <w:spacing w:line="288" w:lineRule="auto"/>
              <w:ind w:firstLine="2310" w:firstLineChars="1100"/>
              <w:rPr>
                <w:rFonts w:hint="eastAsia" w:ascii="宋体" w:hAnsi="宋体" w:cs="MingLiU"/>
                <w:color w:val="auto"/>
                <w:kern w:val="0"/>
                <w:szCs w:val="21"/>
                <w:highlight w:val="none"/>
              </w:rPr>
            </w:pPr>
            <w:r>
              <w:rPr>
                <w:rFonts w:hint="eastAsia"/>
                <w:color w:val="auto"/>
                <w:szCs w:val="21"/>
                <w:highlight w:val="none"/>
              </w:rPr>
              <w:t>□</w:t>
            </w:r>
            <w:r>
              <w:rPr>
                <w:rFonts w:hint="eastAsia" w:ascii="宋体" w:hAnsi="宋体" w:cs="MingLiU"/>
                <w:color w:val="auto"/>
                <w:kern w:val="0"/>
                <w:szCs w:val="21"/>
                <w:highlight w:val="none"/>
              </w:rPr>
              <w:t>保函</w:t>
            </w:r>
          </w:p>
          <w:p>
            <w:pPr>
              <w:spacing w:line="288" w:lineRule="auto"/>
              <w:ind w:firstLine="2310" w:firstLineChars="1100"/>
              <w:rPr>
                <w:rFonts w:hint="eastAsia"/>
                <w:color w:val="auto"/>
                <w:szCs w:val="21"/>
                <w:highlight w:val="none"/>
              </w:rPr>
            </w:pPr>
            <w:r>
              <w:rPr>
                <w:rFonts w:hint="eastAsia"/>
                <w:color w:val="auto"/>
                <w:szCs w:val="21"/>
                <w:highlight w:val="none"/>
              </w:rPr>
              <w:t>□支票</w:t>
            </w:r>
          </w:p>
          <w:p>
            <w:pPr>
              <w:keepNext w:val="0"/>
              <w:keepLines w:val="0"/>
              <w:pageBreakBefore w:val="0"/>
              <w:widowControl w:val="0"/>
              <w:kinsoku/>
              <w:wordWrap/>
              <w:overflowPunct/>
              <w:topLinePunct w:val="0"/>
              <w:autoSpaceDE/>
              <w:autoSpaceDN/>
              <w:bidi w:val="0"/>
              <w:spacing w:line="288" w:lineRule="auto"/>
              <w:ind w:firstLine="2310" w:firstLineChars="1100"/>
              <w:textAlignment w:val="auto"/>
              <w:outlineLvl w:val="9"/>
              <w:rPr>
                <w:rFonts w:hint="default" w:ascii="宋体" w:hAnsi="宋体" w:eastAsia="宋体" w:cs="Arial"/>
                <w:color w:val="auto"/>
                <w:szCs w:val="21"/>
                <w:highlight w:val="none"/>
                <w:lang w:val="en-US" w:eastAsia="zh-CN"/>
              </w:rPr>
            </w:pPr>
            <w:r>
              <w:rPr>
                <w:rFonts w:hint="eastAsia" w:ascii="宋体" w:hAnsi="宋体" w:cs="Arial"/>
                <w:color w:val="auto"/>
                <w:szCs w:val="21"/>
                <w:highlight w:val="none"/>
              </w:rPr>
              <w:t>□</w:t>
            </w:r>
            <w:r>
              <w:rPr>
                <w:rFonts w:hint="eastAsia" w:ascii="宋体" w:hAnsi="宋体" w:cs="Arial"/>
                <w:color w:val="auto"/>
                <w:szCs w:val="21"/>
                <w:highlight w:val="none"/>
                <w:lang w:val="en-US" w:eastAsia="zh-CN"/>
              </w:rPr>
              <w:t>其他：</w:t>
            </w:r>
            <w:r>
              <w:rPr>
                <w:rFonts w:hint="eastAsia" w:ascii="宋体" w:hAnsi="宋体" w:cs="Arial"/>
                <w:color w:val="auto"/>
                <w:szCs w:val="21"/>
                <w:highlight w:val="none"/>
                <w:u w:val="single"/>
                <w:lang w:val="en-US" w:eastAsia="zh-CN"/>
              </w:rPr>
              <w:t xml:space="preserve">       </w:t>
            </w:r>
          </w:p>
          <w:p>
            <w:pPr>
              <w:rPr>
                <w:color w:val="auto"/>
                <w:highlight w:val="none"/>
              </w:rPr>
            </w:pPr>
          </w:p>
          <w:p>
            <w:pPr>
              <w:spacing w:line="288" w:lineRule="auto"/>
              <w:ind w:firstLine="420" w:firstLineChars="200"/>
              <w:rPr>
                <w:rFonts w:ascii="宋体" w:hAnsi="宋体" w:cs="Arial"/>
                <w:color w:val="auto"/>
                <w:szCs w:val="21"/>
                <w:highlight w:val="none"/>
              </w:rPr>
            </w:pPr>
            <w:r>
              <w:rPr>
                <w:rFonts w:hint="eastAsia" w:ascii="宋体" w:hAnsi="宋体" w:cs="Arial"/>
                <w:color w:val="auto"/>
                <w:szCs w:val="21"/>
                <w:highlight w:val="none"/>
              </w:rPr>
              <w:t>投标保证金的金额：</w:t>
            </w:r>
            <w:r>
              <w:rPr>
                <w:rFonts w:hint="eastAsia" w:ascii="宋体" w:hAnsi="宋体" w:cs="Arial"/>
                <w:color w:val="auto"/>
                <w:szCs w:val="21"/>
                <w:highlight w:val="none"/>
                <w:u w:val="single"/>
              </w:rPr>
              <w:t xml:space="preserve">          </w:t>
            </w:r>
            <w:r>
              <w:rPr>
                <w:rFonts w:hint="eastAsia" w:ascii="宋体" w:hAnsi="宋体" w:cs="Arial"/>
                <w:color w:val="auto"/>
                <w:szCs w:val="21"/>
                <w:highlight w:val="none"/>
              </w:rPr>
              <w:t>（万元）</w:t>
            </w:r>
          </w:p>
          <w:p>
            <w:pPr>
              <w:spacing w:line="288"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lang w:eastAsia="zh-CN"/>
              </w:rPr>
              <w:t>提交</w:t>
            </w:r>
            <w:r>
              <w:rPr>
                <w:rFonts w:hint="eastAsia" w:ascii="宋体" w:hAnsi="宋体" w:cs="宋体"/>
                <w:color w:val="auto"/>
                <w:szCs w:val="21"/>
                <w:highlight w:val="none"/>
              </w:rPr>
              <w:t>要求：</w:t>
            </w:r>
          </w:p>
          <w:p>
            <w:pPr>
              <w:spacing w:line="288"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(1)</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方式</w:t>
            </w:r>
          </w:p>
          <w:p>
            <w:pPr>
              <w:spacing w:line="288"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①采用银行电汇或网上银行支付，应当在投标截止时间以前到达下列招标人指定账户(一次性足额支付)：</w:t>
            </w:r>
          </w:p>
          <w:p>
            <w:pPr>
              <w:spacing w:line="288" w:lineRule="auto"/>
              <w:ind w:firstLine="420" w:firstLineChars="200"/>
              <w:rPr>
                <w:rFonts w:ascii="宋体" w:hAnsi="宋体" w:cs="宋体"/>
                <w:color w:val="auto"/>
                <w:szCs w:val="21"/>
                <w:highlight w:val="none"/>
                <w:u w:val="single"/>
              </w:rPr>
            </w:pPr>
            <w:r>
              <w:rPr>
                <w:rFonts w:hint="eastAsia" w:ascii="宋体" w:hAnsi="宋体" w:cs="宋体"/>
                <w:color w:val="auto"/>
                <w:szCs w:val="21"/>
                <w:highlight w:val="none"/>
              </w:rPr>
              <w:t>账户名称：</w:t>
            </w:r>
            <w:r>
              <w:rPr>
                <w:rFonts w:hint="eastAsia" w:ascii="宋体" w:hAnsi="宋体" w:cs="宋体"/>
                <w:color w:val="auto"/>
                <w:szCs w:val="21"/>
                <w:highlight w:val="none"/>
                <w:u w:val="single"/>
              </w:rPr>
              <w:t xml:space="preserve">                                  </w:t>
            </w:r>
          </w:p>
          <w:p>
            <w:pPr>
              <w:spacing w:line="288"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开户行：</w:t>
            </w:r>
            <w:r>
              <w:rPr>
                <w:rFonts w:hint="eastAsia" w:ascii="宋体" w:hAnsi="宋体" w:cs="宋体"/>
                <w:color w:val="auto"/>
                <w:szCs w:val="21"/>
                <w:highlight w:val="none"/>
                <w:u w:val="single"/>
              </w:rPr>
              <w:t xml:space="preserve">                                  </w:t>
            </w:r>
          </w:p>
          <w:p>
            <w:pPr>
              <w:spacing w:line="288"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账号：</w:t>
            </w:r>
            <w:r>
              <w:rPr>
                <w:rFonts w:hint="eastAsia" w:ascii="宋体" w:hAnsi="宋体" w:cs="宋体"/>
                <w:color w:val="auto"/>
                <w:szCs w:val="21"/>
                <w:highlight w:val="none"/>
                <w:u w:val="single"/>
              </w:rPr>
              <w:t xml:space="preserve">                                  </w:t>
            </w:r>
          </w:p>
          <w:p>
            <w:pPr>
              <w:spacing w:line="288"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投标保证金应当从其基本账户转出，支付凭证在制作投标文件时原件扫描上传。</w:t>
            </w:r>
          </w:p>
          <w:p>
            <w:pPr>
              <w:spacing w:line="288" w:lineRule="auto"/>
              <w:ind w:firstLine="420" w:firstLineChars="200"/>
              <w:rPr>
                <w:rFonts w:hint="eastAsia" w:ascii="宋体" w:hAnsi="宋体" w:eastAsia="宋体" w:cs="宋体"/>
                <w:b w:val="0"/>
                <w:color w:val="auto"/>
                <w:sz w:val="21"/>
                <w:szCs w:val="21"/>
                <w:highlight w:val="none"/>
              </w:rPr>
            </w:pPr>
            <w:r>
              <w:rPr>
                <w:rFonts w:hint="eastAsia" w:ascii="宋体" w:hAnsi="宋体" w:eastAsia="宋体" w:cs="宋体"/>
                <w:color w:val="auto"/>
                <w:szCs w:val="21"/>
                <w:highlight w:val="none"/>
              </w:rPr>
              <w:t>②采用支票形式的，投标保证金应当从其基本账户转出，支票在制作投标文件时原件扫描上传。</w:t>
            </w:r>
            <w:r>
              <w:rPr>
                <w:rFonts w:hint="eastAsia" w:ascii="宋体" w:hAnsi="宋体" w:eastAsia="宋体" w:cs="宋体"/>
                <w:b w:val="0"/>
                <w:color w:val="auto"/>
                <w:sz w:val="21"/>
                <w:szCs w:val="21"/>
                <w:highlight w:val="none"/>
              </w:rPr>
              <w:t>投标截止日须在支票付款期限内。</w:t>
            </w:r>
          </w:p>
          <w:p>
            <w:pPr>
              <w:spacing w:line="288" w:lineRule="auto"/>
              <w:ind w:firstLine="420" w:firstLineChars="200"/>
              <w:rPr>
                <w:rFonts w:hint="eastAsia" w:ascii="宋体" w:hAnsi="宋体" w:eastAsia="宋体" w:cs="宋体"/>
                <w:b w:val="0"/>
                <w:color w:val="auto"/>
                <w:szCs w:val="21"/>
                <w:highlight w:val="none"/>
              </w:rPr>
            </w:pPr>
            <w:r>
              <w:rPr>
                <w:rFonts w:hint="eastAsia" w:ascii="宋体" w:hAnsi="宋体" w:eastAsia="宋体" w:cs="宋体"/>
                <w:b w:val="0"/>
                <w:color w:val="auto"/>
                <w:szCs w:val="21"/>
                <w:highlight w:val="none"/>
              </w:rPr>
              <w:t>收款人：</w:t>
            </w:r>
            <w:r>
              <w:rPr>
                <w:rFonts w:hint="eastAsia" w:ascii="宋体" w:hAnsi="宋体" w:eastAsia="宋体" w:cs="宋体"/>
                <w:b w:val="0"/>
                <w:color w:val="auto"/>
                <w:szCs w:val="21"/>
                <w:highlight w:val="none"/>
                <w:u w:val="single"/>
                <w:lang w:val="en-US" w:eastAsia="zh-CN"/>
              </w:rPr>
              <w:t xml:space="preserve">                                </w:t>
            </w:r>
            <w:r>
              <w:rPr>
                <w:rFonts w:hint="eastAsia" w:ascii="宋体" w:hAnsi="宋体" w:eastAsia="宋体" w:cs="宋体"/>
                <w:b w:val="0"/>
                <w:color w:val="auto"/>
                <w:szCs w:val="21"/>
                <w:highlight w:val="none"/>
                <w:u w:val="single"/>
              </w:rPr>
              <w:t xml:space="preserve"> </w:t>
            </w:r>
          </w:p>
          <w:p>
            <w:pPr>
              <w:spacing w:line="288" w:lineRule="auto"/>
              <w:ind w:firstLine="420" w:firstLineChars="200"/>
              <w:rPr>
                <w:rFonts w:hint="eastAsia" w:ascii="宋体" w:hAnsi="宋体" w:eastAsia="宋体" w:cs="宋体"/>
                <w:b w:val="0"/>
                <w:color w:val="auto"/>
                <w:szCs w:val="21"/>
                <w:highlight w:val="none"/>
              </w:rPr>
            </w:pPr>
            <w:r>
              <w:rPr>
                <w:rFonts w:hint="eastAsia" w:ascii="宋体" w:hAnsi="宋体" w:eastAsia="宋体" w:cs="宋体"/>
                <w:color w:val="auto"/>
                <w:szCs w:val="21"/>
                <w:highlight w:val="none"/>
              </w:rPr>
              <w:t>③采用保函形式的，保函有效期不得短于投标有效期。保函在制作投标文件时原件扫描上传。</w:t>
            </w:r>
            <w:r>
              <w:rPr>
                <w:rFonts w:hint="eastAsia" w:ascii="宋体" w:hAnsi="宋体" w:eastAsia="宋体" w:cs="宋体"/>
                <w:b w:val="0"/>
                <w:color w:val="auto"/>
                <w:sz w:val="21"/>
                <w:szCs w:val="21"/>
                <w:highlight w:val="none"/>
              </w:rPr>
              <w:t>保函按照《住房和城乡建设部关于印发工程保函示范文本的通知》（建市〔2021〕11号）中明确的格式</w:t>
            </w:r>
            <w:r>
              <w:rPr>
                <w:rFonts w:hint="eastAsia" w:ascii="宋体" w:hAnsi="宋体" w:cs="宋体"/>
                <w:b w:val="0"/>
                <w:color w:val="auto"/>
                <w:sz w:val="21"/>
                <w:szCs w:val="21"/>
                <w:highlight w:val="none"/>
                <w:lang w:eastAsia="zh-CN"/>
              </w:rPr>
              <w:t>提交</w:t>
            </w:r>
            <w:r>
              <w:rPr>
                <w:rFonts w:hint="eastAsia" w:ascii="宋体" w:hAnsi="宋体" w:eastAsia="宋体" w:cs="宋体"/>
                <w:b w:val="0"/>
                <w:color w:val="auto"/>
                <w:sz w:val="21"/>
                <w:szCs w:val="21"/>
                <w:highlight w:val="none"/>
              </w:rPr>
              <w:t>。</w:t>
            </w:r>
          </w:p>
          <w:p>
            <w:pPr>
              <w:spacing w:line="288" w:lineRule="auto"/>
              <w:ind w:firstLine="420" w:firstLineChars="200"/>
              <w:rPr>
                <w:rFonts w:hint="default" w:ascii="宋体" w:hAnsi="宋体" w:eastAsia="宋体" w:cs="宋体"/>
                <w:b w:val="0"/>
                <w:color w:val="auto"/>
                <w:szCs w:val="21"/>
                <w:highlight w:val="none"/>
                <w:lang w:val="en-US" w:eastAsia="zh-CN"/>
              </w:rPr>
            </w:pPr>
            <w:r>
              <w:rPr>
                <w:rFonts w:hint="eastAsia" w:ascii="宋体" w:hAnsi="宋体" w:eastAsia="宋体" w:cs="宋体"/>
                <w:b w:val="0"/>
                <w:color w:val="auto"/>
                <w:szCs w:val="21"/>
                <w:highlight w:val="none"/>
              </w:rPr>
              <w:t>受益人：</w:t>
            </w:r>
            <w:r>
              <w:rPr>
                <w:rFonts w:hint="eastAsia" w:ascii="宋体" w:hAnsi="宋体" w:eastAsia="宋体" w:cs="宋体"/>
                <w:b w:val="0"/>
                <w:color w:val="auto"/>
                <w:szCs w:val="21"/>
                <w:highlight w:val="none"/>
                <w:u w:val="single"/>
                <w:lang w:val="en-US" w:eastAsia="zh-CN"/>
              </w:rPr>
              <w:t xml:space="preserve">                               </w:t>
            </w:r>
            <w:r>
              <w:rPr>
                <w:rFonts w:hint="eastAsia" w:ascii="宋体" w:hAnsi="宋体" w:eastAsia="宋体" w:cs="宋体"/>
                <w:b w:val="0"/>
                <w:color w:val="auto"/>
                <w:szCs w:val="21"/>
                <w:highlight w:val="none"/>
                <w:u w:val="none"/>
                <w:lang w:val="en-US" w:eastAsia="zh-CN"/>
              </w:rPr>
              <w:t xml:space="preserve">  </w:t>
            </w:r>
          </w:p>
          <w:p>
            <w:pPr>
              <w:adjustRightInd w:val="0"/>
              <w:snapToGrid w:val="0"/>
              <w:spacing w:line="288" w:lineRule="auto"/>
              <w:rPr>
                <w:rFonts w:ascii="宋体" w:hAnsi="宋体" w:cs="宋体"/>
                <w:color w:val="auto"/>
                <w:szCs w:val="21"/>
                <w:highlight w:val="none"/>
                <w:u w:val="single"/>
              </w:rPr>
            </w:pPr>
            <w:r>
              <w:rPr>
                <w:rFonts w:hint="eastAsia" w:ascii="宋体" w:hAnsi="宋体" w:eastAsia="宋体" w:cs="宋体"/>
                <w:color w:val="auto"/>
                <w:szCs w:val="21"/>
                <w:highlight w:val="none"/>
              </w:rPr>
              <w:t>（2）采用银行电汇或者网上银行现金支付保证金的，招标人退还投标保证金及银行同期存款利息。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3.4.3</w:t>
            </w:r>
          </w:p>
        </w:tc>
        <w:tc>
          <w:tcPr>
            <w:tcW w:w="2463" w:type="dxa"/>
            <w:tcBorders>
              <w:top w:val="single" w:color="auto" w:sz="4" w:space="0"/>
            </w:tcBorders>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投标保证金退还方式</w:t>
            </w:r>
          </w:p>
        </w:tc>
        <w:tc>
          <w:tcPr>
            <w:tcW w:w="5274" w:type="dxa"/>
            <w:vAlign w:val="center"/>
          </w:tcPr>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采用</w:t>
            </w:r>
            <w:r>
              <w:rPr>
                <w:rFonts w:hint="eastAsia" w:ascii="宋体" w:hAnsi="宋体"/>
                <w:color w:val="auto"/>
                <w:szCs w:val="21"/>
                <w:highlight w:val="none"/>
              </w:rPr>
              <w:t>银行电汇或网上银行支付缴纳的</w:t>
            </w:r>
            <w:r>
              <w:rPr>
                <w:rFonts w:hint="eastAsia" w:ascii="宋体" w:hAnsi="宋体" w:cs="宋体"/>
                <w:color w:val="auto"/>
                <w:szCs w:val="21"/>
                <w:highlight w:val="none"/>
              </w:rPr>
              <w:t>投标保证金将退还至投标人的基本账户。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3.5</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是否允许</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备选</w:t>
            </w:r>
          </w:p>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投标方案</w:t>
            </w:r>
          </w:p>
        </w:tc>
        <w:tc>
          <w:tcPr>
            <w:tcW w:w="5274" w:type="dxa"/>
            <w:vAlign w:val="center"/>
          </w:tcPr>
          <w:p>
            <w:pPr>
              <w:adjustRightInd w:val="0"/>
              <w:snapToGrid w:val="0"/>
              <w:spacing w:line="400" w:lineRule="exact"/>
              <w:rPr>
                <w:rFonts w:hint="eastAsia" w:ascii="宋体" w:hAnsi="宋体" w:cs="宋体"/>
                <w:color w:val="auto"/>
                <w:szCs w:val="21"/>
                <w:highlight w:val="none"/>
              </w:rPr>
            </w:pPr>
            <w:r>
              <w:rPr>
                <w:rFonts w:hint="eastAsia" w:ascii="宋体" w:hAnsi="宋体" w:cs="宋体"/>
                <w:color w:val="auto"/>
                <w:szCs w:val="21"/>
                <w:highlight w:val="none"/>
              </w:rPr>
              <w:t xml:space="preserve">□允许  </w:t>
            </w:r>
          </w:p>
          <w:p>
            <w:pPr>
              <w:adjustRightInd w:val="0"/>
              <w:snapToGrid w:val="0"/>
              <w:spacing w:line="400" w:lineRule="exact"/>
              <w:rPr>
                <w:rFonts w:ascii="宋体" w:hAnsi="宋体" w:cs="宋体"/>
                <w:color w:val="auto"/>
                <w:szCs w:val="21"/>
                <w:highlight w:val="none"/>
                <w:u w:val="single"/>
              </w:rPr>
            </w:pPr>
            <w:r>
              <w:rPr>
                <w:rFonts w:hint="eastAsia" w:ascii="宋体" w:hAnsi="宋体" w:cs="宋体"/>
                <w:color w:val="auto"/>
                <w:szCs w:val="21"/>
                <w:highlight w:val="none"/>
              </w:rPr>
              <w:t>□不允许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400" w:lineRule="exact"/>
              <w:jc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3.6</w:t>
            </w:r>
          </w:p>
        </w:tc>
        <w:tc>
          <w:tcPr>
            <w:tcW w:w="2463" w:type="dxa"/>
            <w:vAlign w:val="center"/>
          </w:tcPr>
          <w:p>
            <w:pPr>
              <w:adjustRightInd w:val="0"/>
              <w:snapToGrid w:val="0"/>
              <w:spacing w:line="288" w:lineRule="auto"/>
              <w:jc w:val="center"/>
              <w:rPr>
                <w:rFonts w:hint="eastAsia" w:ascii="宋体" w:hAnsi="宋体" w:cs="宋体"/>
                <w:color w:val="auto"/>
                <w:szCs w:val="21"/>
                <w:highlight w:val="none"/>
              </w:rPr>
            </w:pPr>
            <w:r>
              <w:rPr>
                <w:rFonts w:hint="eastAsia" w:ascii="宋体" w:hAnsi="宋体" w:cs="宋体"/>
                <w:color w:val="auto"/>
                <w:highlight w:val="none"/>
              </w:rPr>
              <w:t>资格审查资料</w:t>
            </w:r>
            <w:r>
              <w:rPr>
                <w:rFonts w:hint="eastAsia" w:ascii="宋体" w:hAnsi="宋体" w:cs="宋体"/>
                <w:color w:val="auto"/>
                <w:highlight w:val="none"/>
                <w:lang w:eastAsia="zh-CN"/>
              </w:rPr>
              <w:t>、</w:t>
            </w:r>
            <w:r>
              <w:rPr>
                <w:rFonts w:hint="eastAsia" w:ascii="宋体" w:hAnsi="宋体" w:cs="宋体"/>
                <w:color w:val="auto"/>
                <w:highlight w:val="none"/>
              </w:rPr>
              <w:t>项目管理机构加分资料</w:t>
            </w:r>
            <w:r>
              <w:rPr>
                <w:rFonts w:hint="eastAsia" w:ascii="宋体" w:hAnsi="宋体" w:cs="宋体"/>
                <w:color w:val="auto"/>
                <w:highlight w:val="none"/>
                <w:lang w:val="en-US" w:eastAsia="zh-CN"/>
              </w:rPr>
              <w:t>、工程业绩加分资料</w:t>
            </w:r>
            <w:r>
              <w:rPr>
                <w:rFonts w:ascii="宋体" w:hAnsi="宋体" w:eastAsia="宋体" w:cs="宋体"/>
                <w:color w:val="auto"/>
                <w:sz w:val="21"/>
                <w:highlight w:val="none"/>
              </w:rPr>
              <w:t>的特殊要求</w:t>
            </w:r>
          </w:p>
        </w:tc>
        <w:tc>
          <w:tcPr>
            <w:tcW w:w="5274" w:type="dxa"/>
            <w:vAlign w:val="center"/>
          </w:tcPr>
          <w:p>
            <w:pPr>
              <w:pStyle w:val="187"/>
              <w:spacing w:before="72" w:line="288" w:lineRule="auto"/>
              <w:ind w:left="0"/>
              <w:jc w:val="both"/>
              <w:rPr>
                <w:rFonts w:hint="eastAsia" w:ascii="宋体" w:hAnsi="宋体" w:eastAsia="宋体"/>
                <w:color w:val="auto"/>
                <w:spacing w:val="-1"/>
                <w:sz w:val="21"/>
                <w:highlight w:val="none"/>
                <w:lang w:eastAsia="zh-CN"/>
              </w:rPr>
            </w:pPr>
            <w:r>
              <w:rPr>
                <w:rFonts w:hint="eastAsia" w:ascii="宋体" w:hAnsi="宋体" w:eastAsia="宋体"/>
                <w:color w:val="auto"/>
                <w:spacing w:val="-1"/>
                <w:sz w:val="21"/>
                <w:highlight w:val="none"/>
                <w:lang w:eastAsia="zh-CN"/>
              </w:rPr>
              <w:t>□无</w:t>
            </w:r>
          </w:p>
          <w:p>
            <w:pPr>
              <w:adjustRightInd w:val="0"/>
              <w:snapToGrid w:val="0"/>
              <w:spacing w:line="400" w:lineRule="exact"/>
              <w:rPr>
                <w:rFonts w:hint="eastAsia" w:ascii="宋体" w:hAnsi="宋体" w:cs="宋体"/>
                <w:color w:val="auto"/>
                <w:szCs w:val="21"/>
                <w:highlight w:val="none"/>
              </w:rPr>
            </w:pPr>
            <w:r>
              <w:rPr>
                <w:rFonts w:hint="eastAsia" w:ascii="宋体" w:hAnsi="宋体" w:eastAsia="宋体"/>
                <w:color w:val="auto"/>
                <w:spacing w:val="-1"/>
                <w:sz w:val="21"/>
                <w:highlight w:val="none"/>
                <w:lang w:eastAsia="zh-CN"/>
              </w:rPr>
              <w:t>□有，具体要求：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400" w:lineRule="exact"/>
              <w:jc w:val="center"/>
              <w:rPr>
                <w:rFonts w:hint="default" w:ascii="宋体" w:hAnsi="宋体" w:cs="宋体"/>
                <w:color w:val="auto"/>
                <w:szCs w:val="21"/>
                <w:highlight w:val="none"/>
                <w:lang w:val="en-US" w:eastAsia="zh-CN"/>
              </w:rPr>
            </w:pPr>
            <w:r>
              <w:rPr>
                <w:rFonts w:hint="eastAsia" w:ascii="宋体" w:hAnsi="宋体" w:cs="宋体"/>
                <w:color w:val="auto"/>
                <w:szCs w:val="21"/>
                <w:highlight w:val="none"/>
                <w:lang w:val="en-US" w:eastAsia="zh-CN"/>
              </w:rPr>
              <w:t>3.6.2</w:t>
            </w:r>
          </w:p>
        </w:tc>
        <w:tc>
          <w:tcPr>
            <w:tcW w:w="2463" w:type="dxa"/>
            <w:vAlign w:val="center"/>
          </w:tcPr>
          <w:p>
            <w:pPr>
              <w:adjustRightInd w:val="0"/>
              <w:snapToGrid w:val="0"/>
              <w:spacing w:line="288" w:lineRule="auto"/>
              <w:jc w:val="center"/>
              <w:rPr>
                <w:rFonts w:hint="eastAsia" w:ascii="宋体" w:hAnsi="宋体" w:cs="宋体"/>
                <w:color w:val="auto"/>
                <w:highlight w:val="none"/>
              </w:rPr>
            </w:pPr>
            <w:r>
              <w:rPr>
                <w:rFonts w:hint="eastAsia" w:ascii="宋体" w:hAnsi="宋体" w:eastAsia="宋体"/>
                <w:color w:val="auto"/>
                <w:spacing w:val="-2"/>
                <w:sz w:val="21"/>
                <w:highlight w:val="none"/>
                <w:lang w:eastAsia="zh-CN"/>
              </w:rPr>
              <w:t>近年财务状况的年份要求</w:t>
            </w:r>
          </w:p>
        </w:tc>
        <w:tc>
          <w:tcPr>
            <w:tcW w:w="5274" w:type="dxa"/>
            <w:vAlign w:val="center"/>
          </w:tcPr>
          <w:p>
            <w:pPr>
              <w:pStyle w:val="187"/>
              <w:spacing w:before="72" w:line="288" w:lineRule="auto"/>
              <w:ind w:left="0"/>
              <w:jc w:val="both"/>
              <w:rPr>
                <w:rFonts w:hint="eastAsia" w:ascii="宋体" w:hAnsi="宋体" w:eastAsia="宋体"/>
                <w:color w:val="auto"/>
                <w:spacing w:val="-1"/>
                <w:sz w:val="21"/>
                <w:highlight w:val="none"/>
                <w:lang w:eastAsia="zh-CN"/>
              </w:rPr>
            </w:pPr>
            <w:r>
              <w:rPr>
                <w:rFonts w:hint="eastAsia" w:ascii="宋体" w:hAnsi="宋体" w:eastAsia="宋体"/>
                <w:color w:val="auto"/>
                <w:spacing w:val="-1"/>
                <w:sz w:val="21"/>
                <w:highlight w:val="none"/>
                <w:lang w:eastAsia="zh-CN"/>
              </w:rPr>
              <w:t>□无</w:t>
            </w:r>
          </w:p>
          <w:p>
            <w:pPr>
              <w:adjustRightInd w:val="0"/>
              <w:snapToGrid w:val="0"/>
              <w:spacing w:line="400" w:lineRule="exact"/>
              <w:rPr>
                <w:rFonts w:hint="eastAsia" w:ascii="宋体" w:hAnsi="宋体" w:eastAsia="宋体"/>
                <w:color w:val="auto"/>
                <w:spacing w:val="-1"/>
                <w:sz w:val="21"/>
                <w:highlight w:val="none"/>
                <w:lang w:eastAsia="zh-CN"/>
              </w:rPr>
            </w:pPr>
            <w:r>
              <w:rPr>
                <w:rFonts w:hint="eastAsia" w:ascii="宋体" w:hAnsi="宋体" w:eastAsia="宋体"/>
                <w:color w:val="auto"/>
                <w:spacing w:val="-1"/>
                <w:sz w:val="21"/>
                <w:highlight w:val="none"/>
                <w:lang w:eastAsia="zh-CN"/>
              </w:rPr>
              <w:t>□有，具体时间要求：</w:t>
            </w:r>
            <w:r>
              <w:rPr>
                <w:rFonts w:hint="eastAsia" w:ascii="宋体" w:hAnsi="宋体" w:eastAsia="宋体"/>
                <w:color w:val="auto"/>
                <w:sz w:val="21"/>
                <w:highlight w:val="none"/>
                <w:u w:val="single" w:color="000000"/>
                <w:lang w:eastAsia="zh-CN"/>
              </w:rPr>
              <w:t xml:space="preserve">       </w:t>
            </w:r>
            <w:r>
              <w:rPr>
                <w:rFonts w:hint="eastAsia" w:ascii="宋体" w:hAnsi="宋体" w:eastAsia="宋体"/>
                <w:color w:val="auto"/>
                <w:sz w:val="21"/>
                <w:highlight w:val="none"/>
              </w:rPr>
              <w:t>年至</w:t>
            </w:r>
            <w:r>
              <w:rPr>
                <w:rFonts w:hint="eastAsia" w:ascii="宋体" w:hAnsi="宋体" w:eastAsia="宋体"/>
                <w:color w:val="auto"/>
                <w:sz w:val="21"/>
                <w:highlight w:val="none"/>
                <w:u w:val="single" w:color="000000"/>
                <w:lang w:eastAsia="zh-CN"/>
              </w:rPr>
              <w:t xml:space="preserve">      </w:t>
            </w:r>
            <w:r>
              <w:rPr>
                <w:rFonts w:hint="eastAsia" w:ascii="宋体" w:hAnsi="宋体" w:eastAsia="宋体"/>
                <w:color w:val="auto"/>
                <w:sz w:val="21"/>
                <w:highlight w:val="none"/>
              </w:rPr>
              <w:t>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400" w:lineRule="exact"/>
              <w:jc w:val="center"/>
              <w:rPr>
                <w:rFonts w:hint="default" w:ascii="宋体" w:hAnsi="宋体" w:cs="宋体"/>
                <w:color w:val="auto"/>
                <w:szCs w:val="21"/>
                <w:highlight w:val="none"/>
                <w:lang w:val="en-US" w:eastAsia="zh-CN"/>
              </w:rPr>
            </w:pPr>
            <w:r>
              <w:rPr>
                <w:rFonts w:hint="eastAsia" w:ascii="宋体" w:hAnsi="宋体" w:cs="宋体"/>
                <w:color w:val="auto"/>
                <w:szCs w:val="21"/>
                <w:highlight w:val="none"/>
                <w:lang w:val="en-US" w:eastAsia="zh-CN"/>
              </w:rPr>
              <w:t>3.6.5</w:t>
            </w:r>
          </w:p>
        </w:tc>
        <w:tc>
          <w:tcPr>
            <w:tcW w:w="2463" w:type="dxa"/>
            <w:vAlign w:val="center"/>
          </w:tcPr>
          <w:p>
            <w:pPr>
              <w:pStyle w:val="187"/>
              <w:adjustRightInd w:val="0"/>
              <w:snapToGrid w:val="0"/>
              <w:spacing w:line="288" w:lineRule="auto"/>
              <w:jc w:val="center"/>
              <w:rPr>
                <w:rFonts w:hint="eastAsia" w:ascii="宋体" w:hAnsi="宋体" w:eastAsia="宋体"/>
                <w:color w:val="auto"/>
                <w:spacing w:val="-2"/>
                <w:sz w:val="21"/>
                <w:highlight w:val="none"/>
                <w:lang w:eastAsia="zh-CN"/>
              </w:rPr>
            </w:pPr>
            <w:r>
              <w:rPr>
                <w:rFonts w:hint="eastAsia" w:ascii="宋体" w:hAnsi="宋体" w:eastAsia="宋体"/>
                <w:color w:val="auto"/>
                <w:spacing w:val="-2"/>
                <w:sz w:val="21"/>
                <w:highlight w:val="none"/>
                <w:lang w:eastAsia="zh-CN"/>
              </w:rPr>
              <w:t>近年发生的诉讼及仲裁情况的时间要求</w:t>
            </w:r>
          </w:p>
        </w:tc>
        <w:tc>
          <w:tcPr>
            <w:tcW w:w="5274" w:type="dxa"/>
            <w:vAlign w:val="center"/>
          </w:tcPr>
          <w:p>
            <w:pPr>
              <w:pStyle w:val="187"/>
              <w:spacing w:before="72"/>
              <w:ind w:left="0"/>
              <w:jc w:val="both"/>
              <w:rPr>
                <w:rFonts w:hint="eastAsia" w:ascii="宋体" w:hAnsi="宋体" w:eastAsia="宋体"/>
                <w:color w:val="auto"/>
                <w:spacing w:val="-1"/>
                <w:sz w:val="21"/>
                <w:highlight w:val="none"/>
                <w:lang w:eastAsia="zh-CN"/>
              </w:rPr>
            </w:pPr>
            <w:r>
              <w:rPr>
                <w:rFonts w:hint="eastAsia" w:ascii="宋体" w:hAnsi="宋体" w:eastAsia="宋体"/>
                <w:color w:val="auto"/>
                <w:spacing w:val="-1"/>
                <w:sz w:val="21"/>
                <w:highlight w:val="none"/>
                <w:lang w:eastAsia="zh-CN"/>
              </w:rPr>
              <w:t>□无</w:t>
            </w:r>
          </w:p>
          <w:p>
            <w:pPr>
              <w:pStyle w:val="187"/>
              <w:tabs>
                <w:tab w:val="left" w:pos="798"/>
                <w:tab w:val="left" w:pos="1568"/>
                <w:tab w:val="left" w:pos="2339"/>
              </w:tabs>
              <w:spacing w:before="121"/>
              <w:ind w:left="0" w:leftChars="0"/>
              <w:rPr>
                <w:rFonts w:hint="eastAsia" w:ascii="宋体" w:hAnsi="宋体" w:eastAsia="宋体"/>
                <w:color w:val="auto"/>
                <w:sz w:val="21"/>
                <w:highlight w:val="none"/>
              </w:rPr>
            </w:pPr>
            <w:r>
              <w:rPr>
                <w:rFonts w:hint="eastAsia" w:ascii="宋体" w:hAnsi="宋体" w:eastAsia="宋体"/>
                <w:color w:val="auto"/>
                <w:spacing w:val="-1"/>
                <w:sz w:val="21"/>
                <w:highlight w:val="none"/>
                <w:lang w:eastAsia="zh-CN"/>
              </w:rPr>
              <w:t>□有，具体时间要求：</w:t>
            </w:r>
            <w:r>
              <w:rPr>
                <w:rFonts w:hint="eastAsia" w:ascii="宋体" w:hAnsi="宋体" w:eastAsia="宋体"/>
                <w:color w:val="auto"/>
                <w:w w:val="95"/>
                <w:sz w:val="21"/>
                <w:highlight w:val="none"/>
                <w:u w:val="single" w:color="auto"/>
                <w:lang w:eastAsia="zh-CN"/>
              </w:rPr>
              <w:t xml:space="preserve">      </w:t>
            </w:r>
            <w:r>
              <w:rPr>
                <w:rFonts w:hint="eastAsia" w:ascii="宋体" w:hAnsi="宋体" w:eastAsia="宋体"/>
                <w:color w:val="auto"/>
                <w:w w:val="95"/>
                <w:sz w:val="21"/>
                <w:highlight w:val="none"/>
              </w:rPr>
              <w:t>年</w:t>
            </w:r>
            <w:r>
              <w:rPr>
                <w:rFonts w:hint="eastAsia" w:ascii="宋体" w:hAnsi="宋体" w:eastAsia="宋体"/>
                <w:color w:val="auto"/>
                <w:w w:val="95"/>
                <w:sz w:val="21"/>
                <w:highlight w:val="none"/>
                <w:u w:val="none" w:color="auto"/>
                <w:lang w:eastAsia="zh-CN"/>
              </w:rPr>
              <w:t xml:space="preserve"> </w:t>
            </w:r>
            <w:r>
              <w:rPr>
                <w:rFonts w:hint="eastAsia" w:ascii="宋体" w:hAnsi="宋体" w:eastAsia="宋体"/>
                <w:color w:val="auto"/>
                <w:w w:val="95"/>
                <w:sz w:val="21"/>
                <w:highlight w:val="none"/>
                <w:u w:val="single" w:color="auto"/>
                <w:lang w:eastAsia="zh-CN"/>
              </w:rPr>
              <w:t xml:space="preserve">      </w:t>
            </w:r>
            <w:r>
              <w:rPr>
                <w:rFonts w:hint="eastAsia" w:ascii="宋体" w:hAnsi="宋体" w:eastAsia="宋体"/>
                <w:color w:val="auto"/>
                <w:sz w:val="21"/>
                <w:highlight w:val="none"/>
              </w:rPr>
              <w:t>月</w:t>
            </w:r>
            <w:r>
              <w:rPr>
                <w:rFonts w:hint="eastAsia" w:ascii="宋体" w:hAnsi="宋体" w:eastAsia="宋体"/>
                <w:color w:val="auto"/>
                <w:sz w:val="21"/>
                <w:highlight w:val="none"/>
                <w:u w:val="single"/>
                <w:lang w:eastAsia="zh-CN"/>
              </w:rPr>
              <w:t xml:space="preserve">     </w:t>
            </w:r>
            <w:r>
              <w:rPr>
                <w:rFonts w:hint="eastAsia" w:ascii="宋体" w:hAnsi="宋体" w:eastAsia="宋体"/>
                <w:color w:val="auto"/>
                <w:sz w:val="21"/>
                <w:highlight w:val="none"/>
              </w:rPr>
              <w:t>日</w:t>
            </w:r>
          </w:p>
          <w:p>
            <w:pPr>
              <w:adjustRightInd w:val="0"/>
              <w:snapToGrid w:val="0"/>
              <w:spacing w:line="400" w:lineRule="exact"/>
              <w:rPr>
                <w:rFonts w:hint="eastAsia" w:ascii="宋体" w:hAnsi="宋体" w:eastAsia="宋体"/>
                <w:color w:val="auto"/>
                <w:spacing w:val="-1"/>
                <w:sz w:val="21"/>
                <w:highlight w:val="none"/>
                <w:lang w:eastAsia="zh-CN"/>
              </w:rPr>
            </w:pPr>
            <w:r>
              <w:rPr>
                <w:rFonts w:hint="eastAsia" w:ascii="宋体" w:hAnsi="宋体" w:eastAsia="宋体"/>
                <w:color w:val="auto"/>
                <w:sz w:val="21"/>
                <w:highlight w:val="none"/>
              </w:rPr>
              <w:t>至</w:t>
            </w:r>
            <w:r>
              <w:rPr>
                <w:rFonts w:hint="eastAsia" w:ascii="宋体" w:hAnsi="宋体" w:eastAsia="宋体"/>
                <w:color w:val="auto"/>
                <w:sz w:val="21"/>
                <w:highlight w:val="none"/>
                <w:u w:val="single"/>
                <w:lang w:eastAsia="zh-CN"/>
              </w:rPr>
              <w:t xml:space="preserve">     </w:t>
            </w:r>
            <w:r>
              <w:rPr>
                <w:rFonts w:hint="eastAsia" w:ascii="宋体" w:hAnsi="宋体" w:eastAsia="宋体"/>
                <w:color w:val="auto"/>
                <w:sz w:val="21"/>
                <w:highlight w:val="none"/>
              </w:rPr>
              <w:t>年</w:t>
            </w:r>
            <w:r>
              <w:rPr>
                <w:rFonts w:hint="eastAsia" w:ascii="宋体" w:hAnsi="宋体" w:eastAsia="宋体"/>
                <w:color w:val="auto"/>
                <w:sz w:val="21"/>
                <w:highlight w:val="none"/>
                <w:u w:val="single"/>
                <w:lang w:eastAsia="zh-CN"/>
              </w:rPr>
              <w:t xml:space="preserve">     </w:t>
            </w:r>
            <w:r>
              <w:rPr>
                <w:rFonts w:hint="eastAsia" w:ascii="宋体" w:hAnsi="宋体" w:eastAsia="宋体"/>
                <w:color w:val="auto"/>
                <w:sz w:val="21"/>
                <w:highlight w:val="none"/>
              </w:rPr>
              <w:t>月</w:t>
            </w:r>
            <w:r>
              <w:rPr>
                <w:rFonts w:hint="eastAsia" w:ascii="宋体" w:hAnsi="宋体" w:eastAsia="宋体"/>
                <w:color w:val="auto"/>
                <w:sz w:val="21"/>
                <w:highlight w:val="none"/>
                <w:u w:val="single"/>
                <w:lang w:eastAsia="zh-CN"/>
              </w:rPr>
              <w:t xml:space="preserve">     </w:t>
            </w:r>
            <w:r>
              <w:rPr>
                <w:rFonts w:hint="eastAsia" w:ascii="宋体" w:hAnsi="宋体" w:eastAsia="宋体"/>
                <w:color w:val="auto"/>
                <w:sz w:val="21"/>
                <w:highlight w:val="none"/>
              </w:rPr>
              <w:t>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jc w:val="center"/>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3.7.</w:t>
            </w:r>
            <w:r>
              <w:rPr>
                <w:rFonts w:hint="eastAsia" w:ascii="宋体" w:hAnsi="宋体" w:cs="宋体"/>
                <w:color w:val="auto"/>
                <w:szCs w:val="21"/>
                <w:highlight w:val="none"/>
                <w:lang w:val="en-US" w:eastAsia="zh-CN"/>
              </w:rPr>
              <w:t>5</w:t>
            </w:r>
          </w:p>
        </w:tc>
        <w:tc>
          <w:tcPr>
            <w:tcW w:w="2463"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技术标暗标要求</w:t>
            </w:r>
          </w:p>
        </w:tc>
        <w:tc>
          <w:tcPr>
            <w:tcW w:w="5274" w:type="dxa"/>
            <w:vAlign w:val="center"/>
          </w:tcPr>
          <w:p>
            <w:pPr>
              <w:adjustRightInd w:val="0"/>
              <w:snapToGrid w:val="0"/>
              <w:jc w:val="both"/>
              <w:rPr>
                <w:rFonts w:hint="eastAsia"/>
                <w:color w:val="auto"/>
                <w:highlight w:val="none"/>
              </w:rPr>
            </w:pPr>
            <w:r>
              <w:rPr>
                <w:rFonts w:hint="eastAsia"/>
                <w:color w:val="auto"/>
                <w:highlight w:val="none"/>
              </w:rPr>
              <w:t>内容、文字均不得出现</w:t>
            </w:r>
            <w:r>
              <w:rPr>
                <w:rFonts w:hint="eastAsia"/>
                <w:color w:val="auto"/>
                <w:highlight w:val="none"/>
                <w:lang w:eastAsia="zh-CN"/>
              </w:rPr>
              <w:t>投标人</w:t>
            </w:r>
            <w:r>
              <w:rPr>
                <w:rFonts w:hint="eastAsia"/>
                <w:color w:val="auto"/>
                <w:highlight w:val="none"/>
              </w:rPr>
              <w:t>名称、相关人员姓名等和其他可识别投标人身份的字符、徽标、人员名称等。</w:t>
            </w:r>
          </w:p>
          <w:p>
            <w:pPr>
              <w:adjustRightInd w:val="0"/>
              <w:snapToGrid w:val="0"/>
              <w:jc w:val="both"/>
              <w:rPr>
                <w:rFonts w:hint="eastAsia" w:eastAsia="宋体"/>
                <w:color w:val="auto"/>
                <w:highlight w:val="none"/>
                <w:u w:val="single"/>
                <w:lang w:val="en-US" w:eastAsia="zh-CN"/>
              </w:rPr>
            </w:pPr>
            <w:r>
              <w:rPr>
                <w:rFonts w:hint="eastAsia"/>
                <w:color w:val="auto"/>
                <w:highlight w:val="none"/>
                <w:lang w:val="en-US" w:eastAsia="zh-CN"/>
              </w:rPr>
              <w:t>其他：</w:t>
            </w:r>
            <w:r>
              <w:rPr>
                <w:rFonts w:hint="eastAsia"/>
                <w:color w:val="auto"/>
                <w:highlight w:val="none"/>
                <w:u w:val="single"/>
                <w:lang w:val="en-US" w:eastAsia="zh-CN"/>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66" w:type="dxa"/>
            <w:vAlign w:val="center"/>
          </w:tcPr>
          <w:p>
            <w:pPr>
              <w:adjustRightInd w:val="0"/>
              <w:snapToGrid w:val="0"/>
              <w:jc w:val="center"/>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3.7.</w:t>
            </w:r>
            <w:r>
              <w:rPr>
                <w:rFonts w:hint="eastAsia" w:ascii="宋体" w:hAnsi="宋体" w:cs="宋体"/>
                <w:color w:val="auto"/>
                <w:szCs w:val="21"/>
                <w:highlight w:val="none"/>
                <w:lang w:val="en-US" w:eastAsia="zh-CN"/>
              </w:rPr>
              <w:t>6</w:t>
            </w:r>
          </w:p>
        </w:tc>
        <w:tc>
          <w:tcPr>
            <w:tcW w:w="2463"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其他编制要求</w:t>
            </w:r>
          </w:p>
        </w:tc>
        <w:tc>
          <w:tcPr>
            <w:tcW w:w="5274" w:type="dxa"/>
            <w:vAlign w:val="center"/>
          </w:tcPr>
          <w:p>
            <w:pPr>
              <w:pStyle w:val="190"/>
              <w:spacing w:line="276" w:lineRule="auto"/>
              <w:rPr>
                <w:color w:val="auto"/>
                <w:highlight w:val="none"/>
              </w:rPr>
            </w:pPr>
            <w:r>
              <w:rPr>
                <w:rFonts w:hint="eastAsia"/>
                <w:color w:val="auto"/>
                <w:highlight w:val="none"/>
              </w:rPr>
              <w:t>（1）签字、盖章要求：“</w:t>
            </w:r>
            <w:r>
              <w:rPr>
                <w:rFonts w:hint="eastAsia" w:cs="Arial"/>
                <w:color w:val="auto"/>
                <w:szCs w:val="21"/>
                <w:highlight w:val="none"/>
              </w:rPr>
              <w:t>第八章</w:t>
            </w:r>
            <w:r>
              <w:rPr>
                <w:rFonts w:hint="eastAsia"/>
                <w:color w:val="auto"/>
                <w:highlight w:val="none"/>
              </w:rPr>
              <w:t>投标文件格式”中标明盖章、签字的地方均需按要求盖章、签字。联合体投标的，除联合体协议书、</w:t>
            </w:r>
            <w:r>
              <w:rPr>
                <w:rFonts w:hint="eastAsia" w:cs="宋体"/>
                <w:color w:val="auto"/>
                <w:kern w:val="0"/>
                <w:highlight w:val="none"/>
              </w:rPr>
              <w:t>诚信投标承诺书</w:t>
            </w:r>
            <w:r>
              <w:rPr>
                <w:rFonts w:hint="eastAsia"/>
                <w:color w:val="auto"/>
                <w:highlight w:val="none"/>
              </w:rPr>
              <w:t>需要所有联合体成员按“</w:t>
            </w:r>
            <w:r>
              <w:rPr>
                <w:rFonts w:hint="eastAsia" w:cs="Arial"/>
                <w:color w:val="auto"/>
                <w:szCs w:val="21"/>
                <w:highlight w:val="none"/>
              </w:rPr>
              <w:t>第八章</w:t>
            </w:r>
            <w:r>
              <w:rPr>
                <w:rFonts w:hint="eastAsia"/>
                <w:color w:val="auto"/>
                <w:highlight w:val="none"/>
              </w:rPr>
              <w:t>投标文件格式”要求签字、盖章外，其他由联合体牵头人按照“</w:t>
            </w:r>
            <w:r>
              <w:rPr>
                <w:rFonts w:hint="eastAsia" w:cs="Arial"/>
                <w:color w:val="auto"/>
                <w:szCs w:val="21"/>
                <w:highlight w:val="none"/>
              </w:rPr>
              <w:t>第八章</w:t>
            </w:r>
            <w:r>
              <w:rPr>
                <w:rFonts w:hint="eastAsia"/>
                <w:color w:val="auto"/>
                <w:highlight w:val="none"/>
              </w:rPr>
              <w:t>投标文件格式”要求签字、盖章。</w:t>
            </w:r>
          </w:p>
          <w:p>
            <w:pPr>
              <w:pStyle w:val="190"/>
              <w:spacing w:line="276" w:lineRule="auto"/>
              <w:rPr>
                <w:color w:val="auto"/>
                <w:highlight w:val="none"/>
              </w:rPr>
            </w:pPr>
            <w:r>
              <w:rPr>
                <w:rFonts w:hint="eastAsia"/>
                <w:color w:val="auto"/>
                <w:highlight w:val="none"/>
              </w:rPr>
              <w:t>（2）联合体投标的，投标文件中所有内容均视为</w:t>
            </w:r>
            <w:r>
              <w:rPr>
                <w:rFonts w:hint="eastAsia" w:cs="宋体"/>
                <w:color w:val="auto"/>
                <w:szCs w:val="21"/>
                <w:highlight w:val="none"/>
              </w:rPr>
              <w:t>联合体各成员单位</w:t>
            </w:r>
            <w:r>
              <w:rPr>
                <w:rFonts w:hint="eastAsia"/>
                <w:color w:val="auto"/>
                <w:highlight w:val="none"/>
              </w:rPr>
              <w:t>真实意思表达。</w:t>
            </w:r>
          </w:p>
          <w:p>
            <w:pPr>
              <w:pStyle w:val="190"/>
              <w:spacing w:line="276" w:lineRule="auto"/>
              <w:rPr>
                <w:color w:val="auto"/>
                <w:kern w:val="0"/>
                <w:highlight w:val="none"/>
              </w:rPr>
            </w:pPr>
            <w:r>
              <w:rPr>
                <w:rFonts w:hint="eastAsia" w:cs="仿宋_GB2312"/>
                <w:color w:val="auto"/>
                <w:kern w:val="0"/>
                <w:highlight w:val="none"/>
              </w:rPr>
              <w:t>（3）投标文件制作时，不同内容按标签提示制作导入，按照招标文件要求进行编制，保证内容完整。</w:t>
            </w:r>
          </w:p>
          <w:p>
            <w:pPr>
              <w:pStyle w:val="190"/>
              <w:spacing w:line="276" w:lineRule="auto"/>
              <w:rPr>
                <w:color w:val="auto"/>
                <w:highlight w:val="none"/>
              </w:rPr>
            </w:pPr>
            <w:r>
              <w:rPr>
                <w:rFonts w:hint="eastAsia"/>
                <w:color w:val="auto"/>
                <w:kern w:val="0"/>
                <w:highlight w:val="none"/>
              </w:rPr>
              <w:t>（4）</w:t>
            </w:r>
            <w:r>
              <w:rPr>
                <w:rFonts w:hint="eastAsia"/>
                <w:color w:val="auto"/>
                <w:highlight w:val="none"/>
              </w:rPr>
              <w:t>投标文件应通过投标文件制作软件进行制作，并通过数字证书认证和加密。</w:t>
            </w:r>
          </w:p>
          <w:p>
            <w:pPr>
              <w:pStyle w:val="190"/>
              <w:spacing w:line="276" w:lineRule="auto"/>
              <w:rPr>
                <w:color w:val="auto"/>
                <w:kern w:val="0"/>
                <w:highlight w:val="none"/>
                <w:lang w:val="zh-CN"/>
              </w:rPr>
            </w:pPr>
            <w:r>
              <w:rPr>
                <w:rFonts w:hint="eastAsia"/>
                <w:color w:val="auto"/>
                <w:kern w:val="0"/>
                <w:highlight w:val="none"/>
                <w:lang w:val="zh-CN"/>
              </w:rPr>
              <w:t>（5）开标时投标人应当使用生成投标文件时的</w:t>
            </w:r>
            <w:r>
              <w:rPr>
                <w:color w:val="auto"/>
                <w:kern w:val="0"/>
                <w:highlight w:val="none"/>
                <w:lang w:val="zh-CN"/>
              </w:rPr>
              <w:t>CA</w:t>
            </w:r>
            <w:r>
              <w:rPr>
                <w:rFonts w:hint="eastAsia"/>
                <w:color w:val="auto"/>
                <w:kern w:val="0"/>
                <w:highlight w:val="none"/>
                <w:lang w:val="zh-CN"/>
              </w:rPr>
              <w:t>证书对投标文件解密。</w:t>
            </w:r>
          </w:p>
          <w:p>
            <w:pPr>
              <w:adjustRightInd w:val="0"/>
              <w:snapToGrid w:val="0"/>
              <w:jc w:val="both"/>
              <w:rPr>
                <w:rFonts w:ascii="宋体" w:hAnsi="宋体" w:cs="宋体"/>
                <w:color w:val="auto"/>
                <w:szCs w:val="21"/>
                <w:highlight w:val="none"/>
              </w:rPr>
            </w:pPr>
            <w:r>
              <w:rPr>
                <w:rFonts w:hint="eastAsia"/>
                <w:color w:val="auto"/>
                <w:kern w:val="0"/>
                <w:highlight w:val="none"/>
                <w:lang w:val="zh-CN"/>
              </w:rPr>
              <w:t>（6）投</w:t>
            </w:r>
            <w:r>
              <w:rPr>
                <w:rFonts w:hint="eastAsia" w:hAnsi="仿宋_GB2312"/>
                <w:color w:val="auto"/>
                <w:kern w:val="0"/>
                <w:highlight w:val="none"/>
              </w:rPr>
              <w:t>标人必须使用本单位的计算机、加密锁（</w:t>
            </w:r>
            <w:r>
              <w:rPr>
                <w:color w:val="auto"/>
                <w:kern w:val="0"/>
                <w:highlight w:val="none"/>
              </w:rPr>
              <w:t>CA</w:t>
            </w:r>
            <w:r>
              <w:rPr>
                <w:rFonts w:hint="eastAsia" w:hAnsi="仿宋_GB2312"/>
                <w:color w:val="auto"/>
                <w:kern w:val="0"/>
                <w:highlight w:val="none"/>
              </w:rPr>
              <w:t>数字证书）、投标软件编制投标文件。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38"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4.2.1</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投标截止时间</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u w:val="none"/>
                <w:lang w:val="en-US" w:eastAsia="zh-CN"/>
              </w:rPr>
              <w:t>见招标公告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4.2.3</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投标文件上传系统和</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地点</w:t>
            </w:r>
          </w:p>
        </w:tc>
        <w:tc>
          <w:tcPr>
            <w:tcW w:w="5274" w:type="dxa"/>
            <w:vAlign w:val="center"/>
          </w:tcPr>
          <w:p>
            <w:pPr>
              <w:adjustRightInd w:val="0"/>
              <w:snapToGrid w:val="0"/>
              <w:spacing w:line="288" w:lineRule="auto"/>
              <w:rPr>
                <w:rFonts w:ascii="宋体" w:hAnsi="宋体" w:cs="宋体"/>
                <w:color w:val="auto"/>
                <w:szCs w:val="21"/>
                <w:highlight w:val="none"/>
              </w:rPr>
            </w:pPr>
            <w:r>
              <w:rPr>
                <w:rFonts w:hint="eastAsia"/>
                <w:color w:val="auto"/>
                <w:highlight w:val="none"/>
              </w:rPr>
              <w:t>电子投标文件由各投标人在投标截止时间前自行上传至    “电子交易平台”；</w:t>
            </w:r>
            <w:r>
              <w:rPr>
                <w:rFonts w:hint="eastAsia" w:ascii="宋体" w:hAnsi="宋体" w:cs="宋体"/>
                <w:color w:val="auto"/>
                <w:szCs w:val="21"/>
                <w:highlight w:val="none"/>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98"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5.1.1</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开标时间和地点</w:t>
            </w:r>
          </w:p>
        </w:tc>
        <w:tc>
          <w:tcPr>
            <w:tcW w:w="5274" w:type="dxa"/>
            <w:vAlign w:val="center"/>
          </w:tcPr>
          <w:p>
            <w:pPr>
              <w:spacing w:line="288" w:lineRule="auto"/>
              <w:rPr>
                <w:rFonts w:ascii="宋体" w:hAnsi="宋体" w:cs="宋体"/>
                <w:color w:val="auto"/>
                <w:szCs w:val="21"/>
                <w:highlight w:val="none"/>
              </w:rPr>
            </w:pPr>
            <w:r>
              <w:rPr>
                <w:rFonts w:hint="eastAsia" w:ascii="宋体" w:hAnsi="宋体" w:cs="宋体"/>
                <w:color w:val="auto"/>
                <w:szCs w:val="21"/>
                <w:highlight w:val="none"/>
              </w:rPr>
              <w:t>开标时间：同投标截止时间</w:t>
            </w:r>
          </w:p>
          <w:p>
            <w:pPr>
              <w:pStyle w:val="187"/>
              <w:keepNext w:val="0"/>
              <w:keepLines w:val="0"/>
              <w:pageBreakBefore w:val="0"/>
              <w:widowControl w:val="0"/>
              <w:tabs>
                <w:tab w:val="left" w:pos="2610"/>
                <w:tab w:val="left" w:pos="2888"/>
              </w:tabs>
              <w:kinsoku/>
              <w:wordWrap/>
              <w:overflowPunct/>
              <w:topLinePunct w:val="0"/>
              <w:autoSpaceDE/>
              <w:autoSpaceDN/>
              <w:bidi w:val="0"/>
              <w:adjustRightInd/>
              <w:snapToGrid/>
              <w:spacing w:before="10" w:line="288" w:lineRule="auto"/>
              <w:ind w:right="482"/>
              <w:textAlignment w:val="auto"/>
              <w:outlineLvl w:val="9"/>
              <w:rPr>
                <w:color w:val="auto"/>
                <w:sz w:val="21"/>
                <w:szCs w:val="21"/>
                <w:highlight w:val="none"/>
                <w:lang w:val="en-US"/>
              </w:rPr>
            </w:pPr>
            <w:r>
              <w:rPr>
                <w:rFonts w:hint="eastAsia"/>
                <w:color w:val="auto"/>
                <w:sz w:val="21"/>
                <w:szCs w:val="21"/>
                <w:highlight w:val="none"/>
              </w:rPr>
              <w:t>开标形式：</w:t>
            </w:r>
            <w:r>
              <w:rPr>
                <w:rFonts w:hint="eastAsia"/>
                <w:color w:val="auto"/>
                <w:spacing w:val="-1"/>
                <w:sz w:val="21"/>
                <w:szCs w:val="21"/>
                <w:highlight w:val="none"/>
              </w:rPr>
              <w:t>□</w:t>
            </w:r>
            <w:r>
              <w:rPr>
                <w:rFonts w:hint="eastAsia"/>
                <w:color w:val="auto"/>
                <w:spacing w:val="-1"/>
                <w:sz w:val="21"/>
                <w:szCs w:val="21"/>
                <w:highlight w:val="none"/>
                <w:lang w:val="en-US"/>
              </w:rPr>
              <w:t>不见面开标</w:t>
            </w:r>
            <w:r>
              <w:rPr>
                <w:rFonts w:hint="eastAsia"/>
                <w:color w:val="auto"/>
                <w:sz w:val="21"/>
                <w:szCs w:val="21"/>
                <w:highlight w:val="none"/>
              </w:rPr>
              <w:tab/>
            </w:r>
            <w:r>
              <w:rPr>
                <w:rFonts w:hint="eastAsia"/>
                <w:color w:val="auto"/>
                <w:spacing w:val="-1"/>
                <w:sz w:val="21"/>
                <w:szCs w:val="21"/>
                <w:highlight w:val="none"/>
              </w:rPr>
              <w:t>□</w:t>
            </w:r>
            <w:r>
              <w:rPr>
                <w:rFonts w:hint="eastAsia"/>
                <w:color w:val="auto"/>
                <w:spacing w:val="-1"/>
                <w:sz w:val="21"/>
                <w:szCs w:val="21"/>
                <w:highlight w:val="none"/>
                <w:lang w:val="en-US"/>
              </w:rPr>
              <w:t>见面开标</w:t>
            </w:r>
          </w:p>
          <w:p>
            <w:pPr>
              <w:pStyle w:val="187"/>
              <w:tabs>
                <w:tab w:val="left" w:pos="2888"/>
              </w:tabs>
              <w:autoSpaceDE/>
              <w:autoSpaceDN/>
              <w:spacing w:before="1" w:line="288" w:lineRule="auto"/>
              <w:rPr>
                <w:color w:val="auto"/>
                <w:sz w:val="21"/>
                <w:szCs w:val="21"/>
                <w:highlight w:val="none"/>
                <w:lang w:val="en-US"/>
              </w:rPr>
            </w:pPr>
            <w:r>
              <w:rPr>
                <w:rFonts w:hint="eastAsia"/>
                <w:color w:val="auto"/>
                <w:spacing w:val="-1"/>
                <w:sz w:val="21"/>
                <w:szCs w:val="21"/>
                <w:highlight w:val="none"/>
              </w:rPr>
              <w:t>开标地点：</w:t>
            </w:r>
            <w:r>
              <w:rPr>
                <w:rFonts w:hint="eastAsia"/>
                <w:color w:val="auto"/>
                <w:sz w:val="21"/>
                <w:szCs w:val="21"/>
                <w:highlight w:val="none"/>
                <w:u w:val="single"/>
                <w:lang w:val="en-US"/>
              </w:rPr>
              <w:t xml:space="preserve">    </w:t>
            </w:r>
            <w:r>
              <w:rPr>
                <w:rFonts w:hint="eastAsia"/>
                <w:color w:val="auto"/>
                <w:sz w:val="21"/>
                <w:szCs w:val="21"/>
                <w:highlight w:val="none"/>
                <w:u w:val="single"/>
                <w:lang w:val="en-US" w:eastAsia="zh-CN"/>
              </w:rPr>
              <w:t xml:space="preserve">                 </w:t>
            </w:r>
            <w:r>
              <w:rPr>
                <w:rFonts w:hint="eastAsia"/>
                <w:color w:val="auto"/>
                <w:sz w:val="21"/>
                <w:szCs w:val="21"/>
                <w:highlight w:val="none"/>
                <w:u w:val="single"/>
                <w:lang w:val="en-US"/>
              </w:rPr>
              <w:t xml:space="preserve">   </w:t>
            </w:r>
          </w:p>
          <w:p>
            <w:pPr>
              <w:pStyle w:val="187"/>
              <w:keepNext w:val="0"/>
              <w:keepLines w:val="0"/>
              <w:pageBreakBefore w:val="0"/>
              <w:widowControl w:val="0"/>
              <w:kinsoku/>
              <w:wordWrap/>
              <w:overflowPunct/>
              <w:topLinePunct w:val="0"/>
              <w:autoSpaceDE/>
              <w:autoSpaceDN/>
              <w:bidi w:val="0"/>
              <w:adjustRightInd/>
              <w:snapToGrid/>
              <w:spacing w:before="10" w:line="288" w:lineRule="auto"/>
              <w:textAlignment w:val="auto"/>
              <w:outlineLvl w:val="9"/>
              <w:rPr>
                <w:color w:val="auto"/>
                <w:szCs w:val="21"/>
                <w:highlight w:val="none"/>
              </w:rPr>
            </w:pPr>
            <w:r>
              <w:rPr>
                <w:rFonts w:hint="eastAsia"/>
                <w:color w:val="auto"/>
                <w:spacing w:val="-1"/>
                <w:sz w:val="21"/>
                <w:szCs w:val="21"/>
                <w:highlight w:val="none"/>
              </w:rPr>
              <w:t>其他说明及要求：</w:t>
            </w:r>
            <w:r>
              <w:rPr>
                <w:rFonts w:hint="eastAsia"/>
                <w:color w:val="auto"/>
                <w:sz w:val="21"/>
                <w:szCs w:val="21"/>
                <w:highlight w:val="none"/>
                <w:u w:val="single"/>
              </w:rPr>
              <w:t xml:space="preserve"> </w:t>
            </w:r>
            <w:r>
              <w:rPr>
                <w:rFonts w:hint="eastAsia"/>
                <w:color w:val="auto"/>
                <w:w w:val="99"/>
                <w:sz w:val="21"/>
                <w:szCs w:val="21"/>
                <w:highlight w:val="none"/>
                <w:u w:val="single"/>
              </w:rPr>
              <w:t xml:space="preserve"> </w:t>
            </w:r>
            <w:r>
              <w:rPr>
                <w:rFonts w:hint="eastAsia"/>
                <w:color w:val="auto"/>
                <w:sz w:val="21"/>
                <w:szCs w:val="21"/>
                <w:highlight w:val="none"/>
                <w:u w:val="single"/>
              </w:rPr>
              <w:tab/>
            </w:r>
            <w:r>
              <w:rPr>
                <w:rFonts w:hint="eastAsia"/>
                <w:color w:val="auto"/>
                <w:sz w:val="21"/>
                <w:szCs w:val="21"/>
                <w:highlight w:val="none"/>
                <w:u w:val="single"/>
              </w:rPr>
              <w:t xml:space="preserve">             </w:t>
            </w:r>
            <w:r>
              <w:rPr>
                <w:rFonts w:hint="eastAsia"/>
                <w:color w:val="auto"/>
                <w:sz w:val="21"/>
                <w:szCs w:val="21"/>
                <w:highlight w:val="none"/>
                <w:u w:val="single"/>
                <w:lang w:val="en-US"/>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5.1.2</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开标会要求</w:t>
            </w:r>
          </w:p>
        </w:tc>
        <w:tc>
          <w:tcPr>
            <w:tcW w:w="5274" w:type="dxa"/>
            <w:vAlign w:val="center"/>
          </w:tcPr>
          <w:p>
            <w:pPr>
              <w:keepNext w:val="0"/>
              <w:keepLines w:val="0"/>
              <w:pageBreakBefore w:val="0"/>
              <w:widowControl w:val="0"/>
              <w:kinsoku/>
              <w:wordWrap/>
              <w:overflowPunct/>
              <w:topLinePunct w:val="0"/>
              <w:autoSpaceDE/>
              <w:autoSpaceDN/>
              <w:bidi w:val="0"/>
              <w:adjustRightInd w:val="0"/>
              <w:snapToGrid w:val="0"/>
              <w:spacing w:before="120" w:beforeLines="50" w:line="288" w:lineRule="auto"/>
              <w:textAlignment w:val="auto"/>
              <w:outlineLvl w:val="9"/>
              <w:rPr>
                <w:rFonts w:ascii="宋体" w:hAnsi="宋体" w:cs="宋体"/>
                <w:b/>
                <w:bCs/>
                <w:color w:val="auto"/>
                <w:szCs w:val="21"/>
                <w:highlight w:val="none"/>
              </w:rPr>
            </w:pPr>
            <w:r>
              <w:rPr>
                <w:rFonts w:hint="eastAsia" w:ascii="宋体" w:hAnsi="宋体" w:cs="宋体"/>
                <w:b/>
                <w:bCs/>
                <w:color w:val="auto"/>
                <w:szCs w:val="21"/>
                <w:highlight w:val="none"/>
              </w:rPr>
              <w:t>见面开标：</w:t>
            </w:r>
          </w:p>
          <w:p>
            <w:pPr>
              <w:keepNext w:val="0"/>
              <w:keepLines w:val="0"/>
              <w:pageBreakBefore w:val="0"/>
              <w:widowControl w:val="0"/>
              <w:kinsoku/>
              <w:wordWrap/>
              <w:overflowPunct/>
              <w:topLinePunct w:val="0"/>
              <w:autoSpaceDE/>
              <w:autoSpaceDN/>
              <w:bidi w:val="0"/>
              <w:spacing w:line="288" w:lineRule="auto"/>
              <w:textAlignment w:val="auto"/>
              <w:outlineLvl w:val="9"/>
              <w:rPr>
                <w:rFonts w:ascii="宋体" w:hAnsi="宋体" w:cs="宋体"/>
                <w:color w:val="auto"/>
                <w:highlight w:val="none"/>
              </w:rPr>
            </w:pPr>
            <w:r>
              <w:rPr>
                <w:rFonts w:hint="eastAsia" w:ascii="宋体" w:hAnsi="宋体" w:cs="宋体"/>
                <w:color w:val="auto"/>
                <w:highlight w:val="none"/>
              </w:rPr>
              <w:t>（1）投标人拟派的</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总承包项目经理应当作为投标人的委托代理人按时参加开标会，并持个人二代身份证原件、投标保证金</w:t>
            </w:r>
            <w:r>
              <w:rPr>
                <w:rFonts w:hint="eastAsia" w:ascii="宋体" w:hAnsi="宋体" w:cs="宋体"/>
                <w:color w:val="auto"/>
                <w:highlight w:val="none"/>
                <w:lang w:val="en-US" w:eastAsia="zh-CN"/>
              </w:rPr>
              <w:t>银行保函</w:t>
            </w:r>
            <w:r>
              <w:rPr>
                <w:rFonts w:hint="eastAsia" w:ascii="宋体" w:hAnsi="宋体" w:cs="宋体"/>
                <w:color w:val="auto"/>
                <w:highlight w:val="none"/>
              </w:rPr>
              <w:t>（如有），在投标截止时间前签到。</w:t>
            </w:r>
          </w:p>
          <w:p>
            <w:pPr>
              <w:keepNext w:val="0"/>
              <w:keepLines w:val="0"/>
              <w:pageBreakBefore w:val="0"/>
              <w:widowControl w:val="0"/>
              <w:kinsoku/>
              <w:wordWrap/>
              <w:overflowPunct/>
              <w:topLinePunct w:val="0"/>
              <w:autoSpaceDE/>
              <w:autoSpaceDN/>
              <w:bidi w:val="0"/>
              <w:spacing w:line="288" w:lineRule="auto"/>
              <w:textAlignment w:val="auto"/>
              <w:outlineLvl w:val="9"/>
              <w:rPr>
                <w:rFonts w:ascii="宋体" w:hAnsi="宋体" w:cs="宋体"/>
                <w:color w:val="auto"/>
                <w:highlight w:val="none"/>
              </w:rPr>
            </w:pPr>
            <w:r>
              <w:rPr>
                <w:rFonts w:hint="eastAsia" w:ascii="宋体" w:hAnsi="宋体" w:cs="宋体"/>
                <w:color w:val="auto"/>
                <w:highlight w:val="none"/>
              </w:rPr>
              <w:t>投标人拟派项目负责人出席开标会迟到，或未持个人二代身份证原件签到的，或者签到的</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总承包项目经理与投标文件中载明的</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总承包项目经理不是同一人的，由招标人核实确认并如实记录，由评标委员会作否决投标处理。</w:t>
            </w:r>
          </w:p>
          <w:p>
            <w:pPr>
              <w:keepNext w:val="0"/>
              <w:keepLines w:val="0"/>
              <w:pageBreakBefore w:val="0"/>
              <w:widowControl w:val="0"/>
              <w:kinsoku/>
              <w:wordWrap/>
              <w:overflowPunct/>
              <w:topLinePunct w:val="0"/>
              <w:autoSpaceDE/>
              <w:autoSpaceDN/>
              <w:bidi w:val="0"/>
              <w:spacing w:line="288" w:lineRule="auto"/>
              <w:textAlignment w:val="auto"/>
              <w:outlineLvl w:val="9"/>
              <w:rPr>
                <w:rFonts w:ascii="宋体" w:hAnsi="宋体" w:cs="宋体"/>
                <w:color w:val="auto"/>
                <w:highlight w:val="none"/>
              </w:rPr>
            </w:pPr>
            <w:r>
              <w:rPr>
                <w:rFonts w:hint="eastAsia" w:ascii="宋体" w:hAnsi="宋体" w:cs="宋体"/>
                <w:color w:val="auto"/>
                <w:szCs w:val="21"/>
                <w:highlight w:val="none"/>
              </w:rPr>
              <w:t>（2）投标人</w:t>
            </w:r>
            <w:r>
              <w:rPr>
                <w:rFonts w:hint="eastAsia" w:ascii="宋体" w:hAnsi="宋体" w:cs="宋体"/>
                <w:color w:val="auto"/>
                <w:highlight w:val="none"/>
              </w:rPr>
              <w:t>未携带CA证书参加开标会或在开标现场拒绝解密的，</w:t>
            </w:r>
            <w:r>
              <w:rPr>
                <w:rFonts w:hint="eastAsia" w:ascii="宋体" w:hAnsi="宋体" w:cs="宋体"/>
                <w:color w:val="auto"/>
                <w:szCs w:val="21"/>
                <w:highlight w:val="none"/>
              </w:rPr>
              <w:t>视为撤销其投标文件</w:t>
            </w:r>
            <w:r>
              <w:rPr>
                <w:rFonts w:hint="eastAsia" w:ascii="宋体" w:hAnsi="宋体" w:cs="宋体"/>
                <w:color w:val="auto"/>
                <w:highlight w:val="none"/>
              </w:rPr>
              <w:t>。</w:t>
            </w:r>
          </w:p>
          <w:p>
            <w:pPr>
              <w:keepNext w:val="0"/>
              <w:keepLines w:val="0"/>
              <w:pageBreakBefore w:val="0"/>
              <w:widowControl w:val="0"/>
              <w:kinsoku/>
              <w:wordWrap/>
              <w:overflowPunct/>
              <w:topLinePunct w:val="0"/>
              <w:autoSpaceDE/>
              <w:autoSpaceDN/>
              <w:bidi w:val="0"/>
              <w:adjustRightInd w:val="0"/>
              <w:snapToGrid w:val="0"/>
              <w:spacing w:line="288" w:lineRule="auto"/>
              <w:textAlignment w:val="auto"/>
              <w:outlineLvl w:val="9"/>
              <w:rPr>
                <w:rFonts w:ascii="宋体" w:hAnsi="宋体" w:cs="宋体"/>
                <w:b/>
                <w:bCs/>
                <w:color w:val="auto"/>
                <w:highlight w:val="none"/>
              </w:rPr>
            </w:pPr>
            <w:r>
              <w:rPr>
                <w:rFonts w:hint="eastAsia" w:ascii="宋体" w:hAnsi="宋体" w:cs="宋体"/>
                <w:b/>
                <w:bCs/>
                <w:color w:val="auto"/>
                <w:highlight w:val="none"/>
              </w:rPr>
              <w:t>不见面开标：</w:t>
            </w:r>
          </w:p>
          <w:p>
            <w:pPr>
              <w:keepNext w:val="0"/>
              <w:keepLines w:val="0"/>
              <w:pageBreakBefore w:val="0"/>
              <w:widowControl w:val="0"/>
              <w:kinsoku/>
              <w:wordWrap/>
              <w:overflowPunct/>
              <w:topLinePunct w:val="0"/>
              <w:autoSpaceDE/>
              <w:autoSpaceDN/>
              <w:bidi w:val="0"/>
              <w:adjustRightInd w:val="0"/>
              <w:snapToGrid w:val="0"/>
              <w:spacing w:line="288" w:lineRule="auto"/>
              <w:textAlignment w:val="auto"/>
              <w:outlineLvl w:val="9"/>
              <w:rPr>
                <w:rFonts w:ascii="宋体" w:hAnsi="宋体" w:cs="宋体"/>
                <w:color w:val="auto"/>
                <w:szCs w:val="21"/>
                <w:highlight w:val="none"/>
              </w:rPr>
            </w:pPr>
            <w:r>
              <w:rPr>
                <w:rFonts w:hint="eastAsia" w:ascii="宋体" w:hAnsi="宋体" w:cs="宋体"/>
                <w:color w:val="auto"/>
                <w:szCs w:val="21"/>
                <w:highlight w:val="none"/>
              </w:rPr>
              <w:t>招标人在投标人须知前附表规定的投标截止时间（开标时间）在“电子交易平台”上公开进行开标，所有投标人均应当准时在线参加开标。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20" w:hRule="atLeast"/>
          <w:jc w:val="center"/>
        </w:trPr>
        <w:tc>
          <w:tcPr>
            <w:tcW w:w="1266"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5.2.1</w:t>
            </w:r>
          </w:p>
        </w:tc>
        <w:tc>
          <w:tcPr>
            <w:tcW w:w="2463"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开标程序</w:t>
            </w:r>
          </w:p>
        </w:tc>
        <w:tc>
          <w:tcPr>
            <w:tcW w:w="5274" w:type="dxa"/>
            <w:vAlign w:val="center"/>
          </w:tcPr>
          <w:p>
            <w:pPr>
              <w:keepNext w:val="0"/>
              <w:keepLines w:val="0"/>
              <w:pageBreakBefore w:val="0"/>
              <w:widowControl/>
              <w:kinsoku/>
              <w:wordWrap/>
              <w:overflowPunct/>
              <w:topLinePunct w:val="0"/>
              <w:autoSpaceDE/>
              <w:autoSpaceDN/>
              <w:bidi w:val="0"/>
              <w:adjustRightInd/>
              <w:snapToGrid/>
              <w:spacing w:before="0" w:beforeLines="-2147483648" w:line="288" w:lineRule="auto"/>
              <w:ind w:firstLine="316" w:firstLineChars="150"/>
              <w:jc w:val="left"/>
              <w:textAlignment w:val="auto"/>
              <w:outlineLvl w:val="9"/>
              <w:rPr>
                <w:rFonts w:ascii="宋体" w:hAnsi="宋体" w:cs="宋体"/>
                <w:b/>
                <w:bCs/>
                <w:color w:val="auto"/>
                <w:szCs w:val="21"/>
                <w:highlight w:val="none"/>
              </w:rPr>
            </w:pPr>
            <w:r>
              <w:rPr>
                <w:rFonts w:hint="eastAsia" w:ascii="宋体" w:hAnsi="宋体" w:cs="宋体"/>
                <w:b/>
                <w:bCs/>
                <w:color w:val="auto"/>
                <w:szCs w:val="21"/>
                <w:highlight w:val="none"/>
              </w:rPr>
              <w:t>一、见面开标开标程序（非两阶段）</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ascii="宋体" w:hAnsi="宋体" w:cs="宋体"/>
                <w:color w:val="auto"/>
                <w:szCs w:val="21"/>
                <w:highlight w:val="none"/>
              </w:rPr>
            </w:pPr>
            <w:r>
              <w:rPr>
                <w:rFonts w:hint="eastAsia" w:ascii="宋体" w:hAnsi="宋体" w:cs="宋体"/>
                <w:color w:val="auto"/>
                <w:szCs w:val="21"/>
                <w:highlight w:val="none"/>
              </w:rPr>
              <w:t xml:space="preserve">    招标人在规定的时间内，按下列程序进行开标：</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（1）宣布开标纪律；</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（2）宣布开标人、唱标人、记录人、监标人等有关人员姓名；</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（3）核验投标人代表的身份后，公布投标人名称及投标人代表参加开标会签到情况；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（4）检查并确认投标文件的密封是否完好并符合招标文件的要求；</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（5）按照上传投标文件的先后顺序依次由投标人代表持CA锁解密；</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（6）招标人代表随机抽取评标基准价计算方法、K值、K1值、Q1值、Δ值；（如有）</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（7）招标代理对投标文件进行解密；</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（8）公布解密情况（解密是否成功、投标人名称、投标家数等情况）；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（9）公布投标人名称、标段名称、投标保证金的</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情况、投标报价、质量目标、工期及其他内容；</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（10）开标现场异议处理并制作记录；</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（11）开标结束。</w:t>
            </w:r>
          </w:p>
          <w:p>
            <w:pPr>
              <w:keepNext w:val="0"/>
              <w:keepLines w:val="0"/>
              <w:pageBreakBefore w:val="0"/>
              <w:widowControl/>
              <w:kinsoku/>
              <w:wordWrap/>
              <w:overflowPunct/>
              <w:topLinePunct w:val="0"/>
              <w:autoSpaceDE/>
              <w:autoSpaceDN/>
              <w:bidi w:val="0"/>
              <w:adjustRightInd/>
              <w:snapToGrid/>
              <w:spacing w:before="0" w:beforeLines="-2147483648" w:line="288" w:lineRule="auto"/>
              <w:ind w:firstLine="316" w:firstLineChars="150"/>
              <w:jc w:val="left"/>
              <w:textAlignment w:val="auto"/>
              <w:outlineLvl w:val="9"/>
              <w:rPr>
                <w:rFonts w:ascii="宋体" w:hAnsi="宋体" w:cs="宋体"/>
                <w:b/>
                <w:bCs/>
                <w:color w:val="auto"/>
                <w:szCs w:val="21"/>
                <w:highlight w:val="none"/>
              </w:rPr>
            </w:pPr>
            <w:r>
              <w:rPr>
                <w:rFonts w:hint="eastAsia" w:ascii="宋体" w:hAnsi="宋体" w:cs="宋体"/>
                <w:b/>
                <w:bCs/>
                <w:color w:val="auto"/>
                <w:szCs w:val="21"/>
                <w:highlight w:val="none"/>
              </w:rPr>
              <w:t>二、见面开标开标程序（两阶段）</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ascii="宋体" w:hAnsi="宋体" w:cs="宋体"/>
                <w:color w:val="auto"/>
                <w:szCs w:val="21"/>
                <w:highlight w:val="none"/>
              </w:rPr>
            </w:pPr>
            <w:r>
              <w:rPr>
                <w:rFonts w:hint="eastAsia" w:ascii="宋体" w:hAnsi="宋体" w:cs="宋体"/>
                <w:color w:val="auto"/>
                <w:szCs w:val="21"/>
                <w:highlight w:val="none"/>
              </w:rPr>
              <w:t>招标人在规定的时间内，按下列程序进行开标：</w:t>
            </w:r>
          </w:p>
          <w:p>
            <w:pPr>
              <w:keepNext w:val="0"/>
              <w:keepLines w:val="0"/>
              <w:pageBreakBefore w:val="0"/>
              <w:widowControl/>
              <w:kinsoku/>
              <w:wordWrap/>
              <w:overflowPunct/>
              <w:topLinePunct w:val="0"/>
              <w:autoSpaceDE/>
              <w:autoSpaceDN/>
              <w:bidi w:val="0"/>
              <w:adjustRightInd/>
              <w:snapToGrid/>
              <w:spacing w:line="288" w:lineRule="auto"/>
              <w:ind w:firstLine="316" w:firstLineChars="150"/>
              <w:jc w:val="left"/>
              <w:textAlignment w:val="auto"/>
              <w:outlineLvl w:val="9"/>
              <w:rPr>
                <w:rFonts w:hint="eastAsia" w:ascii="宋体" w:hAnsi="宋体" w:cs="宋体"/>
                <w:b/>
                <w:bCs/>
                <w:color w:val="auto"/>
                <w:szCs w:val="21"/>
                <w:highlight w:val="none"/>
              </w:rPr>
            </w:pPr>
            <w:r>
              <w:rPr>
                <w:rFonts w:ascii="宋体" w:hAnsi="宋体" w:cs="宋体"/>
                <w:b/>
                <w:bCs/>
                <w:color w:val="auto"/>
                <w:szCs w:val="21"/>
                <w:highlight w:val="none"/>
              </w:rPr>
              <w:t>第一阶段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（1）宣布开标纪律；</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（2）宣布开标人、唱标人、记录人、监标人等有关人员姓名；</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（3）核验投标人代表的身份后，公布投标人名称及投标人代表参加开标会签到情况；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（4）检查并确认投标文件的密封是否完好并符合招标文件的要求；</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（5）按照上传投标文件的先后顺序依次由投标人代表持CA锁解密资格审查申请文件、设计文件；</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ascii="宋体" w:hAnsi="宋体" w:cs="宋体"/>
                <w:color w:val="auto"/>
                <w:szCs w:val="21"/>
                <w:highlight w:val="none"/>
              </w:rPr>
            </w:pPr>
            <w:r>
              <w:rPr>
                <w:rFonts w:hint="eastAsia" w:ascii="宋体" w:hAnsi="宋体" w:cs="宋体"/>
                <w:color w:val="auto"/>
                <w:szCs w:val="21"/>
                <w:highlight w:val="none"/>
              </w:rPr>
              <w:t>（6）招标代理对投标文件进行解密；</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ascii="宋体" w:hAnsi="宋体" w:cs="宋体"/>
                <w:color w:val="auto"/>
                <w:szCs w:val="21"/>
                <w:highlight w:val="none"/>
              </w:rPr>
            </w:pPr>
            <w:r>
              <w:rPr>
                <w:rFonts w:hint="eastAsia" w:ascii="宋体" w:hAnsi="宋体" w:cs="宋体"/>
                <w:color w:val="auto"/>
                <w:szCs w:val="21"/>
                <w:highlight w:val="none"/>
              </w:rPr>
              <w:t>（7）公布解密情况（解密是否成功）；</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ascii="宋体" w:hAnsi="宋体" w:cs="宋体"/>
                <w:color w:val="auto"/>
                <w:szCs w:val="21"/>
                <w:highlight w:val="none"/>
              </w:rPr>
            </w:pPr>
            <w:r>
              <w:rPr>
                <w:rFonts w:hint="eastAsia" w:ascii="宋体" w:hAnsi="宋体" w:cs="宋体"/>
                <w:color w:val="auto"/>
                <w:szCs w:val="21"/>
                <w:highlight w:val="none"/>
              </w:rPr>
              <w:t>（8）公布投标人名称、标段名称、第二阶段的开始时间及其他内容；</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ascii="宋体" w:hAnsi="宋体" w:cs="宋体"/>
                <w:color w:val="auto"/>
                <w:szCs w:val="21"/>
                <w:highlight w:val="none"/>
              </w:rPr>
            </w:pPr>
            <w:r>
              <w:rPr>
                <w:rFonts w:hint="eastAsia" w:ascii="宋体" w:hAnsi="宋体" w:cs="宋体"/>
                <w:color w:val="auto"/>
                <w:szCs w:val="21"/>
                <w:highlight w:val="none"/>
              </w:rPr>
              <w:t>（9）开标现场异议处理并制作记录；</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（1</w:t>
            </w:r>
            <w:r>
              <w:rPr>
                <w:rFonts w:ascii="宋体" w:hAnsi="宋体" w:cs="宋体"/>
                <w:color w:val="auto"/>
                <w:szCs w:val="21"/>
                <w:highlight w:val="none"/>
              </w:rPr>
              <w:t>0</w:t>
            </w:r>
            <w:r>
              <w:rPr>
                <w:rFonts w:hint="eastAsia" w:ascii="宋体" w:hAnsi="宋体" w:cs="宋体"/>
                <w:color w:val="auto"/>
                <w:szCs w:val="21"/>
                <w:highlight w:val="none"/>
              </w:rPr>
              <w:t>）宣布第一阶段开标结束</w:t>
            </w:r>
            <w:r>
              <w:rPr>
                <w:rFonts w:hint="eastAsia" w:ascii="宋体" w:hAnsi="宋体" w:cs="宋体"/>
                <w:color w:val="auto"/>
                <w:szCs w:val="21"/>
                <w:highlight w:val="none"/>
                <w:lang w:eastAsia="zh-CN"/>
              </w:rPr>
              <w:t>；</w:t>
            </w:r>
          </w:p>
          <w:p>
            <w:pPr>
              <w:keepNext w:val="0"/>
              <w:keepLines w:val="0"/>
              <w:pageBreakBefore w:val="0"/>
              <w:widowControl/>
              <w:kinsoku/>
              <w:wordWrap/>
              <w:overflowPunct/>
              <w:topLinePunct w:val="0"/>
              <w:autoSpaceDE/>
              <w:autoSpaceDN/>
              <w:bidi w:val="0"/>
              <w:adjustRightInd/>
              <w:snapToGrid/>
              <w:spacing w:line="288" w:lineRule="auto"/>
              <w:ind w:firstLine="316" w:firstLineChars="150"/>
              <w:jc w:val="left"/>
              <w:textAlignment w:val="auto"/>
              <w:outlineLvl w:val="9"/>
              <w:rPr>
                <w:rFonts w:ascii="宋体" w:hAnsi="宋体" w:cs="宋体"/>
                <w:b/>
                <w:bCs/>
                <w:color w:val="auto"/>
                <w:szCs w:val="21"/>
                <w:highlight w:val="none"/>
              </w:rPr>
            </w:pPr>
            <w:r>
              <w:rPr>
                <w:rFonts w:ascii="宋体" w:hAnsi="宋体" w:cs="宋体"/>
                <w:b/>
                <w:bCs/>
                <w:color w:val="auto"/>
                <w:szCs w:val="21"/>
                <w:highlight w:val="none"/>
              </w:rPr>
              <w:t>第二阶段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t>（1）宣布开标纪律；</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（2）宣布开标人、唱标人、记录人、监标人等有关人员姓名；</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t>（3）公布进入第二阶段的投标人名单；</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ascii="宋体" w:hAnsi="宋体" w:cs="宋体"/>
                <w:color w:val="auto"/>
                <w:szCs w:val="21"/>
                <w:highlight w:val="none"/>
              </w:rPr>
              <w:t>4</w:t>
            </w:r>
            <w:r>
              <w:rPr>
                <w:rFonts w:hint="eastAsia" w:ascii="宋体" w:hAnsi="宋体" w:cs="宋体"/>
                <w:color w:val="auto"/>
                <w:szCs w:val="21"/>
                <w:highlight w:val="none"/>
              </w:rPr>
              <w:t>）核验投标人代表的身份后，公布投标人代表参加开标会签到情况；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ascii="宋体" w:hAnsi="宋体" w:cs="宋体"/>
                <w:color w:val="auto"/>
                <w:szCs w:val="21"/>
                <w:highlight w:val="none"/>
              </w:rPr>
              <w:t>5</w:t>
            </w:r>
            <w:r>
              <w:rPr>
                <w:rFonts w:hint="eastAsia" w:ascii="宋体" w:hAnsi="宋体" w:cs="宋体"/>
                <w:color w:val="auto"/>
                <w:szCs w:val="21"/>
                <w:highlight w:val="none"/>
              </w:rPr>
              <w:t>）检查并确认投标文件的密封是否完好并符合招标文件的要求；</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ascii="宋体" w:hAnsi="宋体" w:cs="宋体"/>
                <w:color w:val="auto"/>
                <w:szCs w:val="21"/>
                <w:highlight w:val="none"/>
              </w:rPr>
              <w:t>6</w:t>
            </w:r>
            <w:r>
              <w:rPr>
                <w:rFonts w:hint="eastAsia" w:ascii="宋体" w:hAnsi="宋体" w:cs="宋体"/>
                <w:color w:val="auto"/>
                <w:szCs w:val="21"/>
                <w:highlight w:val="none"/>
              </w:rPr>
              <w:t>）按照上传投标文件的先后顺序依次由投标人代表持CA锁解密商务标文件、经济标文件、项目管理组织方案；</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t>（7）招标人代表随机抽取评标基准价计算方法、K值、K1值、Q1值、Δ值；（如有）</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8</w:t>
            </w:r>
            <w:r>
              <w:rPr>
                <w:rFonts w:hint="eastAsia" w:ascii="宋体" w:hAnsi="宋体" w:cs="宋体"/>
                <w:color w:val="auto"/>
                <w:szCs w:val="21"/>
                <w:highlight w:val="none"/>
              </w:rPr>
              <w:t>）公布投标保证金的</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情况、投标报价、质量目标、工期及其他内容；</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9</w:t>
            </w:r>
            <w:r>
              <w:rPr>
                <w:rFonts w:hint="eastAsia" w:ascii="宋体" w:hAnsi="宋体" w:cs="宋体"/>
                <w:color w:val="auto"/>
                <w:szCs w:val="21"/>
                <w:highlight w:val="none"/>
              </w:rPr>
              <w:t>）开标现场异议处理并制作记录；</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（1</w:t>
            </w:r>
            <w:r>
              <w:rPr>
                <w:rFonts w:hint="eastAsia" w:ascii="宋体" w:hAnsi="宋体" w:cs="宋体"/>
                <w:color w:val="auto"/>
                <w:szCs w:val="21"/>
                <w:highlight w:val="none"/>
                <w:lang w:val="en-US" w:eastAsia="zh-CN"/>
              </w:rPr>
              <w:t>0</w:t>
            </w:r>
            <w:r>
              <w:rPr>
                <w:rFonts w:hint="eastAsia" w:ascii="宋体" w:hAnsi="宋体" w:cs="宋体"/>
                <w:color w:val="auto"/>
                <w:szCs w:val="21"/>
                <w:highlight w:val="none"/>
              </w:rPr>
              <w:t>）宣布第二阶段开标结束</w:t>
            </w:r>
          </w:p>
          <w:p>
            <w:pPr>
              <w:keepNext w:val="0"/>
              <w:keepLines w:val="0"/>
              <w:pageBreakBefore w:val="0"/>
              <w:widowControl/>
              <w:kinsoku/>
              <w:wordWrap/>
              <w:overflowPunct/>
              <w:topLinePunct w:val="0"/>
              <w:autoSpaceDE/>
              <w:autoSpaceDN/>
              <w:bidi w:val="0"/>
              <w:adjustRightInd/>
              <w:snapToGrid/>
              <w:spacing w:before="0" w:beforeLines="-2147483648" w:line="288" w:lineRule="auto"/>
              <w:ind w:firstLine="316" w:firstLineChars="150"/>
              <w:jc w:val="left"/>
              <w:textAlignment w:val="auto"/>
              <w:outlineLvl w:val="9"/>
              <w:rPr>
                <w:rFonts w:ascii="宋体" w:hAnsi="宋体" w:cs="宋体"/>
                <w:b/>
                <w:bCs/>
                <w:color w:val="auto"/>
                <w:szCs w:val="21"/>
                <w:highlight w:val="none"/>
              </w:rPr>
            </w:pPr>
            <w:r>
              <w:rPr>
                <w:rFonts w:hint="eastAsia" w:ascii="宋体" w:hAnsi="宋体" w:cs="宋体"/>
                <w:b/>
                <w:bCs/>
                <w:color w:val="auto"/>
                <w:szCs w:val="21"/>
                <w:highlight w:val="none"/>
              </w:rPr>
              <w:t>三、不见面开标开标程序（非两阶段）</w:t>
            </w:r>
          </w:p>
          <w:p>
            <w:pPr>
              <w:keepNext w:val="0"/>
              <w:keepLines w:val="0"/>
              <w:pageBreakBefore w:val="0"/>
              <w:widowControl/>
              <w:kinsoku/>
              <w:wordWrap/>
              <w:overflowPunct/>
              <w:topLinePunct w:val="0"/>
              <w:autoSpaceDE/>
              <w:autoSpaceDN/>
              <w:bidi w:val="0"/>
              <w:adjustRightInd/>
              <w:snapToGrid/>
              <w:spacing w:line="288" w:lineRule="auto"/>
              <w:ind w:firstLine="315" w:firstLineChars="150"/>
              <w:jc w:val="left"/>
              <w:textAlignment w:val="auto"/>
              <w:outlineLvl w:val="9"/>
              <w:rPr>
                <w:rFonts w:ascii="宋体" w:hAnsi="宋体" w:cs="宋体"/>
                <w:color w:val="auto"/>
                <w:szCs w:val="21"/>
                <w:highlight w:val="none"/>
              </w:rPr>
            </w:pPr>
            <w:r>
              <w:rPr>
                <w:rFonts w:hint="eastAsia" w:ascii="宋体" w:hAnsi="宋体" w:cs="宋体"/>
                <w:color w:val="auto"/>
                <w:szCs w:val="21"/>
                <w:highlight w:val="none"/>
              </w:rPr>
              <w:t xml:space="preserve">    主持人按下列程序在“电子交易平台”进行在线开标：</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（1）宣布开标纪律；</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 xml:space="preserve">（2）公布主持人、招标人代表、监标人等有关人员姓名； </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（3）公布在投标截止时间前投标文件的</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情况；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（4）投标人根据提示在投标人须知前附表规定的时间内解密投标文件；</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（5）招标人代表随机抽取评标基准价计算方法、K值、K1值、Q1值、Δ值；（如有）</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（6）招标代理对投标文件进行解密；</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（7）公布投标人名称、标段名称、投标保证金的</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情况、投标报价、项目负责人姓名及其他内容，并生成开标记录；</w:t>
            </w:r>
          </w:p>
          <w:p>
            <w:pPr>
              <w:keepNext w:val="0"/>
              <w:keepLines w:val="0"/>
              <w:pageBreakBefore w:val="0"/>
              <w:widowControl/>
              <w:kinsoku/>
              <w:wordWrap/>
              <w:overflowPunct/>
              <w:topLinePunct w:val="0"/>
              <w:autoSpaceDE/>
              <w:autoSpaceDN/>
              <w:bidi w:val="0"/>
              <w:adjustRightInd/>
              <w:snapToGrid/>
              <w:spacing w:after="0" w:afterLines="-2147483648"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（8）开标结束。</w:t>
            </w:r>
          </w:p>
          <w:p>
            <w:pPr>
              <w:keepNext w:val="0"/>
              <w:keepLines w:val="0"/>
              <w:pageBreakBefore w:val="0"/>
              <w:widowControl/>
              <w:kinsoku/>
              <w:wordWrap/>
              <w:overflowPunct/>
              <w:topLinePunct w:val="0"/>
              <w:autoSpaceDE/>
              <w:autoSpaceDN/>
              <w:bidi w:val="0"/>
              <w:adjustRightInd/>
              <w:snapToGrid/>
              <w:spacing w:line="288" w:lineRule="auto"/>
              <w:ind w:firstLine="316" w:firstLineChars="150"/>
              <w:textAlignment w:val="auto"/>
              <w:outlineLvl w:val="9"/>
              <w:rPr>
                <w:rFonts w:ascii="宋体" w:hAnsi="宋体" w:cs="宋体"/>
                <w:b/>
                <w:bCs/>
                <w:color w:val="auto"/>
                <w:szCs w:val="21"/>
                <w:highlight w:val="none"/>
              </w:rPr>
            </w:pPr>
            <w:r>
              <w:rPr>
                <w:rFonts w:hint="eastAsia" w:ascii="宋体" w:hAnsi="宋体" w:cs="宋体"/>
                <w:b/>
                <w:bCs/>
                <w:color w:val="auto"/>
                <w:szCs w:val="21"/>
                <w:highlight w:val="none"/>
              </w:rPr>
              <w:t>四、不见面开标开标程序（两阶段）</w:t>
            </w:r>
          </w:p>
          <w:p>
            <w:pPr>
              <w:keepNext w:val="0"/>
              <w:keepLines w:val="0"/>
              <w:pageBreakBefore w:val="0"/>
              <w:widowControl/>
              <w:kinsoku/>
              <w:wordWrap/>
              <w:overflowPunct/>
              <w:topLinePunct w:val="0"/>
              <w:autoSpaceDE/>
              <w:autoSpaceDN/>
              <w:bidi w:val="0"/>
              <w:spacing w:line="288" w:lineRule="auto"/>
              <w:ind w:firstLine="316" w:firstLineChars="150"/>
              <w:textAlignment w:val="auto"/>
              <w:outlineLvl w:val="9"/>
              <w:rPr>
                <w:rFonts w:ascii="宋体" w:hAnsi="宋体" w:cs="宋体"/>
                <w:b/>
                <w:bCs/>
                <w:color w:val="auto"/>
                <w:szCs w:val="21"/>
                <w:highlight w:val="none"/>
              </w:rPr>
            </w:pPr>
            <w:r>
              <w:rPr>
                <w:rFonts w:ascii="宋体" w:hAnsi="宋体" w:cs="宋体"/>
                <w:b/>
                <w:bCs/>
                <w:color w:val="auto"/>
                <w:szCs w:val="21"/>
                <w:highlight w:val="none"/>
              </w:rPr>
              <w:t>第一阶段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主持人按下列程序在“电子交易平台”进行在线开标：</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（1）宣布开标纪律；</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（2）公布主持人、招标人代表、监标人等有关人员姓名；</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（3）公布在投标截止时间前投标文件的</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情况；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t>（4）投标人根据提示在投标人须知前附表规定的时间内解密</w:t>
            </w:r>
            <w:r>
              <w:rPr>
                <w:rFonts w:hint="eastAsia" w:ascii="宋体" w:hAnsi="宋体" w:cs="宋体"/>
                <w:color w:val="auto"/>
                <w:szCs w:val="21"/>
                <w:highlight w:val="none"/>
                <w:lang w:val="en-US" w:eastAsia="zh-CN"/>
              </w:rPr>
              <w:t>投标</w:t>
            </w:r>
            <w:r>
              <w:rPr>
                <w:rFonts w:hint="eastAsia" w:ascii="宋体" w:hAnsi="宋体" w:cs="宋体"/>
                <w:color w:val="auto"/>
                <w:szCs w:val="21"/>
                <w:highlight w:val="none"/>
              </w:rPr>
              <w:t>文件；</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hint="eastAsia" w:ascii="宋体" w:hAnsi="宋体" w:eastAsia="宋体" w:cs="宋体"/>
                <w:color w:val="auto"/>
                <w:szCs w:val="21"/>
                <w:highlight w:val="none"/>
                <w:lang w:val="en-US"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5）</w:t>
            </w:r>
            <w:r>
              <w:rPr>
                <w:rFonts w:hint="eastAsia" w:ascii="宋体" w:hAnsi="宋体" w:cs="宋体"/>
                <w:color w:val="auto"/>
                <w:szCs w:val="21"/>
                <w:highlight w:val="none"/>
              </w:rPr>
              <w:t>招标人代表随机抽取评标基准价计算方法、K值、K1值、Q1值；（如有）</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）招标代理对资格审查申请文件、设计文件进行解密；</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rPr>
              <w:t>）公布解密情况（解密是否成功）；</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8</w:t>
            </w:r>
            <w:r>
              <w:rPr>
                <w:rFonts w:hint="eastAsia" w:ascii="宋体" w:hAnsi="宋体" w:cs="宋体"/>
                <w:color w:val="auto"/>
                <w:szCs w:val="21"/>
                <w:highlight w:val="none"/>
              </w:rPr>
              <w:t>）公布投标人名称、标段名称及其他内容（不含投标报价等），并生成开标记录；</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9</w:t>
            </w:r>
            <w:r>
              <w:rPr>
                <w:rFonts w:hint="eastAsia" w:ascii="宋体" w:hAnsi="宋体" w:cs="宋体"/>
                <w:color w:val="auto"/>
                <w:szCs w:val="21"/>
                <w:highlight w:val="none"/>
              </w:rPr>
              <w:t>）开标现场异议处理并制作记录；</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10</w:t>
            </w:r>
            <w:r>
              <w:rPr>
                <w:rFonts w:hint="eastAsia" w:ascii="宋体" w:hAnsi="宋体" w:cs="宋体"/>
                <w:color w:val="auto"/>
                <w:szCs w:val="21"/>
                <w:highlight w:val="none"/>
              </w:rPr>
              <w:t>）宣布第一阶段开标结束</w:t>
            </w:r>
          </w:p>
          <w:p>
            <w:pPr>
              <w:keepNext w:val="0"/>
              <w:keepLines w:val="0"/>
              <w:pageBreakBefore w:val="0"/>
              <w:widowControl/>
              <w:kinsoku/>
              <w:wordWrap/>
              <w:overflowPunct/>
              <w:topLinePunct w:val="0"/>
              <w:autoSpaceDE/>
              <w:autoSpaceDN/>
              <w:bidi w:val="0"/>
              <w:spacing w:line="288" w:lineRule="auto"/>
              <w:ind w:firstLine="316" w:firstLineChars="150"/>
              <w:textAlignment w:val="auto"/>
              <w:outlineLvl w:val="9"/>
              <w:rPr>
                <w:rFonts w:ascii="宋体" w:hAnsi="宋体" w:cs="宋体"/>
                <w:b/>
                <w:bCs/>
                <w:color w:val="auto"/>
                <w:szCs w:val="21"/>
                <w:highlight w:val="none"/>
              </w:rPr>
            </w:pPr>
            <w:r>
              <w:rPr>
                <w:rFonts w:ascii="宋体" w:hAnsi="宋体" w:cs="宋体"/>
                <w:b/>
                <w:bCs/>
                <w:color w:val="auto"/>
                <w:szCs w:val="21"/>
                <w:highlight w:val="none"/>
              </w:rPr>
              <w:t>第</w:t>
            </w:r>
            <w:r>
              <w:rPr>
                <w:rFonts w:hint="eastAsia" w:ascii="宋体" w:hAnsi="宋体" w:cs="宋体"/>
                <w:b/>
                <w:bCs/>
                <w:color w:val="auto"/>
                <w:szCs w:val="21"/>
                <w:highlight w:val="none"/>
              </w:rPr>
              <w:t>二</w:t>
            </w:r>
            <w:r>
              <w:rPr>
                <w:rFonts w:ascii="宋体" w:hAnsi="宋体" w:cs="宋体"/>
                <w:b/>
                <w:bCs/>
                <w:color w:val="auto"/>
                <w:szCs w:val="21"/>
                <w:highlight w:val="none"/>
              </w:rPr>
              <w:t>阶段</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ascii="宋体" w:hAnsi="宋体" w:cs="宋体"/>
                <w:color w:val="auto"/>
                <w:szCs w:val="21"/>
                <w:highlight w:val="none"/>
              </w:rPr>
            </w:pPr>
            <w:r>
              <w:rPr>
                <w:rFonts w:hint="eastAsia" w:ascii="宋体" w:hAnsi="宋体" w:cs="宋体"/>
                <w:color w:val="auto"/>
                <w:szCs w:val="21"/>
                <w:highlight w:val="none"/>
              </w:rPr>
              <w:t>主持人按下列程序在“电子交易平台”进行在线开标：</w:t>
            </w:r>
          </w:p>
          <w:p>
            <w:pPr>
              <w:spacing w:line="288" w:lineRule="auto"/>
              <w:ind w:firstLine="315" w:firstLineChars="150"/>
              <w:rPr>
                <w:rFonts w:ascii="宋体" w:hAnsi="宋体" w:cs="宋体"/>
                <w:color w:val="auto"/>
                <w:szCs w:val="21"/>
                <w:highlight w:val="none"/>
              </w:rPr>
            </w:pPr>
            <w:r>
              <w:rPr>
                <w:rFonts w:hint="eastAsia" w:ascii="宋体" w:hAnsi="宋体" w:cs="宋体"/>
                <w:color w:val="auto"/>
                <w:szCs w:val="21"/>
                <w:highlight w:val="none"/>
              </w:rPr>
              <w:t>（1）公布进入第二阶段的投标人名单；</w:t>
            </w:r>
          </w:p>
          <w:p>
            <w:pPr>
              <w:spacing w:line="288" w:lineRule="auto"/>
              <w:ind w:firstLine="315" w:firstLineChars="150"/>
              <w:rPr>
                <w:rFonts w:ascii="宋体" w:hAnsi="宋体" w:cs="宋体"/>
                <w:color w:val="auto"/>
                <w:szCs w:val="21"/>
                <w:highlight w:val="none"/>
              </w:rPr>
            </w:pPr>
            <w:r>
              <w:rPr>
                <w:rFonts w:hint="eastAsia" w:ascii="宋体" w:hAnsi="宋体" w:cs="宋体"/>
                <w:color w:val="auto"/>
                <w:szCs w:val="21"/>
                <w:highlight w:val="none"/>
              </w:rPr>
              <w:t>（2）招标代理对商务标文件、经济标文件、项目管理组织方案进行解密；</w:t>
            </w:r>
          </w:p>
          <w:p>
            <w:pPr>
              <w:spacing w:line="288" w:lineRule="auto"/>
              <w:ind w:firstLine="315" w:firstLineChars="150"/>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3</w:t>
            </w:r>
            <w:r>
              <w:rPr>
                <w:rFonts w:hint="eastAsia" w:ascii="宋体" w:hAnsi="宋体" w:cs="宋体"/>
                <w:color w:val="auto"/>
                <w:szCs w:val="21"/>
                <w:highlight w:val="none"/>
              </w:rPr>
              <w:t>）公布解密情况（解密是否成功）；</w:t>
            </w:r>
          </w:p>
          <w:p>
            <w:pPr>
              <w:spacing w:line="288" w:lineRule="auto"/>
              <w:ind w:firstLine="315" w:firstLineChars="150"/>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4</w:t>
            </w:r>
            <w:r>
              <w:rPr>
                <w:rFonts w:hint="eastAsia" w:ascii="宋体" w:hAnsi="宋体" w:cs="宋体"/>
                <w:color w:val="auto"/>
                <w:szCs w:val="21"/>
                <w:highlight w:val="none"/>
              </w:rPr>
              <w:t>）公布投标保证金的</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情况、投标报价、质量目标、工期及其他内容，并生成开标记录；</w:t>
            </w:r>
          </w:p>
          <w:p>
            <w:pPr>
              <w:keepNext w:val="0"/>
              <w:keepLines w:val="0"/>
              <w:pageBreakBefore w:val="0"/>
              <w:widowControl/>
              <w:kinsoku/>
              <w:wordWrap/>
              <w:overflowPunct/>
              <w:topLinePunct w:val="0"/>
              <w:autoSpaceDE/>
              <w:autoSpaceDN/>
              <w:bidi w:val="0"/>
              <w:spacing w:line="288" w:lineRule="auto"/>
              <w:ind w:firstLine="315" w:firstLineChars="150"/>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）开标现场异议处理并制作记录；</w:t>
            </w:r>
          </w:p>
          <w:p>
            <w:pPr>
              <w:keepNext w:val="0"/>
              <w:keepLines w:val="0"/>
              <w:pageBreakBefore w:val="0"/>
              <w:widowControl/>
              <w:kinsoku/>
              <w:wordWrap/>
              <w:overflowPunct/>
              <w:topLinePunct w:val="0"/>
              <w:autoSpaceDE/>
              <w:autoSpaceDN/>
              <w:bidi w:val="0"/>
              <w:adjustRightInd/>
              <w:snapToGrid/>
              <w:spacing w:line="288" w:lineRule="auto"/>
              <w:ind w:firstLine="315" w:firstLineChars="150"/>
              <w:textAlignment w:val="auto"/>
              <w:outlineLvl w:val="9"/>
              <w:rPr>
                <w:rFonts w:ascii="宋体" w:hAnsi="宋体" w:cs="宋体"/>
                <w:b/>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）宣布第二阶段开标结束</w:t>
            </w:r>
            <w:r>
              <w:rPr>
                <w:rFonts w:hint="eastAsia" w:ascii="宋体" w:hAnsi="宋体" w:cs="宋体"/>
                <w:color w:val="auto"/>
                <w:szCs w:val="21"/>
                <w:highlight w:val="non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66"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5.2.2</w:t>
            </w:r>
          </w:p>
        </w:tc>
        <w:tc>
          <w:tcPr>
            <w:tcW w:w="2463"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解密时间</w:t>
            </w:r>
          </w:p>
        </w:tc>
        <w:tc>
          <w:tcPr>
            <w:tcW w:w="5274" w:type="dxa"/>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分钟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87" w:hRule="atLeast"/>
          <w:jc w:val="center"/>
        </w:trPr>
        <w:tc>
          <w:tcPr>
            <w:tcW w:w="1266"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6.1.1</w:t>
            </w:r>
          </w:p>
        </w:tc>
        <w:tc>
          <w:tcPr>
            <w:tcW w:w="2463" w:type="dxa"/>
            <w:vAlign w:val="center"/>
          </w:tcPr>
          <w:p>
            <w:pPr>
              <w:adjustRightInd w:val="0"/>
              <w:snapToGrid w:val="0"/>
              <w:jc w:val="center"/>
              <w:rPr>
                <w:rFonts w:ascii="宋体" w:hAnsi="宋体" w:cs="宋体"/>
                <w:color w:val="auto"/>
                <w:szCs w:val="21"/>
                <w:highlight w:val="none"/>
              </w:rPr>
            </w:pPr>
            <w:r>
              <w:rPr>
                <w:rFonts w:hint="eastAsia" w:ascii="宋体" w:hAnsi="宋体" w:cs="宋体"/>
                <w:color w:val="auto"/>
                <w:szCs w:val="21"/>
                <w:highlight w:val="none"/>
              </w:rPr>
              <w:t>评标委员会的组建</w:t>
            </w:r>
          </w:p>
        </w:tc>
        <w:tc>
          <w:tcPr>
            <w:tcW w:w="5274" w:type="dxa"/>
            <w:vAlign w:val="center"/>
          </w:tcPr>
          <w:p>
            <w:pPr>
              <w:adjustRightInd w:val="0"/>
              <w:snapToGrid w:val="0"/>
              <w:spacing w:line="288" w:lineRule="auto"/>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评标委员会构成：</w:t>
            </w:r>
            <w:r>
              <w:rPr>
                <w:rFonts w:ascii="宋体" w:hAnsi="宋体" w:cs="宋体"/>
                <w:color w:val="auto"/>
                <w:szCs w:val="21"/>
                <w:highlight w:val="none"/>
                <w:u w:val="single"/>
              </w:rPr>
              <w:t xml:space="preserve">  </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人</w:t>
            </w:r>
            <w:r>
              <w:rPr>
                <w:rFonts w:hint="eastAsia" w:ascii="宋体" w:hAnsi="宋体" w:cs="宋体"/>
                <w:color w:val="auto"/>
                <w:szCs w:val="21"/>
                <w:highlight w:val="none"/>
                <w:lang w:eastAsia="zh-CN"/>
              </w:rPr>
              <w:t>。</w:t>
            </w:r>
          </w:p>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评标专家确定方式</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不含</w:t>
            </w:r>
            <w:r>
              <w:rPr>
                <w:rFonts w:hint="eastAsia" w:ascii="宋体" w:hAnsi="宋体" w:cs="宋体"/>
                <w:color w:val="auto"/>
                <w:szCs w:val="21"/>
                <w:highlight w:val="none"/>
              </w:rPr>
              <w:t>招标人代表</w:t>
            </w:r>
            <w:r>
              <w:rPr>
                <w:rFonts w:hint="eastAsia" w:ascii="宋体" w:hAnsi="宋体" w:cs="宋体"/>
                <w:color w:val="auto"/>
                <w:szCs w:val="21"/>
                <w:highlight w:val="none"/>
                <w:lang w:eastAsia="zh-CN"/>
              </w:rPr>
              <w:t>）</w:t>
            </w:r>
            <w:r>
              <w:rPr>
                <w:rFonts w:hint="eastAsia" w:ascii="宋体" w:hAnsi="宋体" w:cs="宋体"/>
                <w:color w:val="auto"/>
                <w:szCs w:val="21"/>
                <w:highlight w:val="none"/>
              </w:rPr>
              <w:t>：</w:t>
            </w:r>
          </w:p>
          <w:p>
            <w:pPr>
              <w:spacing w:line="288" w:lineRule="auto"/>
              <w:rPr>
                <w:rFonts w:ascii="宋体" w:hAnsi="宋体" w:cs="Arial"/>
                <w:color w:val="auto"/>
                <w:szCs w:val="21"/>
                <w:highlight w:val="none"/>
              </w:rPr>
            </w:pPr>
            <w:r>
              <w:rPr>
                <w:rFonts w:hint="eastAsia" w:hAnsi="宋体" w:cs="Arial"/>
                <w:color w:val="auto"/>
                <w:szCs w:val="32"/>
                <w:highlight w:val="none"/>
              </w:rPr>
              <w:t>□计算机</w:t>
            </w:r>
            <w:r>
              <w:rPr>
                <w:rFonts w:hint="eastAsia" w:ascii="宋体" w:hAnsi="宋体" w:cs="Arial"/>
                <w:color w:val="auto"/>
                <w:szCs w:val="21"/>
                <w:highlight w:val="none"/>
              </w:rPr>
              <w:t>随机抽取语音通知</w:t>
            </w:r>
          </w:p>
          <w:p>
            <w:pPr>
              <w:adjustRightInd w:val="0"/>
              <w:snapToGrid w:val="0"/>
              <w:spacing w:line="288" w:lineRule="auto"/>
              <w:rPr>
                <w:rFonts w:ascii="宋体" w:hAnsi="宋体" w:cs="宋体"/>
                <w:color w:val="auto"/>
                <w:szCs w:val="21"/>
                <w:highlight w:val="none"/>
              </w:rPr>
            </w:pPr>
            <w:r>
              <w:rPr>
                <w:rFonts w:hint="eastAsia" w:hAnsi="宋体" w:cs="Arial"/>
                <w:color w:val="auto"/>
                <w:szCs w:val="32"/>
                <w:highlight w:val="none"/>
              </w:rPr>
              <w:t>□其他方式确定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9"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6.4.</w:t>
            </w:r>
            <w:r>
              <w:rPr>
                <w:rFonts w:ascii="宋体" w:hAnsi="宋体" w:cs="宋体"/>
                <w:color w:val="auto"/>
                <w:szCs w:val="21"/>
                <w:highlight w:val="none"/>
              </w:rPr>
              <w:t>2</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采用“评定分离”法时：评标结果公示</w:t>
            </w:r>
          </w:p>
        </w:tc>
        <w:tc>
          <w:tcPr>
            <w:tcW w:w="5274" w:type="dxa"/>
            <w:vAlign w:val="center"/>
          </w:tcPr>
          <w:p>
            <w:pPr>
              <w:pStyle w:val="17"/>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lang w:val="en-US" w:eastAsia="zh-CN"/>
              </w:rPr>
              <w:t>中标</w:t>
            </w:r>
            <w:r>
              <w:rPr>
                <w:rFonts w:hint="eastAsia" w:ascii="宋体" w:hAnsi="宋体" w:cs="宋体"/>
                <w:color w:val="auto"/>
                <w:szCs w:val="21"/>
                <w:highlight w:val="none"/>
              </w:rPr>
              <w:t>候选人数量：</w:t>
            </w:r>
            <w:r>
              <w:rPr>
                <w:rFonts w:ascii="宋体" w:hAnsi="宋体" w:cs="宋体"/>
                <w:color w:val="auto"/>
                <w:szCs w:val="21"/>
                <w:highlight w:val="none"/>
                <w:u w:val="single"/>
              </w:rPr>
              <w:t xml:space="preserve">    </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u w:val="none"/>
                <w:lang w:val="en-US" w:eastAsia="zh-CN"/>
              </w:rPr>
              <w:t>个，</w:t>
            </w:r>
            <w:r>
              <w:rPr>
                <w:rFonts w:hint="eastAsia"/>
                <w:bCs/>
                <w:color w:val="auto"/>
                <w:highlight w:val="none"/>
                <w:lang w:val="en-US" w:eastAsia="zh-CN"/>
              </w:rPr>
              <w:t>中标</w:t>
            </w:r>
            <w:r>
              <w:rPr>
                <w:rFonts w:hint="eastAsia"/>
                <w:bCs/>
                <w:color w:val="auto"/>
                <w:highlight w:val="none"/>
              </w:rPr>
              <w:t>候选人不分排名。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7.1.1</w:t>
            </w:r>
          </w:p>
        </w:tc>
        <w:tc>
          <w:tcPr>
            <w:tcW w:w="2463" w:type="dxa"/>
            <w:vAlign w:val="center"/>
          </w:tcPr>
          <w:p>
            <w:pPr>
              <w:adjustRightInd w:val="0"/>
              <w:snapToGrid w:val="0"/>
              <w:spacing w:line="288" w:lineRule="auto"/>
              <w:jc w:val="center"/>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是否授权</w:t>
            </w:r>
            <w:r>
              <w:rPr>
                <w:rFonts w:hint="eastAsia" w:ascii="宋体" w:hAnsi="宋体" w:cs="宋体"/>
                <w:color w:val="auto"/>
                <w:szCs w:val="21"/>
                <w:highlight w:val="none"/>
                <w:lang w:val="en-US" w:eastAsia="zh-CN"/>
              </w:rPr>
              <w:t>评标委员会</w:t>
            </w:r>
            <w:r>
              <w:rPr>
                <w:rFonts w:hint="eastAsia" w:ascii="宋体" w:hAnsi="宋体" w:cs="宋体"/>
                <w:color w:val="auto"/>
                <w:szCs w:val="21"/>
                <w:highlight w:val="none"/>
              </w:rPr>
              <w:t>确定中标人</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适用非</w:t>
            </w:r>
            <w:r>
              <w:rPr>
                <w:rFonts w:hint="eastAsia"/>
                <w:snapToGrid w:val="0"/>
                <w:color w:val="auto"/>
                <w:kern w:val="32"/>
                <w:szCs w:val="20"/>
                <w:highlight w:val="none"/>
              </w:rPr>
              <w:t>“评定分离”方式招标的项目</w:t>
            </w:r>
            <w:r>
              <w:rPr>
                <w:rFonts w:hint="eastAsia" w:ascii="宋体" w:hAnsi="宋体" w:cs="宋体"/>
                <w:color w:val="auto"/>
                <w:szCs w:val="21"/>
                <w:highlight w:val="none"/>
                <w:lang w:eastAsia="zh-CN"/>
              </w:rPr>
              <w:t>）</w:t>
            </w:r>
          </w:p>
        </w:tc>
        <w:tc>
          <w:tcPr>
            <w:tcW w:w="5274" w:type="dxa"/>
            <w:vAlign w:val="center"/>
          </w:tcPr>
          <w:p>
            <w:pPr>
              <w:adjustRightInd w:val="0"/>
              <w:snapToGrid w:val="0"/>
              <w:spacing w:line="288" w:lineRule="auto"/>
              <w:rPr>
                <w:color w:val="auto"/>
                <w:highlight w:val="none"/>
              </w:rPr>
            </w:pPr>
            <w:r>
              <w:rPr>
                <w:rFonts w:hint="eastAsia"/>
                <w:color w:val="auto"/>
                <w:highlight w:val="none"/>
              </w:rPr>
              <w:t>□是</w:t>
            </w:r>
          </w:p>
          <w:p>
            <w:pPr>
              <w:adjustRightInd w:val="0"/>
              <w:snapToGrid w:val="0"/>
              <w:spacing w:line="288" w:lineRule="auto"/>
              <w:rPr>
                <w:rFonts w:hint="eastAsia"/>
                <w:color w:val="auto"/>
                <w:highlight w:val="none"/>
              </w:rPr>
            </w:pPr>
            <w:r>
              <w:rPr>
                <w:rFonts w:hint="eastAsia"/>
                <w:color w:val="auto"/>
                <w:highlight w:val="none"/>
              </w:rPr>
              <w:t xml:space="preserve">□否，推荐的中标候选人数：1-3 </w:t>
            </w:r>
          </w:p>
          <w:p>
            <w:pPr>
              <w:pStyle w:val="2"/>
              <w:ind w:firstLine="0" w:firstLineChars="0"/>
              <w:rPr>
                <w:rFonts w:hint="eastAsia" w:eastAsia="宋体"/>
                <w:color w:val="auto"/>
                <w:highlight w:val="none"/>
                <w:lang w:val="en-US" w:eastAsia="zh-CN"/>
              </w:rPr>
            </w:pPr>
            <w:r>
              <w:rPr>
                <w:rFonts w:hint="eastAsia" w:cs="宋体"/>
                <w:color w:val="auto"/>
                <w:szCs w:val="21"/>
                <w:highlight w:val="none"/>
                <w:u w:val="none"/>
                <w:lang w:val="en-US" w:eastAsia="zh-CN"/>
              </w:rPr>
              <w:t>注：</w:t>
            </w:r>
            <w:r>
              <w:rPr>
                <w:rFonts w:hint="eastAsia"/>
                <w:snapToGrid w:val="0"/>
                <w:color w:val="auto"/>
                <w:kern w:val="32"/>
                <w:szCs w:val="20"/>
                <w:highlight w:val="none"/>
                <w:u w:val="none"/>
              </w:rPr>
              <w:t>采</w:t>
            </w:r>
            <w:r>
              <w:rPr>
                <w:rFonts w:hint="eastAsia"/>
                <w:snapToGrid w:val="0"/>
                <w:color w:val="auto"/>
                <w:kern w:val="32"/>
                <w:szCs w:val="20"/>
                <w:highlight w:val="none"/>
              </w:rPr>
              <w:t>用“评定分离”方式招标的项目，招标人不再授权评标委员会直接确定中标人。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138"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7.1.2</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采用“评定分离”法时：定标方法</w:t>
            </w:r>
          </w:p>
        </w:tc>
        <w:tc>
          <w:tcPr>
            <w:tcW w:w="5274" w:type="dxa"/>
            <w:vAlign w:val="center"/>
          </w:tcPr>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定标方法为：</w:t>
            </w:r>
          </w:p>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□票决法：</w:t>
            </w:r>
            <w:r>
              <w:rPr>
                <w:rFonts w:hint="eastAsia"/>
                <w:snapToGrid w:val="0"/>
                <w:color w:val="auto"/>
                <w:kern w:val="32"/>
                <w:szCs w:val="20"/>
                <w:highlight w:val="none"/>
              </w:rPr>
              <w:t>定标委员会成员根据定标标准对各中标候选人进行评价比较后记名票决，并确定得票数最多的为中标人；当得票数相同无法确定中标人时，应当对得票数相同的单位再次票决。</w:t>
            </w:r>
          </w:p>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□集体议事法：</w:t>
            </w:r>
            <w:r>
              <w:rPr>
                <w:rFonts w:hint="eastAsia"/>
                <w:snapToGrid w:val="0"/>
                <w:color w:val="auto"/>
                <w:kern w:val="32"/>
                <w:szCs w:val="20"/>
                <w:highlight w:val="none"/>
              </w:rPr>
              <w:t>由定标委员会根据定标标准对各中标候选人进行集体商议，成员各自发表评价意见，最终由定标委员会负责人确定中标人。</w:t>
            </w:r>
          </w:p>
          <w:p>
            <w:pPr>
              <w:adjustRightInd w:val="0"/>
              <w:snapToGrid w:val="0"/>
              <w:spacing w:line="288" w:lineRule="auto"/>
              <w:rPr>
                <w:rFonts w:ascii="宋体" w:hAnsi="宋体" w:cs="宋体"/>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87" w:hRule="atLeast"/>
          <w:jc w:val="center"/>
        </w:trPr>
        <w:tc>
          <w:tcPr>
            <w:tcW w:w="1266"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7.3.1</w:t>
            </w:r>
          </w:p>
        </w:tc>
        <w:tc>
          <w:tcPr>
            <w:tcW w:w="2463" w:type="dxa"/>
            <w:vAlign w:val="center"/>
          </w:tcPr>
          <w:p>
            <w:pPr>
              <w:adjustRightInd w:val="0"/>
              <w:snapToGrid w:val="0"/>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履约保证金</w:t>
            </w:r>
          </w:p>
        </w:tc>
        <w:tc>
          <w:tcPr>
            <w:tcW w:w="5274" w:type="dxa"/>
            <w:vAlign w:val="center"/>
          </w:tcPr>
          <w:p>
            <w:pPr>
              <w:keepNext w:val="0"/>
              <w:keepLines w:val="0"/>
              <w:pageBreakBefore w:val="0"/>
              <w:widowControl w:val="0"/>
              <w:kinsoku/>
              <w:wordWrap/>
              <w:overflowPunct/>
              <w:topLinePunct w:val="0"/>
              <w:autoSpaceDE/>
              <w:autoSpaceDN/>
              <w:bidi w:val="0"/>
              <w:spacing w:line="288" w:lineRule="auto"/>
              <w:textAlignment w:val="auto"/>
              <w:outlineLvl w:val="9"/>
              <w:rPr>
                <w:rFonts w:hint="eastAsia" w:ascii="宋体" w:hAnsi="宋体" w:cs="宋体"/>
                <w:color w:val="auto"/>
                <w:szCs w:val="21"/>
                <w:highlight w:val="none"/>
                <w:lang w:val="en-US" w:eastAsia="zh-CN"/>
              </w:rPr>
            </w:pPr>
            <w:r>
              <w:rPr>
                <w:rFonts w:hint="eastAsia" w:ascii="宋体" w:hAnsi="宋体" w:cs="宋体"/>
                <w:color w:val="auto"/>
                <w:szCs w:val="21"/>
                <w:highlight w:val="none"/>
                <w:lang w:val="en-US" w:eastAsia="zh-CN"/>
              </w:rPr>
              <w:t>是否要求中标人提交履约保证金：</w:t>
            </w:r>
          </w:p>
          <w:p>
            <w:pPr>
              <w:keepNext w:val="0"/>
              <w:keepLines w:val="0"/>
              <w:pageBreakBefore w:val="0"/>
              <w:widowControl w:val="0"/>
              <w:kinsoku/>
              <w:wordWrap/>
              <w:overflowPunct/>
              <w:topLinePunct w:val="0"/>
              <w:autoSpaceDE/>
              <w:autoSpaceDN/>
              <w:bidi w:val="0"/>
              <w:spacing w:line="288" w:lineRule="auto"/>
              <w:textAlignment w:val="auto"/>
              <w:outlineLvl w:val="9"/>
              <w:rPr>
                <w:rFonts w:hint="eastAsia" w:ascii="宋体" w:hAnsi="宋体" w:cs="Arial"/>
                <w:color w:val="auto"/>
                <w:szCs w:val="21"/>
                <w:highlight w:val="none"/>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要求，</w:t>
            </w:r>
            <w:r>
              <w:rPr>
                <w:rFonts w:hint="eastAsia" w:ascii="宋体" w:hAnsi="宋体" w:eastAsia="宋体" w:cs="宋体"/>
                <w:color w:val="auto"/>
                <w:kern w:val="0"/>
                <w:sz w:val="21"/>
                <w:szCs w:val="21"/>
                <w:highlight w:val="none"/>
              </w:rPr>
              <w:t>履约</w:t>
            </w:r>
            <w:r>
              <w:rPr>
                <w:rFonts w:hint="eastAsia" w:ascii="宋体" w:hAnsi="宋体" w:cs="宋体"/>
                <w:color w:val="auto"/>
                <w:szCs w:val="21"/>
                <w:highlight w:val="none"/>
              </w:rPr>
              <w:t>保证金的形式：</w:t>
            </w:r>
            <w:r>
              <w:rPr>
                <w:rFonts w:hint="eastAsia" w:ascii="宋体" w:hAnsi="宋体" w:cs="Arial"/>
                <w:color w:val="auto"/>
                <w:szCs w:val="21"/>
                <w:highlight w:val="none"/>
              </w:rPr>
              <w:t>□</w:t>
            </w:r>
            <w:r>
              <w:rPr>
                <w:rFonts w:hint="eastAsia" w:ascii="宋体" w:hAnsi="宋体"/>
                <w:color w:val="auto"/>
                <w:szCs w:val="21"/>
                <w:highlight w:val="none"/>
              </w:rPr>
              <w:t>银行电汇或网上银行支付</w:t>
            </w:r>
            <w:r>
              <w:rPr>
                <w:rFonts w:hint="eastAsia" w:ascii="宋体" w:hAnsi="宋体" w:cs="Arial"/>
                <w:color w:val="auto"/>
                <w:szCs w:val="21"/>
                <w:highlight w:val="none"/>
              </w:rPr>
              <w:t xml:space="preserve"> </w:t>
            </w:r>
          </w:p>
          <w:p>
            <w:pPr>
              <w:keepNext w:val="0"/>
              <w:keepLines w:val="0"/>
              <w:pageBreakBefore w:val="0"/>
              <w:widowControl w:val="0"/>
              <w:kinsoku/>
              <w:wordWrap/>
              <w:overflowPunct/>
              <w:topLinePunct w:val="0"/>
              <w:autoSpaceDE/>
              <w:autoSpaceDN/>
              <w:bidi w:val="0"/>
              <w:spacing w:line="288" w:lineRule="auto"/>
              <w:ind w:firstLine="2730" w:firstLineChars="1300"/>
              <w:textAlignment w:val="auto"/>
              <w:outlineLvl w:val="9"/>
              <w:rPr>
                <w:rFonts w:hint="eastAsia" w:ascii="宋体" w:hAnsi="宋体" w:cs="Arial"/>
                <w:color w:val="auto"/>
                <w:szCs w:val="21"/>
                <w:highlight w:val="none"/>
              </w:rPr>
            </w:pPr>
            <w:r>
              <w:rPr>
                <w:rFonts w:hint="eastAsia" w:ascii="宋体" w:hAnsi="宋体" w:cs="Arial"/>
                <w:color w:val="auto"/>
                <w:szCs w:val="21"/>
                <w:highlight w:val="none"/>
              </w:rPr>
              <w:t>□保函</w:t>
            </w:r>
          </w:p>
          <w:p>
            <w:pPr>
              <w:keepNext w:val="0"/>
              <w:keepLines w:val="0"/>
              <w:pageBreakBefore w:val="0"/>
              <w:widowControl w:val="0"/>
              <w:kinsoku/>
              <w:wordWrap/>
              <w:overflowPunct/>
              <w:topLinePunct w:val="0"/>
              <w:autoSpaceDE/>
              <w:autoSpaceDN/>
              <w:bidi w:val="0"/>
              <w:spacing w:line="288" w:lineRule="auto"/>
              <w:ind w:firstLine="2730" w:firstLineChars="1300"/>
              <w:textAlignment w:val="auto"/>
              <w:outlineLvl w:val="9"/>
              <w:rPr>
                <w:rFonts w:hint="eastAsia" w:ascii="宋体" w:hAnsi="宋体" w:cs="Arial"/>
                <w:color w:val="auto"/>
                <w:szCs w:val="21"/>
                <w:highlight w:val="none"/>
              </w:rPr>
            </w:pPr>
            <w:r>
              <w:rPr>
                <w:rFonts w:hint="eastAsia" w:ascii="宋体" w:hAnsi="宋体" w:cs="Arial"/>
                <w:color w:val="auto"/>
                <w:szCs w:val="21"/>
                <w:highlight w:val="none"/>
              </w:rPr>
              <w:t>□保证保险</w:t>
            </w:r>
          </w:p>
          <w:p>
            <w:pPr>
              <w:keepNext w:val="0"/>
              <w:keepLines w:val="0"/>
              <w:pageBreakBefore w:val="0"/>
              <w:widowControl w:val="0"/>
              <w:kinsoku/>
              <w:wordWrap/>
              <w:overflowPunct/>
              <w:topLinePunct w:val="0"/>
              <w:autoSpaceDE/>
              <w:autoSpaceDN/>
              <w:bidi w:val="0"/>
              <w:spacing w:line="288" w:lineRule="auto"/>
              <w:ind w:firstLine="2730" w:firstLineChars="1300"/>
              <w:textAlignment w:val="auto"/>
              <w:outlineLvl w:val="9"/>
              <w:rPr>
                <w:rFonts w:hint="default" w:ascii="宋体" w:hAnsi="宋体" w:eastAsia="宋体" w:cs="Arial"/>
                <w:color w:val="auto"/>
                <w:szCs w:val="21"/>
                <w:highlight w:val="none"/>
                <w:lang w:val="en-US" w:eastAsia="zh-CN"/>
              </w:rPr>
            </w:pPr>
            <w:r>
              <w:rPr>
                <w:rFonts w:hint="eastAsia" w:ascii="宋体" w:hAnsi="宋体" w:cs="Arial"/>
                <w:color w:val="auto"/>
                <w:szCs w:val="21"/>
                <w:highlight w:val="none"/>
              </w:rPr>
              <w:t>□</w:t>
            </w:r>
            <w:r>
              <w:rPr>
                <w:rFonts w:hint="eastAsia" w:ascii="宋体" w:hAnsi="宋体" w:cs="Arial"/>
                <w:color w:val="auto"/>
                <w:szCs w:val="21"/>
                <w:highlight w:val="none"/>
                <w:lang w:val="en-US" w:eastAsia="zh-CN"/>
              </w:rPr>
              <w:t>其他：</w:t>
            </w:r>
            <w:r>
              <w:rPr>
                <w:rFonts w:hint="eastAsia" w:ascii="宋体" w:hAnsi="宋体" w:cs="Arial"/>
                <w:color w:val="auto"/>
                <w:szCs w:val="21"/>
                <w:highlight w:val="none"/>
                <w:u w:val="single"/>
                <w:lang w:val="en-US" w:eastAsia="zh-CN"/>
              </w:rPr>
              <w:t xml:space="preserve">       </w:t>
            </w:r>
          </w:p>
          <w:p>
            <w:pPr>
              <w:keepNext w:val="0"/>
              <w:keepLines w:val="0"/>
              <w:pageBreakBefore w:val="0"/>
              <w:widowControl w:val="0"/>
              <w:kinsoku/>
              <w:wordWrap/>
              <w:overflowPunct/>
              <w:topLinePunct w:val="0"/>
              <w:autoSpaceDE/>
              <w:autoSpaceDN/>
              <w:bidi w:val="0"/>
              <w:spacing w:line="288" w:lineRule="auto"/>
              <w:ind w:left="0" w:leftChars="0"/>
              <w:textAlignment w:val="auto"/>
              <w:outlineLvl w:val="9"/>
              <w:rPr>
                <w:rFonts w:hint="eastAsia" w:ascii="宋体" w:hAnsi="宋体" w:cs="Arial"/>
                <w:color w:val="auto"/>
                <w:szCs w:val="21"/>
                <w:highlight w:val="none"/>
              </w:rPr>
            </w:pPr>
            <w:r>
              <w:rPr>
                <w:rFonts w:hint="eastAsia" w:ascii="宋体" w:hAnsi="宋体" w:cs="宋体"/>
                <w:color w:val="auto"/>
                <w:szCs w:val="21"/>
                <w:highlight w:val="none"/>
                <w:lang w:eastAsia="zh-CN"/>
              </w:rPr>
              <w:t>□</w:t>
            </w:r>
            <w:r>
              <w:rPr>
                <w:rFonts w:hint="eastAsia" w:ascii="宋体" w:hAnsi="宋体" w:cs="Arial"/>
                <w:color w:val="auto"/>
                <w:szCs w:val="21"/>
                <w:highlight w:val="none"/>
              </w:rPr>
              <w:t>履约</w:t>
            </w:r>
            <w:r>
              <w:rPr>
                <w:rFonts w:hint="eastAsia" w:ascii="宋体" w:hAnsi="宋体" w:cs="Arial"/>
                <w:color w:val="auto"/>
                <w:szCs w:val="21"/>
                <w:highlight w:val="none"/>
                <w:lang w:val="en-US" w:eastAsia="zh-CN"/>
              </w:rPr>
              <w:t>保证金</w:t>
            </w:r>
            <w:r>
              <w:rPr>
                <w:rFonts w:hint="eastAsia" w:ascii="宋体" w:hAnsi="宋体" w:cs="Arial"/>
                <w:color w:val="auto"/>
                <w:szCs w:val="21"/>
                <w:highlight w:val="none"/>
              </w:rPr>
              <w:t>金额：</w:t>
            </w:r>
            <w:r>
              <w:rPr>
                <w:rFonts w:hint="eastAsia" w:ascii="宋体" w:hAnsi="宋体" w:cs="Arial"/>
                <w:color w:val="auto"/>
                <w:szCs w:val="21"/>
                <w:highlight w:val="none"/>
                <w:u w:val="single"/>
              </w:rPr>
              <w:t xml:space="preserve">          </w:t>
            </w:r>
            <w:r>
              <w:rPr>
                <w:rFonts w:hint="eastAsia" w:ascii="宋体" w:hAnsi="宋体" w:cs="Arial"/>
                <w:color w:val="auto"/>
                <w:szCs w:val="21"/>
                <w:highlight w:val="none"/>
              </w:rPr>
              <w:t xml:space="preserve">（万元）  </w:t>
            </w:r>
          </w:p>
          <w:p>
            <w:pPr>
              <w:keepNext w:val="0"/>
              <w:keepLines w:val="0"/>
              <w:pageBreakBefore w:val="0"/>
              <w:widowControl w:val="0"/>
              <w:kinsoku/>
              <w:wordWrap/>
              <w:overflowPunct/>
              <w:topLinePunct w:val="0"/>
              <w:autoSpaceDE/>
              <w:autoSpaceDN/>
              <w:bidi w:val="0"/>
              <w:spacing w:line="288" w:lineRule="auto"/>
              <w:ind w:left="0" w:leftChars="0"/>
              <w:textAlignment w:val="auto"/>
              <w:outlineLvl w:val="9"/>
              <w:rPr>
                <w:rFonts w:hint="eastAsia" w:ascii="宋体" w:hAnsi="宋体" w:cs="Arial"/>
                <w:color w:val="auto"/>
                <w:szCs w:val="21"/>
                <w:highlight w:val="none"/>
              </w:rPr>
            </w:pPr>
            <w:r>
              <w:rPr>
                <w:rFonts w:hint="eastAsia" w:ascii="宋体" w:hAnsi="宋体" w:cs="宋体"/>
                <w:color w:val="auto"/>
                <w:szCs w:val="21"/>
                <w:highlight w:val="none"/>
                <w:lang w:eastAsia="zh-CN"/>
              </w:rPr>
              <w:t>□</w:t>
            </w:r>
            <w:r>
              <w:rPr>
                <w:rFonts w:hint="eastAsia" w:ascii="宋体" w:hAnsi="宋体" w:cs="Arial"/>
                <w:color w:val="auto"/>
                <w:szCs w:val="21"/>
                <w:highlight w:val="none"/>
              </w:rPr>
              <w:t>履约</w:t>
            </w:r>
            <w:r>
              <w:rPr>
                <w:rFonts w:hint="eastAsia" w:ascii="宋体" w:hAnsi="宋体" w:cs="Arial"/>
                <w:color w:val="auto"/>
                <w:szCs w:val="21"/>
                <w:highlight w:val="none"/>
                <w:lang w:val="en-US" w:eastAsia="zh-CN"/>
              </w:rPr>
              <w:t>保证金</w:t>
            </w:r>
            <w:r>
              <w:rPr>
                <w:rFonts w:hint="eastAsia" w:ascii="宋体" w:hAnsi="宋体" w:cs="Arial"/>
                <w:color w:val="auto"/>
                <w:szCs w:val="21"/>
                <w:highlight w:val="none"/>
              </w:rPr>
              <w:t>金额</w:t>
            </w:r>
            <w:r>
              <w:rPr>
                <w:rFonts w:hint="eastAsia" w:ascii="宋体" w:hAnsi="宋体" w:cs="Arial"/>
                <w:color w:val="auto"/>
                <w:szCs w:val="21"/>
                <w:highlight w:val="none"/>
                <w:lang w:eastAsia="zh-CN"/>
              </w:rPr>
              <w:t>：</w:t>
            </w:r>
            <w:r>
              <w:rPr>
                <w:rFonts w:hint="eastAsia" w:ascii="宋体" w:hAnsi="宋体" w:cs="Arial"/>
                <w:color w:val="auto"/>
                <w:szCs w:val="21"/>
                <w:highlight w:val="none"/>
                <w:u w:val="single"/>
                <w:lang w:val="en-US" w:eastAsia="zh-CN"/>
              </w:rPr>
              <w:t xml:space="preserve">  中标合同价    %  </w:t>
            </w:r>
          </w:p>
          <w:p>
            <w:pPr>
              <w:pStyle w:val="2"/>
              <w:spacing w:before="0"/>
              <w:ind w:firstLine="0" w:firstLineChars="0"/>
              <w:rPr>
                <w:rFonts w:hint="default"/>
                <w:color w:val="auto"/>
                <w:highlight w:val="none"/>
                <w:lang w:val="en-US"/>
              </w:rPr>
            </w:pPr>
            <w:r>
              <w:rPr>
                <w:rFonts w:hint="eastAsia"/>
                <w:color w:val="auto"/>
                <w:highlight w:val="none"/>
                <w:lang w:val="en-US" w:eastAsia="zh-CN"/>
              </w:rPr>
              <w:t>履约保证金返还：</w:t>
            </w:r>
            <w:r>
              <w:rPr>
                <w:rFonts w:hint="eastAsia" w:cs="宋体"/>
                <w:color w:val="auto"/>
                <w:szCs w:val="21"/>
                <w:highlight w:val="none"/>
                <w:u w:val="single"/>
                <w:lang w:val="en-US" w:eastAsia="zh-CN"/>
              </w:rPr>
              <w:t xml:space="preserve">                         </w:t>
            </w:r>
          </w:p>
          <w:p>
            <w:pPr>
              <w:adjustRightInd w:val="0"/>
              <w:snapToGrid w:val="0"/>
              <w:spacing w:line="288" w:lineRule="auto"/>
              <w:rPr>
                <w:rFonts w:ascii="宋体" w:hAnsi="宋体" w:cs="宋体"/>
                <w:color w:val="auto"/>
                <w:szCs w:val="21"/>
                <w:highlight w:val="none"/>
              </w:rPr>
            </w:pPr>
            <w:r>
              <w:rPr>
                <w:rFonts w:hint="eastAsia" w:ascii="宋体" w:hAnsi="宋体" w:cs="宋体"/>
                <w:color w:val="auto"/>
                <w:szCs w:val="21"/>
                <w:highlight w:val="none"/>
              </w:rPr>
              <w:t>□不要求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8.5.2</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招投标行政监督部门</w:t>
            </w:r>
          </w:p>
        </w:tc>
        <w:tc>
          <w:tcPr>
            <w:tcW w:w="5274" w:type="dxa"/>
            <w:vAlign w:val="center"/>
          </w:tcPr>
          <w:p>
            <w:pPr>
              <w:adjustRightInd w:val="0"/>
              <w:snapToGrid w:val="0"/>
              <w:spacing w:line="288" w:lineRule="auto"/>
              <w:rPr>
                <w:rFonts w:ascii="宋体" w:hAnsi="宋体" w:cs="宋体"/>
                <w:color w:val="auto"/>
                <w:szCs w:val="21"/>
                <w:highlight w:val="none"/>
              </w:rPr>
            </w:pPr>
            <w:r>
              <w:rPr>
                <w:rFonts w:hint="eastAsia"/>
                <w:color w:val="auto"/>
                <w:szCs w:val="21"/>
                <w:highlight w:val="none"/>
              </w:rPr>
              <w:t>本项目的招标投标活动及其相关当事人应当接受有管辖权的建设工程招标投标行政监督部门依法实施的监督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9003" w:type="dxa"/>
            <w:gridSpan w:val="3"/>
            <w:vAlign w:val="center"/>
          </w:tcPr>
          <w:p>
            <w:pPr>
              <w:adjustRightInd w:val="0"/>
              <w:snapToGrid w:val="0"/>
              <w:spacing w:line="400" w:lineRule="exact"/>
              <w:rPr>
                <w:rFonts w:ascii="宋体" w:hAnsi="宋体" w:cs="宋体"/>
                <w:color w:val="auto"/>
                <w:szCs w:val="21"/>
                <w:highlight w:val="none"/>
              </w:rPr>
            </w:pPr>
            <w:r>
              <w:rPr>
                <w:rFonts w:hint="eastAsia" w:ascii="宋体" w:hAnsi="宋体" w:cs="宋体"/>
                <w:color w:val="auto"/>
                <w:szCs w:val="21"/>
                <w:highlight w:val="none"/>
              </w:rPr>
              <w:t>10.</w:t>
            </w:r>
            <w:r>
              <w:rPr>
                <w:rFonts w:hint="eastAsia" w:ascii="宋体" w:hAnsi="宋体" w:cs="宋体"/>
                <w:color w:val="auto"/>
                <w:highlight w:val="none"/>
              </w:rPr>
              <w:t>招标人补充的其他内容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2"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10.</w:t>
            </w:r>
            <w:r>
              <w:rPr>
                <w:rFonts w:hint="eastAsia" w:ascii="宋体" w:hAnsi="宋体" w:cs="宋体"/>
                <w:color w:val="auto"/>
                <w:szCs w:val="21"/>
                <w:highlight w:val="none"/>
                <w:lang w:val="en-US" w:eastAsia="zh-CN"/>
              </w:rPr>
              <w:t>1</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color w:val="auto"/>
                <w:highlight w:val="none"/>
              </w:rPr>
              <w:t>需要补充的其他内容</w:t>
            </w:r>
          </w:p>
        </w:tc>
        <w:tc>
          <w:tcPr>
            <w:tcW w:w="5274" w:type="dxa"/>
            <w:vAlign w:val="center"/>
          </w:tcPr>
          <w:p>
            <w:pPr>
              <w:adjustRightInd w:val="0"/>
              <w:snapToGrid w:val="0"/>
              <w:spacing w:line="400" w:lineRule="exact"/>
              <w:rPr>
                <w:rFonts w:ascii="宋体" w:hAnsi="宋体" w:cs="宋体"/>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2" w:hRule="atLeast"/>
          <w:jc w:val="center"/>
        </w:trPr>
        <w:tc>
          <w:tcPr>
            <w:tcW w:w="1266" w:type="dxa"/>
            <w:vAlign w:val="center"/>
          </w:tcPr>
          <w:p>
            <w:pPr>
              <w:adjustRightInd w:val="0"/>
              <w:snapToGrid w:val="0"/>
              <w:spacing w:line="288" w:lineRule="auto"/>
              <w:jc w:val="center"/>
              <w:rPr>
                <w:rFonts w:hint="eastAsia" w:ascii="宋体" w:hAnsi="宋体" w:cs="宋体"/>
                <w:color w:val="auto"/>
                <w:szCs w:val="21"/>
                <w:highlight w:val="none"/>
              </w:rPr>
            </w:pPr>
            <w:r>
              <w:rPr>
                <w:rFonts w:hint="eastAsia" w:ascii="宋体" w:hAnsi="宋体" w:cs="宋体"/>
                <w:color w:val="auto"/>
                <w:szCs w:val="21"/>
                <w:highlight w:val="none"/>
              </w:rPr>
              <w:t>10.2</w:t>
            </w:r>
          </w:p>
        </w:tc>
        <w:tc>
          <w:tcPr>
            <w:tcW w:w="2463"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采用“评定分离”法的：</w:t>
            </w:r>
          </w:p>
          <w:p>
            <w:pPr>
              <w:adjustRightInd w:val="0"/>
              <w:snapToGrid w:val="0"/>
              <w:spacing w:line="288" w:lineRule="auto"/>
              <w:jc w:val="center"/>
              <w:rPr>
                <w:rFonts w:hint="eastAsia" w:ascii="宋体" w:hAnsi="宋体" w:cs="宋体"/>
                <w:color w:val="auto"/>
                <w:szCs w:val="21"/>
                <w:highlight w:val="none"/>
              </w:rPr>
            </w:pPr>
            <w:r>
              <w:rPr>
                <w:rFonts w:hint="eastAsia" w:ascii="宋体" w:hAnsi="宋体" w:cs="宋体"/>
                <w:color w:val="auto"/>
                <w:szCs w:val="21"/>
                <w:highlight w:val="none"/>
              </w:rPr>
              <w:t>定标方案</w:t>
            </w:r>
          </w:p>
        </w:tc>
        <w:tc>
          <w:tcPr>
            <w:tcW w:w="5274" w:type="dxa"/>
            <w:vAlign w:val="center"/>
          </w:tcPr>
          <w:p>
            <w:pPr>
              <w:adjustRightInd w:val="0"/>
              <w:snapToGrid w:val="0"/>
              <w:spacing w:line="400" w:lineRule="exact"/>
              <w:rPr>
                <w:rFonts w:hint="eastAsia" w:ascii="宋体" w:hAnsi="宋体" w:cs="宋体"/>
                <w:color w:val="auto"/>
                <w:szCs w:val="21"/>
                <w:highlight w:val="none"/>
              </w:rPr>
            </w:pPr>
            <w:r>
              <w:rPr>
                <w:rFonts w:hint="eastAsia" w:ascii="宋体" w:hAnsi="宋体" w:cs="宋体"/>
                <w:color w:val="auto"/>
                <w:szCs w:val="21"/>
                <w:highlight w:val="none"/>
              </w:rPr>
              <w:t>具体定标方案如下：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2"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10.3</w:t>
            </w:r>
          </w:p>
        </w:tc>
        <w:tc>
          <w:tcPr>
            <w:tcW w:w="2463"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异议和投诉提出的形式</w:t>
            </w:r>
          </w:p>
        </w:tc>
        <w:tc>
          <w:tcPr>
            <w:tcW w:w="5274" w:type="dxa"/>
            <w:vAlign w:val="center"/>
          </w:tcPr>
          <w:p>
            <w:pPr>
              <w:adjustRightInd w:val="0"/>
              <w:snapToGrid w:val="0"/>
              <w:spacing w:line="288" w:lineRule="auto"/>
              <w:rPr>
                <w:rFonts w:ascii="宋体" w:hAnsi="宋体" w:cs="宋体"/>
                <w:color w:val="auto"/>
                <w:szCs w:val="21"/>
                <w:highlight w:val="none"/>
              </w:rPr>
            </w:pPr>
            <w:r>
              <w:rPr>
                <w:rFonts w:hint="eastAsia" w:ascii="宋体" w:hAnsi="宋体" w:cs="宋体"/>
                <w:color w:val="auto"/>
                <w:highlight w:val="none"/>
                <w:lang w:val="en-US" w:eastAsia="zh-CN"/>
              </w:rPr>
              <w:t>投标人或者其他利害关系人可通过泰州市建设工程电子交易平台进行在线异议，通过江苏省建设工程招投标投诉平台进行在线投诉，无须线下递交书面异议、投诉文件。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2"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10.4</w:t>
            </w:r>
          </w:p>
        </w:tc>
        <w:tc>
          <w:tcPr>
            <w:tcW w:w="2463"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业绩和奖项核实</w:t>
            </w:r>
          </w:p>
        </w:tc>
        <w:tc>
          <w:tcPr>
            <w:tcW w:w="5274" w:type="dxa"/>
            <w:vAlign w:val="center"/>
          </w:tcPr>
          <w:p>
            <w:pPr>
              <w:adjustRightInd w:val="0"/>
              <w:snapToGrid w:val="0"/>
              <w:spacing w:line="288" w:lineRule="auto"/>
              <w:rPr>
                <w:rFonts w:ascii="宋体" w:hAnsi="宋体" w:cs="宋体"/>
                <w:color w:val="auto"/>
                <w:highlight w:val="none"/>
              </w:rPr>
            </w:pPr>
            <w:r>
              <w:rPr>
                <w:rFonts w:hint="eastAsia" w:ascii="宋体" w:hAnsi="宋体" w:cs="宋体"/>
                <w:color w:val="auto"/>
                <w:highlight w:val="none"/>
              </w:rPr>
              <w:t>本招标文件中设置类似工程业绩和奖项的，类似工程业绩和奖项的真实性由招标人负责核实。经查实投标人类似业绩和奖项弄虚作假的，其投标保证金不予退还。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10.5</w:t>
            </w:r>
          </w:p>
        </w:tc>
        <w:tc>
          <w:tcPr>
            <w:tcW w:w="2463"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类似工程业绩证明材料</w:t>
            </w:r>
          </w:p>
        </w:tc>
        <w:tc>
          <w:tcPr>
            <w:tcW w:w="5274" w:type="dxa"/>
            <w:vAlign w:val="center"/>
          </w:tcPr>
          <w:p>
            <w:pPr>
              <w:spacing w:line="288" w:lineRule="auto"/>
              <w:ind w:firstLine="210" w:firstLineChars="100"/>
              <w:rPr>
                <w:rFonts w:hint="eastAsia" w:ascii="宋体" w:hAnsi="宋体" w:cs="宋体"/>
                <w:color w:val="auto"/>
                <w:szCs w:val="21"/>
                <w:highlight w:val="none"/>
              </w:rPr>
            </w:pPr>
            <w:r>
              <w:rPr>
                <w:rFonts w:hint="eastAsia" w:ascii="宋体" w:hAnsi="宋体" w:cs="宋体"/>
                <w:color w:val="auto"/>
                <w:szCs w:val="21"/>
                <w:highlight w:val="none"/>
              </w:rPr>
              <w:t>工程总承包业绩、施工业绩：</w:t>
            </w:r>
            <w:r>
              <w:rPr>
                <w:rFonts w:hint="eastAsia"/>
                <w:color w:val="auto"/>
                <w:highlight w:val="none"/>
              </w:rPr>
              <w:t>以中标通知书</w:t>
            </w:r>
            <w:r>
              <w:rPr>
                <w:rFonts w:hint="eastAsia"/>
                <w:color w:val="auto"/>
                <w:highlight w:val="none"/>
                <w:lang w:eastAsia="zh-CN"/>
              </w:rPr>
              <w:t>（</w:t>
            </w:r>
            <w:r>
              <w:rPr>
                <w:rFonts w:hint="eastAsia"/>
                <w:color w:val="auto"/>
                <w:highlight w:val="none"/>
              </w:rPr>
              <w:t>直接发包项目</w:t>
            </w:r>
            <w:r>
              <w:rPr>
                <w:rFonts w:hint="eastAsia"/>
                <w:color w:val="auto"/>
                <w:highlight w:val="none"/>
                <w:lang w:val="en-US" w:eastAsia="zh-CN"/>
              </w:rPr>
              <w:t>如没有</w:t>
            </w:r>
            <w:r>
              <w:rPr>
                <w:rFonts w:hint="eastAsia"/>
                <w:color w:val="auto"/>
                <w:highlight w:val="none"/>
              </w:rPr>
              <w:t>中标通知书，</w:t>
            </w:r>
            <w:r>
              <w:rPr>
                <w:rFonts w:hint="eastAsia"/>
                <w:color w:val="auto"/>
                <w:highlight w:val="none"/>
                <w:lang w:val="en-US" w:eastAsia="zh-CN"/>
              </w:rPr>
              <w:t>须</w:t>
            </w:r>
            <w:r>
              <w:rPr>
                <w:rFonts w:hint="eastAsia"/>
                <w:color w:val="auto"/>
                <w:highlight w:val="none"/>
              </w:rPr>
              <w:t>提供发包人出具的加盖单位公章的直接发包证明</w:t>
            </w:r>
            <w:r>
              <w:rPr>
                <w:rFonts w:hint="eastAsia"/>
                <w:color w:val="auto"/>
                <w:highlight w:val="none"/>
                <w:lang w:eastAsia="zh-CN"/>
              </w:rPr>
              <w:t>）</w:t>
            </w:r>
            <w:r>
              <w:rPr>
                <w:rFonts w:hint="eastAsia"/>
                <w:color w:val="auto"/>
                <w:highlight w:val="none"/>
              </w:rPr>
              <w:t>、合同协议书</w:t>
            </w:r>
            <w:r>
              <w:rPr>
                <w:rFonts w:hint="eastAsia"/>
                <w:color w:val="auto"/>
                <w:highlight w:val="none"/>
                <w:lang w:eastAsia="zh-CN"/>
              </w:rPr>
              <w:t>、竣工验收佐证资料</w:t>
            </w:r>
            <w:r>
              <w:rPr>
                <w:rFonts w:hint="eastAsia"/>
                <w:color w:val="auto"/>
                <w:highlight w:val="none"/>
              </w:rPr>
              <w:t>为依据。以上材料缺一不可。</w:t>
            </w:r>
          </w:p>
          <w:p>
            <w:pPr>
              <w:keepNext w:val="0"/>
              <w:keepLines w:val="0"/>
              <w:pageBreakBefore w:val="0"/>
              <w:widowControl/>
              <w:kinsoku/>
              <w:wordWrap/>
              <w:overflowPunct/>
              <w:topLinePunct w:val="0"/>
              <w:autoSpaceDE/>
              <w:autoSpaceDN/>
              <w:bidi w:val="0"/>
              <w:adjustRightInd/>
              <w:snapToGrid/>
              <w:spacing w:line="288" w:lineRule="auto"/>
              <w:ind w:firstLine="210" w:firstLineChars="100"/>
              <w:textAlignment w:val="auto"/>
              <w:outlineLvl w:val="9"/>
              <w:rPr>
                <w:rFonts w:hint="eastAsia"/>
                <w:color w:val="auto"/>
                <w:highlight w:val="none"/>
              </w:rPr>
            </w:pPr>
            <w:r>
              <w:rPr>
                <w:rFonts w:hint="eastAsia"/>
                <w:color w:val="auto"/>
                <w:highlight w:val="none"/>
                <w:lang w:eastAsia="zh-CN"/>
              </w:rPr>
              <w:t>竣工验收佐证资</w:t>
            </w:r>
            <w:r>
              <w:rPr>
                <w:rFonts w:hint="eastAsia"/>
                <w:color w:val="auto"/>
                <w:highlight w:val="none"/>
                <w:u w:val="single"/>
                <w:lang w:eastAsia="zh-CN"/>
              </w:rPr>
              <w:t>料</w:t>
            </w:r>
            <w:r>
              <w:rPr>
                <w:rFonts w:hint="eastAsia"/>
                <w:color w:val="auto"/>
                <w:highlight w:val="none"/>
                <w:u w:val="single"/>
                <w:lang w:eastAsia="zh-CN"/>
              </w:rPr>
              <w:t>：</w:t>
            </w:r>
            <w:r>
              <w:rPr>
                <w:rFonts w:hint="eastAsia"/>
                <w:color w:val="auto"/>
                <w:highlight w:val="none"/>
                <w:u w:val="single"/>
                <w:lang w:val="en-US" w:eastAsia="zh-CN"/>
              </w:rPr>
              <w:t xml:space="preserve">     </w:t>
            </w:r>
            <w:r>
              <w:rPr>
                <w:rFonts w:hint="eastAsia"/>
                <w:color w:val="auto"/>
                <w:highlight w:val="none"/>
                <w:lang w:val="en-US" w:eastAsia="zh-CN"/>
              </w:rPr>
              <w:t xml:space="preserve">                    </w:t>
            </w:r>
          </w:p>
          <w:p>
            <w:pPr>
              <w:adjustRightInd w:val="0"/>
              <w:snapToGrid w:val="0"/>
              <w:spacing w:line="288" w:lineRule="auto"/>
              <w:ind w:firstLine="210" w:firstLineChars="100"/>
              <w:rPr>
                <w:rFonts w:hint="eastAsia" w:ascii="宋体" w:hAnsi="宋体" w:eastAsia="宋体" w:cs="宋体"/>
                <w:color w:val="auto"/>
                <w:highlight w:val="none"/>
                <w:u w:val="single"/>
                <w:lang w:eastAsia="zh-CN"/>
              </w:rPr>
            </w:pPr>
            <w:r>
              <w:rPr>
                <w:rFonts w:hint="eastAsia" w:ascii="宋体" w:hAnsi="宋体" w:cs="宋体"/>
                <w:color w:val="auto"/>
                <w:highlight w:val="none"/>
              </w:rPr>
              <w:t>设计业绩：</w:t>
            </w:r>
            <w:r>
              <w:rPr>
                <w:rFonts w:hint="eastAsia" w:ascii="宋体" w:hAnsi="宋体" w:cs="宋体"/>
                <w:color w:val="auto"/>
                <w:highlight w:val="none"/>
                <w:u w:val="single"/>
              </w:rPr>
              <w:t xml:space="preserve">                      </w:t>
            </w:r>
            <w:r>
              <w:rPr>
                <w:rFonts w:hint="eastAsia" w:ascii="宋体" w:hAnsi="宋体" w:cs="宋体"/>
                <w:color w:val="auto"/>
                <w:highlight w:val="none"/>
                <w:u w:val="none"/>
                <w:lang w:eastAsia="zh-CN"/>
              </w:rPr>
              <w:t>；</w:t>
            </w:r>
          </w:p>
          <w:p>
            <w:pPr>
              <w:adjustRightInd w:val="0"/>
              <w:snapToGrid w:val="0"/>
              <w:spacing w:line="288" w:lineRule="auto"/>
              <w:ind w:firstLine="210" w:firstLineChars="100"/>
              <w:rPr>
                <w:rFonts w:hint="eastAsia" w:ascii="宋体" w:hAnsi="宋体" w:cs="宋体"/>
                <w:color w:val="auto"/>
                <w:highlight w:val="none"/>
                <w:u w:val="single"/>
              </w:rPr>
            </w:pPr>
            <w:r>
              <w:rPr>
                <w:rFonts w:hint="eastAsia" w:ascii="宋体" w:hAnsi="宋体" w:cs="宋体"/>
                <w:color w:val="auto"/>
                <w:highlight w:val="none"/>
              </w:rPr>
              <w:t>注：</w:t>
            </w:r>
            <w:r>
              <w:rPr>
                <w:rFonts w:hint="eastAsia"/>
                <w:color w:val="auto"/>
                <w:highlight w:val="none"/>
              </w:rPr>
              <w:t>业绩证明材料中的合同须为单项合同，否则该业绩不予认可。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27" w:hRule="atLeast"/>
          <w:jc w:val="center"/>
        </w:trPr>
        <w:tc>
          <w:tcPr>
            <w:tcW w:w="1266" w:type="dxa"/>
            <w:vAlign w:val="center"/>
          </w:tcPr>
          <w:p>
            <w:pPr>
              <w:adjustRightInd w:val="0"/>
              <w:snapToGrid w:val="0"/>
              <w:spacing w:line="288" w:lineRule="auto"/>
              <w:jc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10.6</w:t>
            </w:r>
          </w:p>
        </w:tc>
        <w:tc>
          <w:tcPr>
            <w:tcW w:w="2463" w:type="dxa"/>
            <w:vAlign w:val="center"/>
          </w:tcPr>
          <w:p>
            <w:pPr>
              <w:adjustRightInd w:val="0"/>
              <w:snapToGrid w:val="0"/>
              <w:spacing w:line="360" w:lineRule="auto"/>
              <w:jc w:val="center"/>
              <w:rPr>
                <w:rFonts w:hint="eastAsia" w:ascii="宋体" w:hAnsi="宋体" w:cs="宋体"/>
                <w:color w:val="auto"/>
                <w:szCs w:val="21"/>
                <w:highlight w:val="none"/>
              </w:rPr>
            </w:pPr>
            <w:r>
              <w:rPr>
                <w:rFonts w:hint="eastAsia" w:ascii="宋体" w:hAnsi="宋体" w:cs="宋体"/>
                <w:color w:val="auto"/>
                <w:szCs w:val="21"/>
                <w:highlight w:val="none"/>
              </w:rPr>
              <w:t>“其它辅助证明材料”相关要求</w:t>
            </w:r>
          </w:p>
        </w:tc>
        <w:tc>
          <w:tcPr>
            <w:tcW w:w="5274" w:type="dxa"/>
            <w:vAlign w:val="center"/>
          </w:tcPr>
          <w:p>
            <w:pPr>
              <w:adjustRightInd w:val="0"/>
              <w:snapToGrid w:val="0"/>
              <w:spacing w:line="288" w:lineRule="auto"/>
              <w:rPr>
                <w:rFonts w:hint="eastAsia" w:ascii="宋体" w:hAnsi="宋体" w:cs="宋体"/>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94" w:hRule="atLeast"/>
          <w:jc w:val="center"/>
        </w:trPr>
        <w:tc>
          <w:tcPr>
            <w:tcW w:w="1266" w:type="dxa"/>
            <w:vAlign w:val="center"/>
          </w:tcPr>
          <w:p>
            <w:pPr>
              <w:adjustRightInd w:val="0"/>
              <w:snapToGrid w:val="0"/>
              <w:spacing w:line="288" w:lineRule="auto"/>
              <w:jc w:val="center"/>
              <w:rPr>
                <w:rFonts w:ascii="宋体" w:hAnsi="宋体" w:cs="宋体"/>
                <w:color w:val="auto"/>
                <w:szCs w:val="21"/>
                <w:highlight w:val="none"/>
              </w:rPr>
            </w:pPr>
            <w:r>
              <w:rPr>
                <w:rFonts w:hint="eastAsia" w:ascii="宋体" w:hAnsi="宋体" w:cs="宋体"/>
                <w:color w:val="auto"/>
                <w:szCs w:val="21"/>
                <w:highlight w:val="none"/>
              </w:rPr>
              <w:t>10.</w:t>
            </w:r>
            <w:r>
              <w:rPr>
                <w:rFonts w:hint="eastAsia" w:ascii="宋体" w:hAnsi="宋体" w:cs="宋体"/>
                <w:color w:val="auto"/>
                <w:szCs w:val="21"/>
                <w:highlight w:val="none"/>
                <w:lang w:val="en-US" w:eastAsia="zh-CN"/>
              </w:rPr>
              <w:t>7</w:t>
            </w:r>
          </w:p>
        </w:tc>
        <w:tc>
          <w:tcPr>
            <w:tcW w:w="2463" w:type="dxa"/>
            <w:vAlign w:val="center"/>
          </w:tcPr>
          <w:p>
            <w:pPr>
              <w:adjustRightInd w:val="0"/>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t>资质动态核查</w:t>
            </w:r>
          </w:p>
        </w:tc>
        <w:tc>
          <w:tcPr>
            <w:tcW w:w="5274" w:type="dxa"/>
            <w:vAlign w:val="center"/>
          </w:tcPr>
          <w:p>
            <w:pPr>
              <w:adjustRightInd w:val="0"/>
              <w:snapToGrid w:val="0"/>
              <w:spacing w:line="288" w:lineRule="auto"/>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（1）评标</w:t>
            </w:r>
            <w:r>
              <w:rPr>
                <w:rFonts w:hint="eastAsia" w:ascii="宋体" w:hAnsi="宋体" w:cs="宋体"/>
                <w:color w:val="auto"/>
                <w:szCs w:val="21"/>
                <w:highlight w:val="none"/>
                <w:lang w:val="en-US" w:eastAsia="zh-CN"/>
              </w:rPr>
              <w:t>时</w:t>
            </w:r>
            <w:r>
              <w:rPr>
                <w:rFonts w:hint="eastAsia" w:ascii="宋体" w:hAnsi="宋体" w:cs="宋体"/>
                <w:color w:val="auto"/>
                <w:szCs w:val="21"/>
                <w:highlight w:val="none"/>
              </w:rPr>
              <w:t>，投标人投标所用施工资质核查结果为不达标的，视为投标人资质条件不符合国家有关规定，或不满足招标文件规定的资格条件。</w:t>
            </w:r>
          </w:p>
          <w:p>
            <w:pPr>
              <w:adjustRightInd w:val="0"/>
              <w:snapToGrid w:val="0"/>
              <w:spacing w:line="288" w:lineRule="auto"/>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（2）中标公示期间，中标候选人投标所用施工资质核查结果为不达标的，视为其资质条件不符合国家有关规定。</w:t>
            </w:r>
          </w:p>
          <w:p>
            <w:pPr>
              <w:adjustRightInd w:val="0"/>
              <w:snapToGrid w:val="0"/>
              <w:spacing w:line="288" w:lineRule="auto"/>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动态监管不合格资质查询网址：</w:t>
            </w:r>
          </w:p>
          <w:p>
            <w:pPr>
              <w:adjustRightInd w:val="0"/>
              <w:snapToGrid w:val="0"/>
              <w:spacing w:line="288" w:lineRule="auto"/>
              <w:rPr>
                <w:rFonts w:ascii="宋体" w:hAnsi="宋体" w:cs="宋体"/>
                <w:color w:val="auto"/>
                <w:highlight w:val="none"/>
              </w:rPr>
            </w:pPr>
            <w:r>
              <w:rPr>
                <w:rFonts w:hint="eastAsia" w:ascii="宋体" w:hAnsi="宋体" w:cs="宋体"/>
                <w:color w:val="auto"/>
                <w:szCs w:val="21"/>
                <w:highlight w:val="none"/>
              </w:rPr>
              <w:t>http://221.226.118.170:8080/app/jscesis/qualCheck/queryQualCheckPublic.ftl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19" w:hRule="atLeast"/>
          <w:jc w:val="center"/>
        </w:trPr>
        <w:tc>
          <w:tcPr>
            <w:tcW w:w="1266" w:type="dxa"/>
            <w:vAlign w:val="center"/>
          </w:tcPr>
          <w:p>
            <w:pPr>
              <w:adjustRightInd w:val="0"/>
              <w:snapToGrid w:val="0"/>
              <w:spacing w:line="288" w:lineRule="auto"/>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10.8</w:t>
            </w:r>
          </w:p>
        </w:tc>
        <w:tc>
          <w:tcPr>
            <w:tcW w:w="2463" w:type="dxa"/>
            <w:vAlign w:val="center"/>
          </w:tcPr>
          <w:p>
            <w:pPr>
              <w:keepNext w:val="0"/>
              <w:keepLines w:val="0"/>
              <w:pageBreakBefore w:val="0"/>
              <w:widowControl w:val="0"/>
              <w:kinsoku/>
              <w:wordWrap/>
              <w:overflowPunct/>
              <w:topLinePunct w:val="0"/>
              <w:autoSpaceDE/>
              <w:autoSpaceDN/>
              <w:bidi w:val="0"/>
              <w:adjustRightInd w:val="0"/>
              <w:snapToGrid w:val="0"/>
              <w:spacing w:line="288" w:lineRule="auto"/>
              <w:jc w:val="center"/>
              <w:textAlignment w:val="auto"/>
              <w:outlineLvl w:val="9"/>
              <w:rPr>
                <w:rFonts w:hint="eastAsia" w:ascii="宋体" w:hAnsi="宋体" w:cs="宋体"/>
                <w:color w:val="auto"/>
                <w:szCs w:val="21"/>
                <w:highlight w:val="none"/>
              </w:rPr>
            </w:pPr>
            <w:r>
              <w:rPr>
                <w:rFonts w:hint="eastAsia" w:ascii="宋体" w:hAnsi="宋体" w:cs="宋体"/>
                <w:color w:val="auto"/>
                <w:szCs w:val="21"/>
                <w:highlight w:val="none"/>
              </w:rPr>
              <w:fldChar w:fldCharType="begin"/>
            </w:r>
            <w:r>
              <w:rPr>
                <w:rFonts w:hint="eastAsia" w:ascii="宋体" w:hAnsi="宋体" w:cs="宋体"/>
                <w:color w:val="auto"/>
                <w:szCs w:val="21"/>
                <w:highlight w:val="none"/>
              </w:rPr>
              <w:instrText xml:space="preserve"> HYPERLINK "file:///H:\\泰州招标文件范本\\泰州市房屋建筑和市政工程施工2016.4.docx" \l "_10.8_知识产权" </w:instrText>
            </w:r>
            <w:r>
              <w:rPr>
                <w:rFonts w:hint="eastAsia" w:ascii="宋体" w:hAnsi="宋体" w:cs="宋体"/>
                <w:color w:val="auto"/>
                <w:szCs w:val="21"/>
                <w:highlight w:val="none"/>
              </w:rPr>
              <w:fldChar w:fldCharType="separate"/>
            </w:r>
            <w:r>
              <w:rPr>
                <w:rFonts w:hint="eastAsia" w:ascii="宋体" w:hAnsi="宋体" w:cs="宋体"/>
                <w:color w:val="auto"/>
                <w:szCs w:val="21"/>
                <w:highlight w:val="none"/>
              </w:rPr>
              <w:t>串通投标、弄虚作假</w:t>
            </w:r>
          </w:p>
          <w:p>
            <w:pPr>
              <w:adjustRightInd w:val="0"/>
              <w:snapToGrid w:val="0"/>
              <w:spacing w:line="360" w:lineRule="auto"/>
              <w:jc w:val="center"/>
              <w:rPr>
                <w:rFonts w:hint="eastAsia" w:ascii="宋体" w:hAnsi="宋体" w:cs="宋体"/>
                <w:color w:val="auto"/>
                <w:szCs w:val="21"/>
                <w:highlight w:val="none"/>
              </w:rPr>
            </w:pPr>
            <w:r>
              <w:rPr>
                <w:rFonts w:hint="eastAsia" w:ascii="宋体" w:hAnsi="宋体" w:cs="宋体"/>
                <w:color w:val="auto"/>
                <w:szCs w:val="21"/>
                <w:highlight w:val="none"/>
              </w:rPr>
              <w:t>行为</w:t>
            </w:r>
            <w:r>
              <w:rPr>
                <w:rFonts w:hint="eastAsia" w:ascii="宋体" w:hAnsi="宋体" w:cs="宋体"/>
                <w:color w:val="auto"/>
                <w:szCs w:val="21"/>
                <w:highlight w:val="none"/>
              </w:rPr>
              <w:fldChar w:fldCharType="end"/>
            </w:r>
            <w:r>
              <w:rPr>
                <w:rFonts w:hint="eastAsia" w:ascii="宋体" w:hAnsi="宋体" w:cs="宋体"/>
                <w:color w:val="auto"/>
                <w:szCs w:val="21"/>
                <w:highlight w:val="none"/>
              </w:rPr>
              <w:t>认定</w:t>
            </w:r>
          </w:p>
        </w:tc>
        <w:tc>
          <w:tcPr>
            <w:tcW w:w="5274" w:type="dxa"/>
            <w:vAlign w:val="center"/>
          </w:tcPr>
          <w:p>
            <w:pPr>
              <w:adjustRightInd w:val="0"/>
              <w:snapToGrid w:val="0"/>
              <w:spacing w:line="288" w:lineRule="auto"/>
              <w:rPr>
                <w:rFonts w:hint="eastAsia" w:ascii="宋体" w:hAnsi="宋体" w:eastAsia="宋体" w:cs="宋体"/>
                <w:color w:val="auto"/>
                <w:szCs w:val="21"/>
                <w:highlight w:val="none"/>
                <w:lang w:eastAsia="zh-CN"/>
              </w:rPr>
            </w:pPr>
            <w:r>
              <w:rPr>
                <w:rFonts w:hint="eastAsia" w:ascii="宋体" w:hAnsi="宋体"/>
                <w:color w:val="auto"/>
                <w:highlight w:val="none"/>
              </w:rPr>
              <w:t>执行《江苏省国有资金投资工程建设项目招标投标管理办法》（省政府令第120号）、《江苏省房屋建筑和市政基础设施工程招标投标中串通投标和弄虚作假行为认定处理办法（试行）》（苏建规字〔</w:t>
            </w:r>
            <w:r>
              <w:rPr>
                <w:rFonts w:ascii="宋体" w:hAnsi="宋体"/>
                <w:color w:val="auto"/>
                <w:highlight w:val="none"/>
              </w:rPr>
              <w:t>2014</w:t>
            </w:r>
            <w:r>
              <w:rPr>
                <w:rFonts w:hint="eastAsia" w:ascii="宋体" w:hAnsi="宋体"/>
                <w:color w:val="auto"/>
                <w:highlight w:val="none"/>
              </w:rPr>
              <w:t>〕</w:t>
            </w:r>
            <w:r>
              <w:rPr>
                <w:rFonts w:ascii="宋体" w:hAnsi="宋体"/>
                <w:color w:val="auto"/>
                <w:highlight w:val="none"/>
              </w:rPr>
              <w:t>2</w:t>
            </w:r>
            <w:r>
              <w:rPr>
                <w:rFonts w:hint="eastAsia" w:ascii="宋体" w:hAnsi="宋体"/>
                <w:color w:val="auto"/>
                <w:highlight w:val="none"/>
              </w:rPr>
              <w:t>号）</w:t>
            </w:r>
            <w:r>
              <w:rPr>
                <w:rFonts w:hint="eastAsia" w:ascii="宋体" w:hAnsi="宋体" w:eastAsia="宋体" w:cs="Times New Roman"/>
                <w:color w:val="auto"/>
                <w:highlight w:val="none"/>
                <w:lang w:eastAsia="zh-CN"/>
              </w:rPr>
              <w:t>、</w:t>
            </w:r>
            <w:r>
              <w:rPr>
                <w:rFonts w:hint="eastAsia" w:ascii="宋体" w:hAnsi="宋体" w:eastAsia="宋体" w:cs="Times New Roman"/>
                <w:color w:val="auto"/>
                <w:highlight w:val="none"/>
              </w:rPr>
              <w:t>《</w:t>
            </w:r>
            <w:r>
              <w:rPr>
                <w:rFonts w:hint="eastAsia" w:ascii="宋体" w:hAnsi="宋体" w:eastAsia="宋体" w:cs="Times New Roman"/>
                <w:b w:val="0"/>
                <w:bCs w:val="0"/>
                <w:color w:val="auto"/>
                <w:kern w:val="2"/>
                <w:sz w:val="21"/>
                <w:szCs w:val="24"/>
                <w:highlight w:val="none"/>
              </w:rPr>
              <w:t>江苏省招标投标条例</w:t>
            </w:r>
            <w:r>
              <w:rPr>
                <w:rFonts w:hint="eastAsia" w:ascii="宋体" w:hAnsi="宋体" w:eastAsia="宋体" w:cs="Times New Roman"/>
                <w:color w:val="auto"/>
                <w:highlight w:val="none"/>
              </w:rPr>
              <w:t>》</w:t>
            </w:r>
            <w:r>
              <w:rPr>
                <w:rFonts w:hint="eastAsia" w:ascii="宋体" w:hAnsi="宋体" w:eastAsia="宋体" w:cs="Times New Roman"/>
                <w:color w:val="auto"/>
                <w:highlight w:val="none"/>
                <w:lang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66" w:type="dxa"/>
            <w:vAlign w:val="center"/>
          </w:tcPr>
          <w:p>
            <w:pPr>
              <w:adjustRightInd w:val="0"/>
              <w:snapToGrid w:val="0"/>
              <w:spacing w:line="288" w:lineRule="auto"/>
              <w:jc w:val="center"/>
              <w:rPr>
                <w:rFonts w:hint="eastAsia" w:ascii="宋体" w:hAnsi="宋体" w:cs="宋体"/>
                <w:color w:val="auto"/>
                <w:szCs w:val="21"/>
                <w:highlight w:val="none"/>
                <w:lang w:val="en-US" w:eastAsia="zh-CN"/>
              </w:rPr>
            </w:pPr>
            <w:r>
              <w:rPr>
                <w:rFonts w:hint="eastAsia" w:ascii="宋体" w:hAnsi="宋体" w:cs="宋体"/>
                <w:color w:val="auto"/>
                <w:szCs w:val="21"/>
                <w:highlight w:val="none"/>
                <w:lang w:val="en-US" w:eastAsia="zh-CN"/>
              </w:rPr>
              <w:t>10.9</w:t>
            </w:r>
          </w:p>
        </w:tc>
        <w:tc>
          <w:tcPr>
            <w:tcW w:w="7737" w:type="dxa"/>
            <w:gridSpan w:val="2"/>
            <w:vAlign w:val="center"/>
          </w:tcPr>
          <w:p>
            <w:pPr>
              <w:adjustRightInd w:val="0"/>
              <w:snapToGrid w:val="0"/>
              <w:spacing w:line="288" w:lineRule="auto"/>
              <w:rPr>
                <w:rFonts w:hint="eastAsia" w:ascii="宋体" w:hAnsi="宋体"/>
                <w:color w:val="auto"/>
                <w:highlight w:val="none"/>
              </w:rPr>
            </w:pPr>
            <w:r>
              <w:rPr>
                <w:rFonts w:hint="eastAsia" w:ascii="宋体" w:hAnsi="宋体" w:cs="宋体"/>
                <w:color w:val="auto"/>
                <w:szCs w:val="21"/>
                <w:highlight w:val="none"/>
                <w:lang w:val="en-US" w:eastAsia="zh-CN"/>
              </w:rPr>
              <w:t>如采用联合体方式投标，仅需要牵头单位付费下载招标文件。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66" w:type="dxa"/>
            <w:vAlign w:val="center"/>
          </w:tcPr>
          <w:p>
            <w:pPr>
              <w:adjustRightInd w:val="0"/>
              <w:snapToGrid w:val="0"/>
              <w:spacing w:line="288" w:lineRule="auto"/>
              <w:jc w:val="center"/>
              <w:rPr>
                <w:rFonts w:hint="default" w:ascii="宋体" w:hAnsi="宋体" w:cs="宋体"/>
                <w:color w:val="auto"/>
                <w:szCs w:val="21"/>
                <w:highlight w:val="none"/>
                <w:lang w:val="en-US" w:eastAsia="zh-CN"/>
              </w:rPr>
            </w:pPr>
            <w:r>
              <w:rPr>
                <w:rFonts w:hint="eastAsia" w:ascii="宋体" w:hAnsi="宋体" w:cs="宋体"/>
                <w:color w:val="auto"/>
                <w:szCs w:val="21"/>
                <w:highlight w:val="none"/>
                <w:lang w:val="en-US" w:eastAsia="zh-CN"/>
              </w:rPr>
              <w:t>10.10</w:t>
            </w:r>
          </w:p>
        </w:tc>
        <w:tc>
          <w:tcPr>
            <w:tcW w:w="7737" w:type="dxa"/>
            <w:gridSpan w:val="2"/>
            <w:vAlign w:val="center"/>
          </w:tcPr>
          <w:p>
            <w:pPr>
              <w:adjustRightInd w:val="0"/>
              <w:snapToGrid w:val="0"/>
              <w:rPr>
                <w:rFonts w:hint="eastAsia"/>
              </w:rPr>
            </w:pPr>
            <w:r>
              <w:rPr>
                <w:rFonts w:hint="eastAsia"/>
              </w:rPr>
              <w:t>中标通知书发出之前，招标人和中标人须向公共资源交易中心交纳交易服务费，收</w:t>
            </w:r>
          </w:p>
          <w:p>
            <w:pPr>
              <w:adjustRightInd w:val="0"/>
              <w:snapToGrid w:val="0"/>
              <w:spacing w:line="288" w:lineRule="auto"/>
              <w:rPr>
                <w:rFonts w:hint="eastAsia" w:ascii="宋体" w:hAnsi="宋体" w:cs="宋体"/>
                <w:color w:val="auto"/>
                <w:szCs w:val="21"/>
                <w:highlight w:val="none"/>
                <w:lang w:val="en-US" w:eastAsia="zh-CN"/>
              </w:rPr>
            </w:pPr>
            <w:r>
              <w:rPr>
                <w:rFonts w:hint="eastAsia"/>
              </w:rPr>
              <w:t>费标准</w:t>
            </w:r>
            <w:r>
              <w:rPr>
                <w:rFonts w:hint="eastAsia"/>
                <w:lang w:val="en-US" w:eastAsia="zh-CN"/>
              </w:rPr>
              <w:t>按</w:t>
            </w:r>
            <w:r>
              <w:rPr>
                <w:rFonts w:hint="eastAsia" w:ascii="宋体" w:hAnsi="宋体" w:cs="宋体"/>
                <w:szCs w:val="21"/>
              </w:rPr>
              <w:t>《</w:t>
            </w:r>
            <w:r>
              <w:rPr>
                <w:rFonts w:hint="eastAsia" w:ascii="宋体" w:hAnsi="宋体" w:cs="宋体"/>
                <w:szCs w:val="21"/>
                <w:lang w:val="en-US" w:eastAsia="zh-CN"/>
              </w:rPr>
              <w:t>关于优化公共资源交易服务收费管理有关事项的通知</w:t>
            </w:r>
            <w:r>
              <w:rPr>
                <w:rFonts w:hint="eastAsia" w:ascii="宋体" w:hAnsi="宋体" w:cs="宋体"/>
                <w:szCs w:val="21"/>
              </w:rPr>
              <w:t>》（</w:t>
            </w:r>
            <w:r>
              <w:rPr>
                <w:rFonts w:hint="eastAsia" w:ascii="宋体" w:hAnsi="宋体" w:cs="宋体"/>
                <w:szCs w:val="21"/>
                <w:lang w:val="en-US" w:eastAsia="zh-CN"/>
              </w:rPr>
              <w:t>苏发改收费发</w:t>
            </w:r>
            <w:r>
              <w:rPr>
                <w:rFonts w:hint="eastAsia" w:ascii="宋体" w:hAnsi="宋体" w:cs="宋体"/>
                <w:szCs w:val="21"/>
              </w:rPr>
              <w:t>〔202</w:t>
            </w:r>
            <w:r>
              <w:rPr>
                <w:rFonts w:hint="eastAsia" w:ascii="宋体" w:hAnsi="宋体" w:cs="宋体"/>
                <w:szCs w:val="21"/>
                <w:lang w:val="en-US" w:eastAsia="zh-CN"/>
              </w:rPr>
              <w:t>3</w:t>
            </w:r>
            <w:r>
              <w:rPr>
                <w:rFonts w:hint="eastAsia" w:ascii="宋体" w:hAnsi="宋体" w:cs="宋体"/>
                <w:szCs w:val="21"/>
              </w:rPr>
              <w:t>〕</w:t>
            </w:r>
            <w:r>
              <w:rPr>
                <w:rFonts w:hint="eastAsia" w:ascii="宋体" w:hAnsi="宋体" w:cs="宋体"/>
                <w:szCs w:val="21"/>
                <w:lang w:val="en-US" w:eastAsia="zh-CN"/>
              </w:rPr>
              <w:t>851</w:t>
            </w:r>
            <w:r>
              <w:rPr>
                <w:rFonts w:hint="eastAsia" w:ascii="宋体" w:hAnsi="宋体" w:cs="宋体"/>
                <w:szCs w:val="21"/>
              </w:rPr>
              <w:t>号）</w:t>
            </w:r>
            <w:r>
              <w:rPr>
                <w:rFonts w:hint="eastAsia"/>
              </w:rPr>
              <w:t>执行。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66" w:type="dxa"/>
            <w:vAlign w:val="center"/>
          </w:tcPr>
          <w:p>
            <w:pPr>
              <w:adjustRightInd w:val="0"/>
              <w:snapToGrid w:val="0"/>
              <w:spacing w:line="288" w:lineRule="auto"/>
              <w:jc w:val="center"/>
              <w:rPr>
                <w:rFonts w:hint="eastAsia" w:ascii="宋体" w:hAnsi="宋体" w:cs="宋体"/>
                <w:color w:val="auto"/>
                <w:szCs w:val="21"/>
                <w:highlight w:val="none"/>
                <w:lang w:val="en-US" w:eastAsia="zh-CN"/>
              </w:rPr>
            </w:pPr>
          </w:p>
        </w:tc>
        <w:tc>
          <w:tcPr>
            <w:tcW w:w="7737" w:type="dxa"/>
            <w:gridSpan w:val="2"/>
            <w:vAlign w:val="center"/>
          </w:tcPr>
          <w:p>
            <w:pPr>
              <w:adjustRightInd w:val="0"/>
              <w:snapToGrid w:val="0"/>
              <w:spacing w:line="288" w:lineRule="auto"/>
              <w:rPr>
                <w:rFonts w:hint="eastAsia" w:ascii="宋体" w:hAnsi="宋体" w:cs="宋体"/>
                <w:color w:val="auto"/>
                <w:szCs w:val="21"/>
                <w:highlight w:val="none"/>
                <w:lang w:val="en-US" w:eastAsia="zh-CN"/>
              </w:rPr>
            </w:pPr>
            <w:r>
              <w:rPr>
                <w:rFonts w:hint="eastAsia" w:ascii="宋体" w:hAnsi="宋体" w:cs="宋体"/>
                <w:color w:val="auto"/>
                <w:szCs w:val="21"/>
                <w:highlight w:val="none"/>
                <w:lang w:val="en-US" w:eastAsia="zh-CN"/>
              </w:rPr>
              <w:t>……</w:t>
            </w:r>
          </w:p>
        </w:tc>
      </w:tr>
    </w:tbl>
    <w:p>
      <w:pPr>
        <w:ind w:left="714" w:leftChars="200" w:hanging="294" w:hangingChars="140"/>
        <w:rPr>
          <w:color w:val="auto"/>
          <w:highlight w:val="none"/>
        </w:rPr>
      </w:pPr>
    </w:p>
    <w:p>
      <w:pPr>
        <w:pStyle w:val="4"/>
        <w:keepNext w:val="0"/>
        <w:keepLines w:val="0"/>
        <w:rPr>
          <w:color w:val="auto"/>
          <w:highlight w:val="none"/>
        </w:rPr>
        <w:sectPr>
          <w:footerReference r:id="rId14" w:type="default"/>
          <w:pgSz w:w="11850" w:h="16783"/>
          <w:pgMar w:top="1440" w:right="1559" w:bottom="1440" w:left="1560" w:header="851" w:footer="851" w:gutter="0"/>
          <w:pgNumType w:start="1"/>
          <w:cols w:space="720" w:num="1"/>
          <w:docGrid w:linePitch="312" w:charSpace="0"/>
        </w:sectPr>
      </w:pPr>
    </w:p>
    <w:p>
      <w:pPr>
        <w:pStyle w:val="5"/>
        <w:jc w:val="center"/>
        <w:rPr>
          <w:rFonts w:hint="eastAsia" w:ascii="黑体" w:hAnsi="黑体" w:eastAsia="黑体" w:cs="黑体"/>
          <w:b w:val="0"/>
          <w:bCs w:val="0"/>
          <w:color w:val="auto"/>
          <w:sz w:val="32"/>
          <w:highlight w:val="none"/>
        </w:rPr>
      </w:pPr>
      <w:bookmarkStart w:id="92" w:name="_Toc10352"/>
      <w:bookmarkStart w:id="93" w:name="_Toc19546"/>
      <w:bookmarkStart w:id="94" w:name="_Toc20631"/>
      <w:bookmarkStart w:id="95" w:name="_Toc3298"/>
      <w:bookmarkStart w:id="96" w:name="_Toc15328"/>
      <w:bookmarkStart w:id="97" w:name="_Toc389065144"/>
      <w:bookmarkStart w:id="98" w:name="_Toc15475"/>
      <w:bookmarkStart w:id="99" w:name="_Toc508286067"/>
      <w:r>
        <w:rPr>
          <w:rFonts w:hint="eastAsia" w:ascii="黑体" w:hAnsi="黑体" w:eastAsia="黑体" w:cs="黑体"/>
          <w:b w:val="0"/>
          <w:bCs w:val="0"/>
          <w:color w:val="auto"/>
          <w:sz w:val="32"/>
          <w:highlight w:val="none"/>
        </w:rPr>
        <w:t>投标人须知</w:t>
      </w:r>
      <w:bookmarkEnd w:id="92"/>
      <w:bookmarkEnd w:id="93"/>
      <w:bookmarkEnd w:id="94"/>
      <w:bookmarkEnd w:id="95"/>
      <w:bookmarkEnd w:id="96"/>
      <w:bookmarkEnd w:id="97"/>
      <w:bookmarkEnd w:id="98"/>
      <w:bookmarkEnd w:id="99"/>
    </w:p>
    <w:p>
      <w:pPr>
        <w:pStyle w:val="5"/>
        <w:spacing w:line="360" w:lineRule="auto"/>
        <w:rPr>
          <w:rFonts w:ascii="宋体" w:hAnsi="宋体" w:cs="宋体"/>
          <w:color w:val="auto"/>
          <w:highlight w:val="none"/>
        </w:rPr>
      </w:pPr>
      <w:bookmarkStart w:id="100" w:name="_Toc19972"/>
      <w:bookmarkStart w:id="101" w:name="_Toc389065145"/>
      <w:bookmarkStart w:id="102" w:name="_Toc25426"/>
      <w:bookmarkStart w:id="103" w:name="_Toc16169"/>
      <w:bookmarkStart w:id="104" w:name="_Toc13543"/>
      <w:bookmarkStart w:id="105" w:name="_Toc8444"/>
      <w:bookmarkStart w:id="106" w:name="_Toc4632"/>
      <w:bookmarkStart w:id="107" w:name="_Toc508286068"/>
      <w:r>
        <w:rPr>
          <w:rFonts w:hint="eastAsia" w:ascii="宋体" w:hAnsi="宋体" w:cs="宋体"/>
          <w:color w:val="auto"/>
          <w:highlight w:val="none"/>
        </w:rPr>
        <w:t>1 总则</w:t>
      </w:r>
      <w:bookmarkEnd w:id="100"/>
      <w:bookmarkEnd w:id="101"/>
      <w:bookmarkEnd w:id="102"/>
      <w:bookmarkEnd w:id="103"/>
      <w:bookmarkEnd w:id="104"/>
      <w:bookmarkEnd w:id="105"/>
      <w:bookmarkEnd w:id="106"/>
      <w:bookmarkEnd w:id="107"/>
    </w:p>
    <w:p>
      <w:pPr>
        <w:pStyle w:val="6"/>
        <w:rPr>
          <w:rFonts w:ascii="宋体" w:hAnsi="宋体" w:cs="宋体"/>
          <w:color w:val="auto"/>
          <w:highlight w:val="none"/>
        </w:rPr>
      </w:pPr>
      <w:bookmarkStart w:id="108" w:name="_Toc3661"/>
      <w:bookmarkStart w:id="109" w:name="_Toc25879"/>
      <w:bookmarkStart w:id="110" w:name="_Toc389065146"/>
      <w:bookmarkStart w:id="111" w:name="_Toc26023"/>
      <w:bookmarkStart w:id="112" w:name="_Toc30168"/>
      <w:bookmarkStart w:id="113" w:name="_Toc30630"/>
      <w:bookmarkStart w:id="114" w:name="_Toc508286069"/>
      <w:bookmarkStart w:id="115" w:name="_Toc28198"/>
      <w:r>
        <w:rPr>
          <w:rFonts w:hint="eastAsia" w:ascii="宋体" w:hAnsi="宋体" w:cs="宋体"/>
          <w:color w:val="auto"/>
          <w:highlight w:val="none"/>
        </w:rPr>
        <w:t>1.1 项目概况</w:t>
      </w:r>
      <w:bookmarkEnd w:id="108"/>
      <w:bookmarkEnd w:id="109"/>
      <w:bookmarkEnd w:id="110"/>
      <w:bookmarkEnd w:id="111"/>
      <w:bookmarkEnd w:id="112"/>
      <w:bookmarkEnd w:id="113"/>
      <w:bookmarkEnd w:id="114"/>
      <w:bookmarkEnd w:id="115"/>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1.1.1 根据《中华人民共和国招标投标法》等有关法律、法规和规章的规定，本招标项目已具备招标条件，现对本标段工程总承包进行招标。</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1.1.2 本招标项目招标人：见“投标人须知前附表”。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1.1.3 本标段招标代理机构：见“投标人须知前附表”。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1.1.4 本招标项目及标段名称：见“投标人须知前附表”。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1.1.5 本标段建设地点：见“投标人须知前附表”。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1.1.6 建设规模：见“投标人须知前附表”。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1.1.7 合同估算价：见“投标人须知前附表”。</w:t>
      </w:r>
    </w:p>
    <w:p>
      <w:pPr>
        <w:pStyle w:val="6"/>
        <w:rPr>
          <w:rFonts w:ascii="宋体" w:hAnsi="宋体" w:cs="宋体"/>
          <w:color w:val="auto"/>
          <w:highlight w:val="none"/>
        </w:rPr>
      </w:pPr>
      <w:bookmarkStart w:id="116" w:name="_Toc389065147"/>
      <w:bookmarkStart w:id="117" w:name="_Toc21859"/>
      <w:bookmarkStart w:id="118" w:name="_Toc20390"/>
      <w:bookmarkStart w:id="119" w:name="_Toc508286070"/>
      <w:bookmarkStart w:id="120" w:name="_Toc18715"/>
      <w:bookmarkStart w:id="121" w:name="_Toc27760"/>
      <w:bookmarkStart w:id="122" w:name="_Toc16896"/>
      <w:bookmarkStart w:id="123" w:name="_Toc31811"/>
      <w:r>
        <w:rPr>
          <w:rFonts w:hint="eastAsia" w:ascii="宋体" w:hAnsi="宋体" w:cs="宋体"/>
          <w:color w:val="auto"/>
          <w:highlight w:val="none"/>
        </w:rPr>
        <w:t>1.2 资金来源和落实情况</w:t>
      </w:r>
      <w:bookmarkEnd w:id="116"/>
      <w:bookmarkEnd w:id="117"/>
      <w:bookmarkEnd w:id="118"/>
      <w:bookmarkEnd w:id="119"/>
      <w:bookmarkEnd w:id="120"/>
      <w:bookmarkEnd w:id="121"/>
      <w:bookmarkEnd w:id="122"/>
      <w:bookmarkEnd w:id="123"/>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1.2.1 本招标项目的资金来源：见“投标人须知前附表”。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1.2.2 本招标项目的出资比例：见“投标人须知前附表”。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1.2.3 本招标项目的资金落实情况：见“投标人须知前附表”。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1.2.4 本招标项目的合同价款支付方式：见“投标人须知前附表”。</w:t>
      </w:r>
    </w:p>
    <w:p>
      <w:pPr>
        <w:pStyle w:val="6"/>
        <w:rPr>
          <w:rFonts w:ascii="宋体" w:hAnsi="宋体" w:cs="宋体"/>
          <w:color w:val="auto"/>
          <w:highlight w:val="none"/>
        </w:rPr>
      </w:pPr>
      <w:bookmarkStart w:id="124" w:name="_Toc32244"/>
      <w:bookmarkStart w:id="125" w:name="_Toc8731"/>
      <w:bookmarkStart w:id="126" w:name="_Toc26273"/>
      <w:bookmarkStart w:id="127" w:name="_Toc389065148"/>
      <w:bookmarkStart w:id="128" w:name="_Toc508286071"/>
      <w:bookmarkStart w:id="129" w:name="_Toc23662"/>
      <w:bookmarkStart w:id="130" w:name="_Toc28746"/>
      <w:bookmarkStart w:id="131" w:name="_Toc3979"/>
      <w:r>
        <w:rPr>
          <w:rFonts w:hint="eastAsia" w:ascii="宋体" w:hAnsi="宋体" w:cs="宋体"/>
          <w:color w:val="auto"/>
          <w:highlight w:val="none"/>
        </w:rPr>
        <w:t>1.3 招标范围、计划工期和质量要求</w:t>
      </w:r>
      <w:bookmarkEnd w:id="124"/>
      <w:bookmarkEnd w:id="125"/>
      <w:bookmarkEnd w:id="126"/>
      <w:bookmarkEnd w:id="127"/>
      <w:bookmarkEnd w:id="128"/>
      <w:bookmarkEnd w:id="129"/>
      <w:bookmarkEnd w:id="130"/>
      <w:bookmarkEnd w:id="131"/>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1.3.1 本次招标范围：见“投标人须知前附表”。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1.3.2 本标段的要求工期：见“投标人须知前附表”。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1.3.3 本标段的质量要求：见“投标人须知前附表”。</w:t>
      </w:r>
    </w:p>
    <w:p>
      <w:pPr>
        <w:pStyle w:val="6"/>
        <w:rPr>
          <w:rFonts w:ascii="宋体" w:hAnsi="宋体" w:cs="宋体"/>
          <w:color w:val="auto"/>
          <w:highlight w:val="none"/>
        </w:rPr>
      </w:pPr>
      <w:bookmarkStart w:id="132" w:name="_Toc27378"/>
      <w:bookmarkStart w:id="133" w:name="_Toc11045"/>
      <w:bookmarkStart w:id="134" w:name="_Toc1454"/>
      <w:bookmarkStart w:id="135" w:name="_Toc5193"/>
      <w:bookmarkStart w:id="136" w:name="_Toc508286072"/>
      <w:bookmarkStart w:id="137" w:name="_Toc389065149"/>
      <w:bookmarkStart w:id="138" w:name="_Toc18743"/>
      <w:bookmarkStart w:id="139" w:name="_Toc1267"/>
      <w:r>
        <w:rPr>
          <w:rFonts w:hint="eastAsia" w:ascii="宋体" w:hAnsi="宋体" w:cs="宋体"/>
          <w:color w:val="auto"/>
          <w:highlight w:val="none"/>
        </w:rPr>
        <w:t>1.4 投标人资格要求</w:t>
      </w:r>
      <w:bookmarkEnd w:id="132"/>
      <w:bookmarkEnd w:id="133"/>
      <w:bookmarkEnd w:id="134"/>
      <w:bookmarkEnd w:id="135"/>
      <w:bookmarkEnd w:id="136"/>
      <w:bookmarkEnd w:id="137"/>
      <w:bookmarkEnd w:id="138"/>
      <w:bookmarkEnd w:id="139"/>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1.4.1 投标人应具备承担本项目工程总承包的资格要求，见“投标人须知前附表”。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1.4.2 “投标人须知前附表”规定接受联合体投标的，除应符合本章第1.4.1项和“投标人须知前附表”的要求外，还应遵守以下规定：</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（1）联合体各方应按招标文件提供的格式签订联合体协议书，明确联合体牵头人和各方权利义务；</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（2）联合体各成员单位应当具备与联合体协议中约定的分工相适应的资质和能力；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（3）联合体各方不得再以自己名义单独或参加其他联合体在同一标段中投标；</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（4）联合体各方必须指定牵头人，授权其代表所有联合体成员负责投标和合同实施阶段的主办、协调工作；</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（5）招标人要求投标人提交投标保证金的，</w:t>
      </w:r>
      <w:r>
        <w:rPr>
          <w:rFonts w:hint="eastAsia" w:ascii="宋体" w:hAnsi="宋体" w:eastAsia="宋体" w:cs="宋体"/>
          <w:color w:val="auto"/>
          <w:szCs w:val="21"/>
          <w:highlight w:val="none"/>
        </w:rPr>
        <w:t>应当以联合体</w:t>
      </w:r>
      <w:r>
        <w:rPr>
          <w:rFonts w:hint="eastAsia" w:ascii="宋体" w:hAnsi="宋体" w:eastAsia="宋体" w:cs="宋体"/>
          <w:color w:val="auto"/>
          <w:szCs w:val="21"/>
          <w:highlight w:val="none"/>
          <w:lang w:val="en-US" w:eastAsia="zh-CN"/>
        </w:rPr>
        <w:t>中</w:t>
      </w:r>
      <w:r>
        <w:rPr>
          <w:rFonts w:hint="eastAsia" w:ascii="宋体" w:hAnsi="宋体" w:eastAsia="宋体" w:cs="宋体"/>
          <w:color w:val="auto"/>
          <w:szCs w:val="21"/>
          <w:highlight w:val="none"/>
        </w:rPr>
        <w:t>牵头人的名义提交投标</w:t>
      </w:r>
      <w:r>
        <w:rPr>
          <w:rFonts w:hint="eastAsia" w:ascii="宋体" w:hAnsi="宋体" w:eastAsia="宋体" w:cs="宋体"/>
          <w:color w:val="auto"/>
          <w:szCs w:val="21"/>
          <w:highlight w:val="none"/>
          <w:lang w:val="en-US" w:eastAsia="zh-CN"/>
        </w:rPr>
        <w:t>保证金</w:t>
      </w:r>
      <w:r>
        <w:rPr>
          <w:rFonts w:hint="eastAsia" w:ascii="宋体" w:hAnsi="宋体" w:eastAsia="宋体" w:cs="宋体"/>
          <w:color w:val="auto"/>
          <w:szCs w:val="21"/>
          <w:highlight w:val="none"/>
        </w:rPr>
        <w:t>。以联合体中牵头人名义提</w:t>
      </w:r>
      <w:r>
        <w:rPr>
          <w:rFonts w:hint="eastAsia" w:ascii="宋体" w:hAnsi="宋体" w:cs="宋体"/>
          <w:color w:val="auto"/>
          <w:szCs w:val="21"/>
          <w:highlight w:val="none"/>
        </w:rPr>
        <w:t>交的投标保证</w:t>
      </w:r>
      <w:r>
        <w:rPr>
          <w:rFonts w:hint="eastAsia" w:ascii="宋体" w:hAnsi="宋体" w:eastAsia="宋体" w:cs="宋体"/>
          <w:color w:val="auto"/>
          <w:szCs w:val="21"/>
          <w:highlight w:val="none"/>
          <w:lang w:val="en-US" w:eastAsia="zh-CN"/>
        </w:rPr>
        <w:t>金</w:t>
      </w:r>
      <w:r>
        <w:rPr>
          <w:rFonts w:hint="eastAsia" w:ascii="宋体" w:hAnsi="宋体" w:cs="宋体"/>
          <w:color w:val="auto"/>
          <w:szCs w:val="21"/>
          <w:highlight w:val="none"/>
        </w:rPr>
        <w:t>，对联合体各成员具有约束力。</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1.4.3 投标人不得存在下列情形之一：</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（1）为招标人不具有独立法人资格的附属机构（单位）；</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（2）工程总承包招标的投标人不得是工程总承包项目的代建单位、项目管理单位、全过程工程咨询单位、监理单位、造价咨询单位、招标代理单位或者与前述单位有利害关系的关联单位。</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（3）与招标人存在利害关系可能影响招标公正性的；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（4）单位负责人为同一人或者存在控股、管理关系的不同单位；</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（5）处于被责令停业、财产被接管、冻结和破产状态，以及投标资格被取消或者被暂停且在暂停期内；</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（6）因拖欠工人工资或者发生质量安全事故被有关部门限制在招标项目所在地承接工程的；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（7）投标人近3年内有行贿犯罪行为且被记录，或者法定代表人有行贿犯罪记录且</w:t>
      </w:r>
      <w:r>
        <w:rPr>
          <w:rFonts w:ascii="宋体" w:hAnsi="宋体" w:cs="宋体"/>
          <w:color w:val="auto"/>
          <w:szCs w:val="21"/>
          <w:highlight w:val="none"/>
        </w:rPr>
        <w:t>自</w:t>
      </w:r>
      <w:r>
        <w:rPr>
          <w:rFonts w:hint="eastAsia" w:ascii="宋体" w:hAnsi="宋体" w:cs="宋体"/>
          <w:color w:val="auto"/>
          <w:szCs w:val="21"/>
          <w:highlight w:val="none"/>
        </w:rPr>
        <w:t>记录</w:t>
      </w:r>
      <w:r>
        <w:rPr>
          <w:rFonts w:ascii="宋体" w:hAnsi="宋体" w:cs="宋体"/>
          <w:color w:val="auto"/>
          <w:szCs w:val="21"/>
          <w:highlight w:val="none"/>
        </w:rPr>
        <w:t>之日起未超过</w:t>
      </w:r>
      <w:r>
        <w:rPr>
          <w:rFonts w:hint="eastAsia" w:ascii="宋体" w:hAnsi="宋体" w:cs="宋体"/>
          <w:color w:val="auto"/>
          <w:szCs w:val="21"/>
          <w:highlight w:val="none"/>
        </w:rPr>
        <w:t>5年的；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（8）被“信用中国”网站（www.creditchina.gov.cn）列入失信被执行人的；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（9）</w:t>
      </w:r>
      <w:r>
        <w:rPr>
          <w:rFonts w:hint="eastAsia" w:ascii="宋体" w:hAnsi="宋体" w:cs="宋体"/>
          <w:color w:val="auto"/>
          <w:kern w:val="0"/>
          <w:szCs w:val="21"/>
          <w:highlight w:val="none"/>
        </w:rPr>
        <w:t>被国家企业信用信息公示系统列入严重违法失信企业名单；</w:t>
      </w:r>
    </w:p>
    <w:p>
      <w:pPr>
        <w:autoSpaceDE w:val="0"/>
        <w:autoSpaceDN w:val="0"/>
        <w:adjustRightInd w:val="0"/>
        <w:spacing w:line="360" w:lineRule="auto"/>
        <w:ind w:firstLine="420" w:firstLineChars="200"/>
        <w:jc w:val="left"/>
        <w:rPr>
          <w:rFonts w:ascii="宋体" w:hAnsi="宋体" w:cs="宋体"/>
          <w:color w:val="auto"/>
          <w:kern w:val="0"/>
          <w:szCs w:val="21"/>
          <w:highlight w:val="none"/>
        </w:rPr>
      </w:pPr>
      <w:r>
        <w:rPr>
          <w:rFonts w:hint="eastAsia" w:ascii="宋体" w:hAnsi="宋体" w:cs="宋体"/>
          <w:color w:val="auto"/>
          <w:kern w:val="0"/>
          <w:szCs w:val="21"/>
          <w:highlight w:val="none"/>
        </w:rPr>
        <w:t>（1</w:t>
      </w:r>
      <w:r>
        <w:rPr>
          <w:rFonts w:hint="eastAsia" w:ascii="宋体" w:hAnsi="宋体" w:cs="宋体"/>
          <w:color w:val="auto"/>
          <w:kern w:val="0"/>
          <w:szCs w:val="21"/>
          <w:highlight w:val="none"/>
          <w:lang w:val="en-US" w:eastAsia="zh-CN"/>
        </w:rPr>
        <w:t>0</w:t>
      </w:r>
      <w:r>
        <w:rPr>
          <w:rFonts w:hint="eastAsia" w:ascii="宋体" w:hAnsi="宋体" w:cs="宋体"/>
          <w:color w:val="auto"/>
          <w:kern w:val="0"/>
          <w:szCs w:val="21"/>
          <w:highlight w:val="none"/>
        </w:rPr>
        <w:t>）法律法规或投标人须知前附表</w:t>
      </w:r>
      <w:r>
        <w:rPr>
          <w:rFonts w:hint="eastAsia" w:ascii="宋体" w:hAnsi="宋体" w:cs="宋体"/>
          <w:color w:val="auto"/>
          <w:kern w:val="0"/>
          <w:szCs w:val="21"/>
          <w:highlight w:val="none"/>
          <w:lang w:val="en-US" w:eastAsia="zh-CN"/>
        </w:rPr>
        <w:t>1.4.3</w:t>
      </w:r>
      <w:r>
        <w:rPr>
          <w:rFonts w:hint="eastAsia" w:ascii="宋体" w:hAnsi="宋体" w:cs="宋体"/>
          <w:color w:val="auto"/>
          <w:kern w:val="0"/>
          <w:szCs w:val="21"/>
          <w:highlight w:val="none"/>
        </w:rPr>
        <w:t>规定的其他情形。</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1.4.4 单位负责人为同一人或者存在控股、管理关系的不同单位，不得参加同一标段投标或者未划分标段的同一招标项目投标，违反本规定的，相关投标均无效。</w:t>
      </w:r>
    </w:p>
    <w:p>
      <w:pPr>
        <w:spacing w:line="360" w:lineRule="auto"/>
        <w:ind w:firstLine="420" w:firstLineChars="200"/>
        <w:rPr>
          <w:rFonts w:ascii="宋体" w:hAnsi="宋体" w:cs="宋体"/>
          <w:color w:val="auto"/>
          <w:szCs w:val="21"/>
          <w:highlight w:val="none"/>
        </w:rPr>
      </w:pPr>
      <w:r>
        <w:rPr>
          <w:rFonts w:ascii="宋体" w:hAnsi="宋体" w:cs="宋体"/>
          <w:color w:val="auto"/>
          <w:szCs w:val="21"/>
          <w:highlight w:val="none"/>
        </w:rPr>
        <w:t>1.4.5</w:t>
      </w:r>
      <w:r>
        <w:rPr>
          <w:rFonts w:hint="eastAsia" w:ascii="宋体" w:hAnsi="宋体" w:cs="宋体"/>
          <w:color w:val="auto"/>
          <w:szCs w:val="21"/>
          <w:highlight w:val="none"/>
        </w:rPr>
        <w:t xml:space="preserve"> 招标人公开已完成的项目建议书、可行性研究报告、工程方案设计、初步设计的，编制项目建议书、可行性研究报告、工程方案设计、初步设计的单位满足招标文件前附表资质要求的，可以参加投标。</w:t>
      </w:r>
    </w:p>
    <w:p>
      <w:pPr>
        <w:pStyle w:val="6"/>
        <w:rPr>
          <w:rFonts w:ascii="宋体" w:hAnsi="宋体" w:cs="宋体"/>
          <w:color w:val="auto"/>
          <w:highlight w:val="none"/>
        </w:rPr>
      </w:pPr>
      <w:bookmarkStart w:id="140" w:name="_Toc389065150"/>
      <w:bookmarkStart w:id="141" w:name="_Toc31167"/>
      <w:bookmarkStart w:id="142" w:name="_Toc11081"/>
      <w:bookmarkStart w:id="143" w:name="_Toc508286073"/>
      <w:bookmarkStart w:id="144" w:name="_Toc30890"/>
      <w:bookmarkStart w:id="145" w:name="_Toc25064"/>
      <w:bookmarkStart w:id="146" w:name="_Toc15572"/>
      <w:bookmarkStart w:id="147" w:name="_Toc27410"/>
      <w:r>
        <w:rPr>
          <w:rFonts w:hint="eastAsia" w:ascii="宋体" w:hAnsi="宋体" w:cs="宋体"/>
          <w:color w:val="auto"/>
          <w:highlight w:val="none"/>
        </w:rPr>
        <w:t>1.5</w:t>
      </w:r>
      <w:r>
        <w:rPr>
          <w:rFonts w:ascii="宋体" w:hAnsi="宋体" w:cs="宋体"/>
          <w:color w:val="auto"/>
          <w:highlight w:val="none"/>
        </w:rPr>
        <w:t xml:space="preserve"> </w:t>
      </w:r>
      <w:r>
        <w:rPr>
          <w:rFonts w:hint="eastAsia"/>
          <w:color w:val="auto"/>
          <w:highlight w:val="none"/>
        </w:rPr>
        <w:t>费用承担和设计成果补偿</w:t>
      </w:r>
      <w:bookmarkEnd w:id="140"/>
      <w:r>
        <w:rPr>
          <w:rFonts w:hint="eastAsia"/>
          <w:color w:val="auto"/>
          <w:highlight w:val="none"/>
        </w:rPr>
        <w:t>标准</w:t>
      </w:r>
      <w:bookmarkEnd w:id="141"/>
      <w:bookmarkEnd w:id="142"/>
      <w:bookmarkEnd w:id="143"/>
      <w:bookmarkEnd w:id="144"/>
      <w:bookmarkEnd w:id="145"/>
      <w:bookmarkEnd w:id="146"/>
      <w:bookmarkEnd w:id="147"/>
    </w:p>
    <w:p>
      <w:pPr>
        <w:spacing w:line="360" w:lineRule="auto"/>
        <w:ind w:firstLine="420" w:firstLineChars="200"/>
        <w:rPr>
          <w:rFonts w:ascii="宋体" w:hAnsi="宋体" w:cs="宋体"/>
          <w:color w:val="auto"/>
          <w:szCs w:val="21"/>
          <w:highlight w:val="none"/>
        </w:rPr>
      </w:pPr>
      <w:r>
        <w:rPr>
          <w:rFonts w:ascii="宋体" w:hAnsi="宋体" w:cs="宋体"/>
          <w:color w:val="auto"/>
          <w:szCs w:val="21"/>
          <w:highlight w:val="none"/>
        </w:rPr>
        <w:t xml:space="preserve">1.5.1 </w:t>
      </w:r>
      <w:r>
        <w:rPr>
          <w:rFonts w:hint="eastAsia" w:ascii="宋体" w:hAnsi="宋体" w:cs="宋体"/>
          <w:color w:val="auto"/>
          <w:szCs w:val="21"/>
          <w:highlight w:val="none"/>
        </w:rPr>
        <w:t>投标人准备和参加投标活动发生的费用自理。</w:t>
      </w:r>
    </w:p>
    <w:p>
      <w:pPr>
        <w:spacing w:line="360" w:lineRule="auto"/>
        <w:ind w:firstLine="420" w:firstLineChars="200"/>
        <w:rPr>
          <w:rFonts w:ascii="宋体" w:hAnsi="宋体" w:cs="宋体"/>
          <w:color w:val="auto"/>
          <w:szCs w:val="21"/>
          <w:highlight w:val="none"/>
        </w:rPr>
      </w:pPr>
      <w:r>
        <w:rPr>
          <w:rFonts w:ascii="宋体" w:hAnsi="宋体" w:cs="宋体"/>
          <w:color w:val="auto"/>
          <w:szCs w:val="21"/>
          <w:highlight w:val="none"/>
        </w:rPr>
        <w:t xml:space="preserve">1.5.2 </w:t>
      </w:r>
      <w:r>
        <w:rPr>
          <w:rFonts w:hint="eastAsia" w:ascii="宋体" w:hAnsi="宋体" w:eastAsia="宋体" w:cs="宋体"/>
          <w:color w:val="auto"/>
          <w:sz w:val="21"/>
          <w:highlight w:val="none"/>
          <w:lang w:val="en-US" w:eastAsia="zh-CN"/>
        </w:rPr>
        <w:t>设计</w:t>
      </w:r>
      <w:r>
        <w:rPr>
          <w:rFonts w:ascii="宋体" w:hAnsi="宋体" w:eastAsia="宋体" w:cs="宋体"/>
          <w:color w:val="auto"/>
          <w:sz w:val="21"/>
          <w:highlight w:val="none"/>
        </w:rPr>
        <w:t>成果</w:t>
      </w:r>
      <w:r>
        <w:rPr>
          <w:rFonts w:hint="eastAsia" w:eastAsia="宋体" w:cs="宋体"/>
          <w:color w:val="auto"/>
          <w:sz w:val="21"/>
          <w:highlight w:val="none"/>
          <w:lang w:val="en-US" w:eastAsia="zh-CN"/>
        </w:rPr>
        <w:t>是否给予</w:t>
      </w:r>
      <w:r>
        <w:rPr>
          <w:rFonts w:ascii="宋体" w:hAnsi="宋体" w:eastAsia="宋体" w:cs="宋体"/>
          <w:color w:val="auto"/>
          <w:sz w:val="21"/>
          <w:highlight w:val="none"/>
        </w:rPr>
        <w:t>经济补偿</w:t>
      </w:r>
      <w:r>
        <w:rPr>
          <w:rFonts w:hint="eastAsia" w:ascii="宋体" w:hAnsi="宋体" w:cs="宋体"/>
          <w:color w:val="auto"/>
          <w:szCs w:val="21"/>
          <w:highlight w:val="none"/>
        </w:rPr>
        <w:t>具体约定见“投标人须知前附表”。</w:t>
      </w:r>
    </w:p>
    <w:p>
      <w:pPr>
        <w:pStyle w:val="6"/>
        <w:rPr>
          <w:rFonts w:ascii="宋体" w:hAnsi="宋体" w:cs="宋体"/>
          <w:color w:val="auto"/>
          <w:highlight w:val="none"/>
        </w:rPr>
      </w:pPr>
      <w:bookmarkStart w:id="148" w:name="_Toc21056"/>
      <w:bookmarkStart w:id="149" w:name="_Toc20609"/>
      <w:bookmarkStart w:id="150" w:name="_Toc29270"/>
      <w:bookmarkStart w:id="151" w:name="_Toc389065151"/>
      <w:bookmarkStart w:id="152" w:name="_Toc508286074"/>
      <w:bookmarkStart w:id="153" w:name="_Toc28635"/>
      <w:bookmarkStart w:id="154" w:name="_Toc14757"/>
      <w:bookmarkStart w:id="155" w:name="_Toc17455"/>
      <w:r>
        <w:rPr>
          <w:rFonts w:hint="eastAsia" w:ascii="宋体" w:hAnsi="宋体" w:cs="宋体"/>
          <w:color w:val="auto"/>
          <w:highlight w:val="none"/>
        </w:rPr>
        <w:t>1.6 保密</w:t>
      </w:r>
      <w:bookmarkEnd w:id="148"/>
      <w:bookmarkEnd w:id="149"/>
      <w:bookmarkEnd w:id="150"/>
      <w:bookmarkEnd w:id="151"/>
      <w:bookmarkEnd w:id="152"/>
      <w:bookmarkEnd w:id="153"/>
      <w:bookmarkEnd w:id="154"/>
      <w:bookmarkEnd w:id="155"/>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参与招标投标活动的各方应对招标文件和投标文件中的商业和技术等秘密保密，违者应对由此造成的后果承担法律责任。</w:t>
      </w:r>
    </w:p>
    <w:p>
      <w:pPr>
        <w:pStyle w:val="6"/>
        <w:rPr>
          <w:rFonts w:ascii="宋体" w:hAnsi="宋体" w:cs="宋体"/>
          <w:color w:val="auto"/>
          <w:highlight w:val="none"/>
        </w:rPr>
      </w:pPr>
      <w:bookmarkStart w:id="156" w:name="_Toc31125"/>
      <w:bookmarkStart w:id="157" w:name="_Toc508286075"/>
      <w:bookmarkStart w:id="158" w:name="_Toc26704"/>
      <w:bookmarkStart w:id="159" w:name="_Toc1246"/>
      <w:bookmarkStart w:id="160" w:name="_Toc389065152"/>
      <w:bookmarkStart w:id="161" w:name="_Toc12313"/>
      <w:bookmarkStart w:id="162" w:name="_Toc28899"/>
      <w:bookmarkStart w:id="163" w:name="_Toc2755"/>
      <w:r>
        <w:rPr>
          <w:rFonts w:hint="eastAsia" w:ascii="宋体" w:hAnsi="宋体" w:cs="宋体"/>
          <w:color w:val="auto"/>
          <w:highlight w:val="none"/>
        </w:rPr>
        <w:t>1.7 语言文字</w:t>
      </w:r>
      <w:bookmarkEnd w:id="156"/>
      <w:bookmarkEnd w:id="157"/>
      <w:bookmarkEnd w:id="158"/>
      <w:bookmarkEnd w:id="159"/>
      <w:bookmarkEnd w:id="160"/>
      <w:bookmarkEnd w:id="161"/>
      <w:bookmarkEnd w:id="162"/>
      <w:bookmarkEnd w:id="163"/>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除专用术语外，与招标投标有关的语言均使用中文，必要时专用术语应附有中文注释。</w:t>
      </w:r>
    </w:p>
    <w:p>
      <w:pPr>
        <w:pStyle w:val="6"/>
        <w:rPr>
          <w:rFonts w:ascii="宋体" w:hAnsi="宋体" w:cs="宋体"/>
          <w:color w:val="auto"/>
          <w:highlight w:val="none"/>
        </w:rPr>
      </w:pPr>
      <w:bookmarkStart w:id="164" w:name="_Toc11860"/>
      <w:bookmarkStart w:id="165" w:name="_Toc389065153"/>
      <w:bookmarkStart w:id="166" w:name="_Toc4565"/>
      <w:bookmarkStart w:id="167" w:name="_Toc5018"/>
      <w:bookmarkStart w:id="168" w:name="_Toc29829"/>
      <w:bookmarkStart w:id="169" w:name="_Toc31114"/>
      <w:bookmarkStart w:id="170" w:name="_Toc18485"/>
      <w:bookmarkStart w:id="171" w:name="_Toc508286076"/>
      <w:r>
        <w:rPr>
          <w:rFonts w:hint="eastAsia" w:ascii="宋体" w:hAnsi="宋体" w:cs="宋体"/>
          <w:color w:val="auto"/>
          <w:highlight w:val="none"/>
        </w:rPr>
        <w:t>1.8 计量单位</w:t>
      </w:r>
      <w:bookmarkEnd w:id="164"/>
      <w:bookmarkEnd w:id="165"/>
      <w:bookmarkEnd w:id="166"/>
      <w:bookmarkEnd w:id="167"/>
      <w:bookmarkEnd w:id="168"/>
      <w:bookmarkEnd w:id="169"/>
      <w:bookmarkEnd w:id="170"/>
      <w:bookmarkEnd w:id="171"/>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所有计量均采用中华人民共和国法定计量单位。</w:t>
      </w:r>
    </w:p>
    <w:p>
      <w:pPr>
        <w:pStyle w:val="6"/>
        <w:rPr>
          <w:rFonts w:ascii="宋体" w:hAnsi="宋体" w:cs="宋体"/>
          <w:color w:val="auto"/>
          <w:highlight w:val="none"/>
        </w:rPr>
      </w:pPr>
      <w:bookmarkStart w:id="172" w:name="_Toc508286077"/>
      <w:bookmarkStart w:id="173" w:name="_Toc389065154"/>
      <w:bookmarkStart w:id="174" w:name="_Toc30210"/>
      <w:bookmarkStart w:id="175" w:name="_Toc32298"/>
      <w:bookmarkStart w:id="176" w:name="_Toc23769"/>
      <w:bookmarkStart w:id="177" w:name="_Toc13710"/>
      <w:bookmarkStart w:id="178" w:name="_Toc8459"/>
      <w:bookmarkStart w:id="179" w:name="_Toc25986"/>
      <w:r>
        <w:rPr>
          <w:rFonts w:hint="eastAsia" w:ascii="宋体" w:hAnsi="宋体" w:cs="宋体"/>
          <w:color w:val="auto"/>
          <w:highlight w:val="none"/>
        </w:rPr>
        <w:t>1.9 踏勘现场</w:t>
      </w:r>
      <w:bookmarkEnd w:id="172"/>
      <w:bookmarkEnd w:id="173"/>
      <w:bookmarkEnd w:id="174"/>
      <w:bookmarkEnd w:id="175"/>
      <w:bookmarkEnd w:id="176"/>
      <w:bookmarkEnd w:id="177"/>
      <w:bookmarkEnd w:id="178"/>
      <w:bookmarkEnd w:id="179"/>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1.9.1 投标人根据需要自行踏勘项目现场。</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1.9.2 投标人踏勘现场发生的费用自理。</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1.9.3 投标人自行负责在踏勘现场中所发生的人员伤亡和财产损失。</w:t>
      </w:r>
    </w:p>
    <w:p>
      <w:pPr>
        <w:pStyle w:val="6"/>
        <w:rPr>
          <w:rFonts w:ascii="宋体" w:hAnsi="宋体" w:cs="宋体"/>
          <w:color w:val="auto"/>
          <w:highlight w:val="none"/>
        </w:rPr>
      </w:pPr>
      <w:bookmarkStart w:id="180" w:name="_Toc3903"/>
      <w:bookmarkStart w:id="181" w:name="_Toc32380"/>
      <w:bookmarkStart w:id="182" w:name="_Toc389065156"/>
      <w:bookmarkStart w:id="183" w:name="_Toc20518"/>
      <w:bookmarkStart w:id="184" w:name="_Toc26968"/>
      <w:bookmarkStart w:id="185" w:name="_Toc31433"/>
      <w:bookmarkStart w:id="186" w:name="_Toc508286078"/>
      <w:bookmarkStart w:id="187" w:name="_Toc27455"/>
      <w:r>
        <w:rPr>
          <w:rFonts w:hint="eastAsia" w:ascii="宋体" w:hAnsi="宋体" w:cs="宋体"/>
          <w:color w:val="auto"/>
          <w:highlight w:val="none"/>
        </w:rPr>
        <w:t>1.10</w:t>
      </w:r>
      <w:r>
        <w:rPr>
          <w:rFonts w:ascii="宋体" w:hAnsi="宋体" w:cs="宋体"/>
          <w:color w:val="auto"/>
          <w:highlight w:val="none"/>
        </w:rPr>
        <w:t xml:space="preserve"> </w:t>
      </w:r>
      <w:r>
        <w:rPr>
          <w:rFonts w:hint="eastAsia" w:ascii="宋体" w:hAnsi="宋体" w:cs="宋体"/>
          <w:color w:val="auto"/>
          <w:highlight w:val="none"/>
        </w:rPr>
        <w:t>分包</w:t>
      </w:r>
      <w:bookmarkEnd w:id="180"/>
      <w:bookmarkEnd w:id="181"/>
      <w:bookmarkEnd w:id="182"/>
      <w:bookmarkEnd w:id="183"/>
      <w:bookmarkEnd w:id="184"/>
      <w:bookmarkEnd w:id="185"/>
      <w:bookmarkEnd w:id="186"/>
      <w:bookmarkEnd w:id="187"/>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详见“投标人须知前附表”规定的要求。</w:t>
      </w:r>
    </w:p>
    <w:p>
      <w:pPr>
        <w:pStyle w:val="6"/>
        <w:rPr>
          <w:rFonts w:ascii="宋体" w:hAnsi="宋体" w:cs="宋体"/>
          <w:color w:val="auto"/>
          <w:highlight w:val="none"/>
        </w:rPr>
      </w:pPr>
      <w:bookmarkStart w:id="188" w:name="_Toc28744"/>
      <w:bookmarkStart w:id="189" w:name="_Toc2765"/>
      <w:bookmarkStart w:id="190" w:name="_Toc508286080"/>
      <w:bookmarkStart w:id="191" w:name="_Toc21661"/>
      <w:bookmarkStart w:id="192" w:name="_Toc5051"/>
      <w:bookmarkStart w:id="193" w:name="_Toc19839"/>
      <w:bookmarkStart w:id="194" w:name="_Toc32546"/>
      <w:bookmarkStart w:id="195" w:name="_Toc389065198"/>
      <w:bookmarkStart w:id="196" w:name="_Toc389065158"/>
      <w:r>
        <w:rPr>
          <w:rFonts w:hint="eastAsia" w:ascii="宋体" w:hAnsi="宋体" w:cs="宋体"/>
          <w:color w:val="auto"/>
          <w:highlight w:val="none"/>
        </w:rPr>
        <w:t>1.1</w:t>
      </w:r>
      <w:r>
        <w:rPr>
          <w:rFonts w:hint="eastAsia" w:ascii="宋体" w:hAnsi="宋体" w:cs="宋体"/>
          <w:color w:val="auto"/>
          <w:highlight w:val="none"/>
          <w:lang w:val="en-US" w:eastAsia="zh-CN"/>
        </w:rPr>
        <w:t>1</w:t>
      </w:r>
      <w:r>
        <w:rPr>
          <w:rFonts w:ascii="宋体" w:hAnsi="宋体" w:cs="宋体"/>
          <w:color w:val="auto"/>
          <w:highlight w:val="none"/>
        </w:rPr>
        <w:t xml:space="preserve"> </w:t>
      </w:r>
      <w:r>
        <w:rPr>
          <w:rFonts w:hint="eastAsia" w:ascii="宋体" w:hAnsi="宋体" w:cs="宋体"/>
          <w:color w:val="auto"/>
          <w:highlight w:val="none"/>
        </w:rPr>
        <w:t>知识产权</w:t>
      </w:r>
      <w:bookmarkEnd w:id="188"/>
      <w:bookmarkEnd w:id="189"/>
      <w:bookmarkEnd w:id="190"/>
      <w:bookmarkEnd w:id="191"/>
      <w:bookmarkEnd w:id="192"/>
      <w:bookmarkEnd w:id="193"/>
      <w:bookmarkEnd w:id="194"/>
      <w:bookmarkEnd w:id="195"/>
    </w:p>
    <w:p>
      <w:pPr>
        <w:spacing w:line="360" w:lineRule="auto"/>
        <w:ind w:firstLine="359" w:firstLineChars="171"/>
        <w:rPr>
          <w:color w:val="auto"/>
          <w:highlight w:val="none"/>
        </w:rPr>
      </w:pPr>
      <w:r>
        <w:rPr>
          <w:rFonts w:hint="eastAsia"/>
          <w:color w:val="auto"/>
          <w:highlight w:val="none"/>
        </w:rPr>
        <w:t>构成本招标文件各个组成部分的文件，未经招标人书面同意，投标人不得擅自复印和用于非本招标项目所需的其他目的。</w:t>
      </w:r>
    </w:p>
    <w:p>
      <w:pPr>
        <w:pStyle w:val="6"/>
        <w:rPr>
          <w:rFonts w:ascii="宋体" w:hAnsi="宋体" w:cs="宋体"/>
          <w:color w:val="auto"/>
          <w:highlight w:val="none"/>
        </w:rPr>
      </w:pPr>
      <w:bookmarkStart w:id="197" w:name="_Toc13686"/>
      <w:bookmarkStart w:id="198" w:name="_Toc4800"/>
      <w:bookmarkStart w:id="199" w:name="_Toc29893"/>
      <w:bookmarkStart w:id="200" w:name="_Toc10478"/>
      <w:bookmarkStart w:id="201" w:name="_Toc508286081"/>
      <w:bookmarkStart w:id="202" w:name="_Toc24693"/>
      <w:bookmarkStart w:id="203" w:name="_Toc7108"/>
      <w:r>
        <w:rPr>
          <w:rFonts w:hint="eastAsia" w:ascii="宋体" w:hAnsi="宋体" w:cs="宋体"/>
          <w:color w:val="auto"/>
          <w:highlight w:val="none"/>
        </w:rPr>
        <w:t>1.1</w:t>
      </w:r>
      <w:r>
        <w:rPr>
          <w:rFonts w:hint="eastAsia" w:ascii="宋体" w:hAnsi="宋体" w:cs="宋体"/>
          <w:color w:val="auto"/>
          <w:highlight w:val="none"/>
          <w:lang w:val="en-US" w:eastAsia="zh-CN"/>
        </w:rPr>
        <w:t>2</w:t>
      </w:r>
      <w:r>
        <w:rPr>
          <w:rFonts w:ascii="宋体" w:hAnsi="宋体" w:cs="宋体"/>
          <w:color w:val="auto"/>
          <w:highlight w:val="none"/>
        </w:rPr>
        <w:t xml:space="preserve">  </w:t>
      </w:r>
      <w:r>
        <w:rPr>
          <w:rFonts w:hint="eastAsia" w:ascii="宋体" w:hAnsi="宋体" w:cs="宋体"/>
          <w:color w:val="auto"/>
          <w:highlight w:val="none"/>
        </w:rPr>
        <w:t>同义词语</w:t>
      </w:r>
      <w:bookmarkEnd w:id="197"/>
      <w:bookmarkEnd w:id="198"/>
      <w:bookmarkEnd w:id="199"/>
      <w:bookmarkEnd w:id="200"/>
      <w:bookmarkEnd w:id="201"/>
      <w:bookmarkEnd w:id="202"/>
      <w:bookmarkEnd w:id="203"/>
    </w:p>
    <w:p>
      <w:pPr>
        <w:spacing w:line="360" w:lineRule="auto"/>
        <w:ind w:firstLine="359" w:firstLineChars="171"/>
        <w:rPr>
          <w:color w:val="auto"/>
          <w:highlight w:val="none"/>
        </w:rPr>
      </w:pPr>
      <w:r>
        <w:rPr>
          <w:rFonts w:hint="eastAsia"/>
          <w:color w:val="auto"/>
          <w:highlight w:val="none"/>
        </w:rPr>
        <w:t>构成招标文件组成部分的“通用合同条款”、“专用合同条款”、“发包人要求”、“发包人提供的资料”等章节中出现的措辞“发包人”和“承包人”，在招标投标阶段应当分别按“招标人”和“投标人”进行理解。</w:t>
      </w:r>
    </w:p>
    <w:p>
      <w:pPr>
        <w:pStyle w:val="5"/>
        <w:spacing w:line="360" w:lineRule="auto"/>
        <w:rPr>
          <w:rFonts w:ascii="宋体" w:hAnsi="宋体" w:cs="宋体"/>
          <w:color w:val="auto"/>
          <w:highlight w:val="none"/>
        </w:rPr>
      </w:pPr>
      <w:bookmarkStart w:id="204" w:name="_Toc4495"/>
      <w:bookmarkStart w:id="205" w:name="_Toc5903"/>
      <w:bookmarkStart w:id="206" w:name="_Toc23819"/>
      <w:bookmarkStart w:id="207" w:name="_Toc3114"/>
      <w:bookmarkStart w:id="208" w:name="_Toc2858"/>
      <w:bookmarkStart w:id="209" w:name="_Toc508286082"/>
      <w:bookmarkStart w:id="210" w:name="_Toc11873"/>
      <w:r>
        <w:rPr>
          <w:rFonts w:hint="eastAsia" w:ascii="宋体" w:hAnsi="宋体" w:cs="宋体"/>
          <w:color w:val="auto"/>
          <w:highlight w:val="none"/>
        </w:rPr>
        <w:t>2 招标文件</w:t>
      </w:r>
      <w:bookmarkEnd w:id="196"/>
      <w:bookmarkEnd w:id="204"/>
      <w:bookmarkEnd w:id="205"/>
      <w:bookmarkEnd w:id="206"/>
      <w:bookmarkEnd w:id="207"/>
      <w:bookmarkEnd w:id="208"/>
      <w:bookmarkEnd w:id="209"/>
      <w:bookmarkEnd w:id="210"/>
    </w:p>
    <w:p>
      <w:pPr>
        <w:pStyle w:val="6"/>
        <w:rPr>
          <w:rFonts w:ascii="宋体" w:hAnsi="宋体" w:cs="宋体"/>
          <w:color w:val="auto"/>
          <w:highlight w:val="none"/>
        </w:rPr>
      </w:pPr>
      <w:bookmarkStart w:id="211" w:name="_Toc389065159"/>
      <w:bookmarkStart w:id="212" w:name="_Toc508286083"/>
      <w:bookmarkStart w:id="213" w:name="_Toc10131"/>
      <w:bookmarkStart w:id="214" w:name="_Toc17539"/>
      <w:bookmarkStart w:id="215" w:name="_Toc2745"/>
      <w:bookmarkStart w:id="216" w:name="_Toc8815"/>
      <w:bookmarkStart w:id="217" w:name="_Toc16630"/>
      <w:bookmarkStart w:id="218" w:name="_Toc31284"/>
      <w:r>
        <w:rPr>
          <w:rFonts w:hint="eastAsia" w:ascii="宋体" w:hAnsi="宋体" w:cs="宋体"/>
          <w:color w:val="auto"/>
          <w:highlight w:val="none"/>
        </w:rPr>
        <w:t>2.1 招标文件的组成</w:t>
      </w:r>
      <w:bookmarkEnd w:id="211"/>
      <w:bookmarkEnd w:id="212"/>
      <w:bookmarkEnd w:id="213"/>
      <w:bookmarkEnd w:id="214"/>
      <w:bookmarkEnd w:id="215"/>
      <w:bookmarkEnd w:id="216"/>
      <w:bookmarkEnd w:id="217"/>
      <w:bookmarkEnd w:id="218"/>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w:t>
      </w:r>
      <w:r>
        <w:rPr>
          <w:rFonts w:ascii="宋体" w:hAnsi="宋体" w:cs="宋体"/>
          <w:color w:val="auto"/>
          <w:szCs w:val="21"/>
          <w:highlight w:val="none"/>
        </w:rPr>
        <w:t>.1.1</w:t>
      </w:r>
      <w:r>
        <w:rPr>
          <w:rFonts w:hint="eastAsia" w:ascii="宋体" w:hAnsi="宋体" w:cs="宋体"/>
          <w:color w:val="auto"/>
          <w:szCs w:val="21"/>
          <w:highlight w:val="none"/>
        </w:rPr>
        <w:t>本招标文件包括：</w:t>
      </w:r>
    </w:p>
    <w:p>
      <w:pPr>
        <w:numPr>
          <w:ilvl w:val="0"/>
          <w:numId w:val="10"/>
        </w:num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招标公告</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（2）投标人须知；</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（3）评标办法；</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（4）合同条款及格式；</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（5）报价清单；</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（6）发包人要求；</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（7）发包人提供的资料；</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（8）投标文件格式；</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（9）投标人须知前附表规定的其他资料。</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2.1.2 根据本章第2.2款和第2.3款对招标文件所作的澄清、修改，构成招标文件的组成部分。招标文件以及招标文件的澄清、修改内容前后相互矛盾时，以发布时间在后的文件为准。</w:t>
      </w:r>
    </w:p>
    <w:p>
      <w:pPr>
        <w:pStyle w:val="6"/>
        <w:rPr>
          <w:rFonts w:ascii="宋体" w:hAnsi="宋体" w:cs="宋体"/>
          <w:color w:val="auto"/>
          <w:highlight w:val="none"/>
        </w:rPr>
      </w:pPr>
      <w:bookmarkStart w:id="219" w:name="_Toc25739"/>
      <w:bookmarkStart w:id="220" w:name="_Toc508286084"/>
      <w:bookmarkStart w:id="221" w:name="_Toc4108"/>
      <w:bookmarkStart w:id="222" w:name="_Toc19737"/>
      <w:bookmarkStart w:id="223" w:name="_Toc1338"/>
      <w:bookmarkStart w:id="224" w:name="_Toc389065160"/>
      <w:bookmarkStart w:id="225" w:name="_Toc9977"/>
      <w:bookmarkStart w:id="226" w:name="_Toc13262"/>
      <w:r>
        <w:rPr>
          <w:rFonts w:hint="eastAsia" w:ascii="宋体" w:hAnsi="宋体" w:cs="宋体"/>
          <w:color w:val="auto"/>
          <w:highlight w:val="none"/>
        </w:rPr>
        <w:t>2.2 招标文件的澄清</w:t>
      </w:r>
      <w:bookmarkEnd w:id="219"/>
      <w:bookmarkEnd w:id="220"/>
      <w:bookmarkEnd w:id="221"/>
      <w:bookmarkEnd w:id="222"/>
      <w:bookmarkEnd w:id="223"/>
      <w:bookmarkEnd w:id="224"/>
      <w:bookmarkEnd w:id="225"/>
      <w:bookmarkEnd w:id="226"/>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2.2.1 投标人应仔细阅读和检查招标文件的全部内容，如发现缺页或附件不全，应及时向招标人提出，以便补齐。投标人如有疑问，应在投标人须知前附表规定的时间，通过“电子交易平台”提交，要求招标人对招标文件予以澄清。</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投标人不在澄清期限内提出，招标人有权不予答复。</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2.2.2 招标文件的澄清将</w:t>
      </w:r>
      <w:r>
        <w:rPr>
          <w:rFonts w:hint="eastAsia" w:ascii="宋体" w:cs="宋体"/>
          <w:color w:val="auto"/>
          <w:kern w:val="0"/>
          <w:szCs w:val="21"/>
          <w:highlight w:val="none"/>
        </w:rPr>
        <w:t>通过</w:t>
      </w:r>
      <w:r>
        <w:rPr>
          <w:rFonts w:hint="eastAsia" w:ascii="宋体" w:hAnsi="宋体" w:cs="宋体"/>
          <w:color w:val="auto"/>
          <w:szCs w:val="21"/>
          <w:highlight w:val="none"/>
        </w:rPr>
        <w:t>“电子交易平台”发给所有投标人，但招标人不指明澄清问题的来源，招标人不再另行通知。</w:t>
      </w:r>
      <w:r>
        <w:rPr>
          <w:rFonts w:hint="eastAsia"/>
          <w:color w:val="auto"/>
          <w:szCs w:val="21"/>
          <w:highlight w:val="none"/>
        </w:rPr>
        <w:t>澄清发出的时间距投标人须知前附表规定的投标截止时间不足</w:t>
      </w:r>
      <w:r>
        <w:rPr>
          <w:color w:val="auto"/>
          <w:szCs w:val="21"/>
          <w:highlight w:val="none"/>
        </w:rPr>
        <w:t xml:space="preserve"> 15 </w:t>
      </w:r>
      <w:r>
        <w:rPr>
          <w:rFonts w:hint="eastAsia"/>
          <w:color w:val="auto"/>
          <w:szCs w:val="21"/>
          <w:highlight w:val="none"/>
        </w:rPr>
        <w:t>天的，并且澄清内容影响投标文件编制的，将相应延长投标截止时间。</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2.2.3澄清文件按本章第2.2.2款规定发出之时起，视为投标人已收到该澄清文件。投标人未及时通过“电子交易平台”查阅招标文件的澄清，或未按照澄清后的招标文件编制投标文件，由此造成的后果由投标人自行承担。</w:t>
      </w:r>
    </w:p>
    <w:p>
      <w:pPr>
        <w:pStyle w:val="6"/>
        <w:rPr>
          <w:rFonts w:ascii="宋体" w:hAnsi="宋体" w:cs="宋体"/>
          <w:color w:val="auto"/>
          <w:highlight w:val="none"/>
        </w:rPr>
      </w:pPr>
      <w:bookmarkStart w:id="227" w:name="_Toc31624"/>
      <w:bookmarkStart w:id="228" w:name="_Toc8762"/>
      <w:bookmarkStart w:id="229" w:name="_Toc6953"/>
      <w:bookmarkStart w:id="230" w:name="_Toc508286085"/>
      <w:bookmarkStart w:id="231" w:name="_Toc389065161"/>
      <w:bookmarkStart w:id="232" w:name="_Toc11668"/>
      <w:bookmarkStart w:id="233" w:name="_Toc29239"/>
      <w:bookmarkStart w:id="234" w:name="_Toc1032"/>
      <w:r>
        <w:rPr>
          <w:rFonts w:hint="eastAsia" w:ascii="宋体" w:hAnsi="宋体" w:cs="宋体"/>
          <w:color w:val="auto"/>
          <w:highlight w:val="none"/>
        </w:rPr>
        <w:t>2.3 招标文件的修改</w:t>
      </w:r>
      <w:bookmarkEnd w:id="227"/>
      <w:bookmarkEnd w:id="228"/>
      <w:bookmarkEnd w:id="229"/>
      <w:bookmarkEnd w:id="230"/>
      <w:bookmarkEnd w:id="231"/>
      <w:bookmarkEnd w:id="232"/>
      <w:bookmarkEnd w:id="233"/>
      <w:bookmarkEnd w:id="234"/>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2.3.1 招标文件发布后，招标人确需对招标文件进行修改</w:t>
      </w:r>
      <w:r>
        <w:rPr>
          <w:rFonts w:hint="eastAsia"/>
          <w:color w:val="auto"/>
          <w:szCs w:val="21"/>
          <w:highlight w:val="none"/>
        </w:rPr>
        <w:t>或补充的</w:t>
      </w:r>
      <w:r>
        <w:rPr>
          <w:rFonts w:hint="eastAsia" w:ascii="宋体" w:hAnsi="宋体" w:cs="宋体"/>
          <w:color w:val="auto"/>
          <w:szCs w:val="21"/>
          <w:highlight w:val="none"/>
        </w:rPr>
        <w:t>，招标人将</w:t>
      </w:r>
      <w:r>
        <w:rPr>
          <w:rFonts w:hint="eastAsia" w:ascii="宋体" w:cs="宋体"/>
          <w:color w:val="auto"/>
          <w:kern w:val="0"/>
          <w:szCs w:val="21"/>
          <w:highlight w:val="none"/>
        </w:rPr>
        <w:t>通过</w:t>
      </w:r>
      <w:r>
        <w:rPr>
          <w:rFonts w:hint="eastAsia" w:ascii="宋体" w:hAnsi="宋体" w:cs="宋体"/>
          <w:color w:val="auto"/>
          <w:szCs w:val="21"/>
          <w:highlight w:val="none"/>
        </w:rPr>
        <w:t>“电子交易平台”发给所有投标人。</w:t>
      </w:r>
      <w:r>
        <w:rPr>
          <w:rFonts w:hint="eastAsia"/>
          <w:color w:val="auto"/>
          <w:szCs w:val="21"/>
          <w:highlight w:val="none"/>
        </w:rPr>
        <w:t>修改文件或补充文件发出的时间距投标人须知前附表规定的投标截止时间不足</w:t>
      </w:r>
      <w:r>
        <w:rPr>
          <w:color w:val="auto"/>
          <w:szCs w:val="21"/>
          <w:highlight w:val="none"/>
        </w:rPr>
        <w:t xml:space="preserve"> 15 </w:t>
      </w:r>
      <w:r>
        <w:rPr>
          <w:rFonts w:hint="eastAsia"/>
          <w:color w:val="auto"/>
          <w:szCs w:val="21"/>
          <w:highlight w:val="none"/>
        </w:rPr>
        <w:t>天的，并且修改、补充内容影响投标文件编制的，将相应延长投标截止时间。</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2.3.2</w:t>
      </w:r>
      <w:r>
        <w:rPr>
          <w:rFonts w:hint="eastAsia"/>
          <w:color w:val="auto"/>
          <w:highlight w:val="none"/>
        </w:rPr>
        <w:t>修改文件或补充文件</w:t>
      </w:r>
      <w:r>
        <w:rPr>
          <w:rFonts w:hint="eastAsia" w:ascii="宋体" w:hAnsi="宋体" w:cs="宋体"/>
          <w:color w:val="auto"/>
          <w:szCs w:val="21"/>
          <w:highlight w:val="none"/>
        </w:rPr>
        <w:t>按本章第2.3.1款规定发出之时起，视为投标人已收到该修改文件</w:t>
      </w:r>
      <w:r>
        <w:rPr>
          <w:rFonts w:hint="eastAsia"/>
          <w:color w:val="auto"/>
          <w:highlight w:val="none"/>
        </w:rPr>
        <w:t>、补充文件</w:t>
      </w:r>
      <w:r>
        <w:rPr>
          <w:rFonts w:hint="eastAsia" w:ascii="宋体" w:hAnsi="宋体" w:cs="宋体"/>
          <w:color w:val="auto"/>
          <w:szCs w:val="21"/>
          <w:highlight w:val="none"/>
        </w:rPr>
        <w:t>。投标人未及时通过“电子交易平台”查阅招标文件的</w:t>
      </w:r>
      <w:r>
        <w:rPr>
          <w:rFonts w:hint="eastAsia"/>
          <w:color w:val="auto"/>
          <w:highlight w:val="none"/>
        </w:rPr>
        <w:t>修改或补充</w:t>
      </w:r>
      <w:r>
        <w:rPr>
          <w:rFonts w:hint="eastAsia" w:ascii="宋体" w:hAnsi="宋体" w:cs="宋体"/>
          <w:color w:val="auto"/>
          <w:szCs w:val="21"/>
          <w:highlight w:val="none"/>
        </w:rPr>
        <w:t>，或未按照</w:t>
      </w:r>
      <w:r>
        <w:rPr>
          <w:rFonts w:hint="eastAsia"/>
          <w:color w:val="auto"/>
          <w:highlight w:val="none"/>
        </w:rPr>
        <w:t>修改文件或补充文件</w:t>
      </w:r>
      <w:r>
        <w:rPr>
          <w:rFonts w:hint="eastAsia" w:ascii="宋体" w:hAnsi="宋体" w:cs="宋体"/>
          <w:color w:val="auto"/>
          <w:szCs w:val="21"/>
          <w:highlight w:val="none"/>
        </w:rPr>
        <w:t>编制投标文件，由此造成的后果由投标人自行承担。</w:t>
      </w:r>
    </w:p>
    <w:p>
      <w:pPr>
        <w:pStyle w:val="6"/>
        <w:rPr>
          <w:rFonts w:ascii="宋体" w:hAnsi="宋体" w:cs="宋体"/>
          <w:color w:val="auto"/>
          <w:highlight w:val="none"/>
        </w:rPr>
      </w:pPr>
      <w:bookmarkStart w:id="235" w:name="_Toc17227"/>
      <w:bookmarkStart w:id="236" w:name="_Toc508286086"/>
      <w:bookmarkStart w:id="237" w:name="_Toc7521"/>
      <w:bookmarkStart w:id="238" w:name="_Toc23933"/>
      <w:bookmarkStart w:id="239" w:name="_Toc9917"/>
      <w:bookmarkStart w:id="240" w:name="_Toc27102"/>
      <w:bookmarkStart w:id="241" w:name="_Toc473034303"/>
      <w:bookmarkStart w:id="242" w:name="_Toc24512"/>
      <w:r>
        <w:rPr>
          <w:rFonts w:hint="eastAsia" w:ascii="宋体" w:hAnsi="宋体" w:cs="宋体"/>
          <w:color w:val="auto"/>
          <w:highlight w:val="none"/>
        </w:rPr>
        <w:t>2.4 最高投标限价</w:t>
      </w:r>
      <w:bookmarkEnd w:id="235"/>
      <w:bookmarkEnd w:id="236"/>
      <w:bookmarkEnd w:id="237"/>
      <w:bookmarkEnd w:id="238"/>
      <w:bookmarkEnd w:id="239"/>
      <w:bookmarkEnd w:id="240"/>
      <w:bookmarkEnd w:id="241"/>
      <w:bookmarkEnd w:id="242"/>
    </w:p>
    <w:p>
      <w:pPr>
        <w:pStyle w:val="17"/>
        <w:spacing w:line="360" w:lineRule="auto"/>
        <w:ind w:firstLine="420" w:firstLineChars="200"/>
        <w:jc w:val="both"/>
        <w:rPr>
          <w:rFonts w:hint="eastAsia"/>
          <w:color w:val="auto"/>
          <w:highlight w:val="none"/>
        </w:rPr>
      </w:pPr>
      <w:r>
        <w:rPr>
          <w:rFonts w:hint="eastAsia" w:ascii="宋体" w:hAnsi="宋体" w:cs="宋体"/>
          <w:color w:val="auto"/>
          <w:szCs w:val="21"/>
          <w:highlight w:val="none"/>
        </w:rPr>
        <w:t>本工程</w:t>
      </w:r>
      <w:r>
        <w:rPr>
          <w:rFonts w:hint="eastAsia"/>
          <w:color w:val="auto"/>
          <w:highlight w:val="none"/>
        </w:rPr>
        <w:t>最高投标限价</w:t>
      </w:r>
      <w:r>
        <w:rPr>
          <w:rFonts w:hint="eastAsia" w:ascii="宋体" w:hAnsi="宋体" w:cs="宋体"/>
          <w:color w:val="auto"/>
          <w:szCs w:val="21"/>
          <w:highlight w:val="none"/>
        </w:rPr>
        <w:t>金额或其计算方法见“投标人须知前附表”</w:t>
      </w:r>
      <w:r>
        <w:rPr>
          <w:rFonts w:hint="eastAsia"/>
          <w:color w:val="auto"/>
          <w:highlight w:val="none"/>
        </w:rPr>
        <w:t>。</w:t>
      </w:r>
    </w:p>
    <w:p>
      <w:pPr>
        <w:pStyle w:val="17"/>
        <w:spacing w:line="360" w:lineRule="auto"/>
        <w:ind w:firstLine="420" w:firstLineChars="200"/>
        <w:jc w:val="both"/>
        <w:rPr>
          <w:rFonts w:hint="eastAsia" w:ascii="宋体" w:hAnsi="宋体" w:cs="宋体"/>
          <w:color w:val="auto"/>
          <w:szCs w:val="21"/>
          <w:highlight w:val="none"/>
        </w:rPr>
      </w:pPr>
      <w:r>
        <w:rPr>
          <w:rFonts w:hint="eastAsia" w:ascii="宋体" w:hAnsi="宋体" w:cs="宋体"/>
          <w:color w:val="auto"/>
          <w:szCs w:val="21"/>
          <w:highlight w:val="none"/>
        </w:rPr>
        <w:t>招标人确需对已发布的</w:t>
      </w:r>
      <w:r>
        <w:rPr>
          <w:rFonts w:hint="eastAsia"/>
          <w:color w:val="auto"/>
          <w:highlight w:val="none"/>
        </w:rPr>
        <w:t>最高投标限价</w:t>
      </w:r>
      <w:r>
        <w:rPr>
          <w:rFonts w:hint="eastAsia" w:ascii="宋体" w:hAnsi="宋体" w:cs="宋体"/>
          <w:color w:val="auto"/>
          <w:szCs w:val="21"/>
          <w:highlight w:val="none"/>
        </w:rPr>
        <w:t>进行修改的，应在投标截止时间15日前</w:t>
      </w:r>
      <w:r>
        <w:rPr>
          <w:rFonts w:hint="eastAsia" w:ascii="宋体" w:cs="宋体"/>
          <w:color w:val="auto"/>
          <w:kern w:val="0"/>
          <w:szCs w:val="21"/>
          <w:highlight w:val="none"/>
        </w:rPr>
        <w:t>通过</w:t>
      </w:r>
      <w:r>
        <w:rPr>
          <w:rFonts w:hint="eastAsia" w:ascii="宋体" w:hAnsi="宋体" w:cs="宋体"/>
          <w:color w:val="auto"/>
          <w:szCs w:val="21"/>
          <w:highlight w:val="none"/>
        </w:rPr>
        <w:t>“电子交易平台”将修改后的最高投标限价发给所有投标人。</w:t>
      </w:r>
    </w:p>
    <w:p>
      <w:pPr>
        <w:pStyle w:val="6"/>
        <w:rPr>
          <w:rFonts w:ascii="宋体" w:hAnsi="宋体" w:cs="宋体"/>
          <w:color w:val="auto"/>
          <w:highlight w:val="none"/>
        </w:rPr>
      </w:pPr>
      <w:bookmarkStart w:id="243" w:name="_Toc98353602"/>
      <w:bookmarkStart w:id="244" w:name="_Toc20352"/>
      <w:bookmarkStart w:id="245" w:name="_Toc9715"/>
      <w:bookmarkStart w:id="246" w:name="_Toc13344"/>
      <w:bookmarkStart w:id="247" w:name="_Toc95320961"/>
      <w:bookmarkStart w:id="248" w:name="_Toc87389805"/>
      <w:r>
        <w:rPr>
          <w:rFonts w:hint="eastAsia" w:ascii="宋体" w:hAnsi="宋体" w:cs="宋体"/>
          <w:color w:val="auto"/>
          <w:highlight w:val="none"/>
        </w:rPr>
        <w:t>2.5</w:t>
      </w:r>
      <w:r>
        <w:rPr>
          <w:rFonts w:ascii="宋体" w:hAnsi="宋体"/>
          <w:color w:val="auto"/>
          <w:szCs w:val="21"/>
          <w:highlight w:val="none"/>
        </w:rPr>
        <w:t>招标文件的异议</w:t>
      </w:r>
      <w:bookmarkEnd w:id="243"/>
      <w:bookmarkEnd w:id="244"/>
      <w:bookmarkEnd w:id="245"/>
      <w:bookmarkEnd w:id="246"/>
      <w:bookmarkEnd w:id="247"/>
      <w:bookmarkEnd w:id="248"/>
    </w:p>
    <w:p>
      <w:pPr>
        <w:spacing w:line="360" w:lineRule="auto"/>
        <w:ind w:left="-15" w:right="103" w:firstLine="420"/>
        <w:rPr>
          <w:rFonts w:ascii="宋体" w:hAnsi="宋体"/>
          <w:color w:val="auto"/>
          <w:szCs w:val="21"/>
          <w:highlight w:val="none"/>
        </w:rPr>
      </w:pPr>
      <w:r>
        <w:rPr>
          <w:rFonts w:ascii="宋体" w:hAnsi="宋体" w:cs="宋体"/>
          <w:color w:val="auto"/>
          <w:szCs w:val="21"/>
          <w:highlight w:val="none"/>
        </w:rPr>
        <w:t>投标人或者其他利害关系人对招标文件有异议的，应当在投标截止时间</w:t>
      </w:r>
      <w:r>
        <w:rPr>
          <w:rFonts w:ascii="宋体" w:hAnsi="宋体"/>
          <w:color w:val="auto"/>
          <w:szCs w:val="21"/>
          <w:highlight w:val="none"/>
        </w:rPr>
        <w:t xml:space="preserve">10 </w:t>
      </w:r>
      <w:r>
        <w:rPr>
          <w:rFonts w:ascii="宋体" w:hAnsi="宋体" w:cs="宋体"/>
          <w:color w:val="auto"/>
          <w:szCs w:val="21"/>
          <w:highlight w:val="none"/>
        </w:rPr>
        <w:t>日前以书面形式提出。招标人将在收到异议之日起</w:t>
      </w:r>
      <w:r>
        <w:rPr>
          <w:rFonts w:ascii="宋体" w:hAnsi="宋体"/>
          <w:color w:val="auto"/>
          <w:szCs w:val="21"/>
          <w:highlight w:val="none"/>
        </w:rPr>
        <w:t xml:space="preserve">3 </w:t>
      </w:r>
      <w:r>
        <w:rPr>
          <w:rFonts w:ascii="宋体" w:hAnsi="宋体" w:cs="宋体"/>
          <w:color w:val="auto"/>
          <w:szCs w:val="21"/>
          <w:highlight w:val="none"/>
        </w:rPr>
        <w:t>日内作出答复；作出答复前，将暂停招标投标活动。</w:t>
      </w:r>
    </w:p>
    <w:p>
      <w:pPr>
        <w:pStyle w:val="5"/>
        <w:spacing w:line="360" w:lineRule="auto"/>
        <w:rPr>
          <w:rFonts w:ascii="宋体" w:hAnsi="宋体" w:cs="宋体"/>
          <w:color w:val="auto"/>
          <w:highlight w:val="none"/>
        </w:rPr>
      </w:pPr>
      <w:bookmarkStart w:id="249" w:name="_Toc508286087"/>
      <w:bookmarkStart w:id="250" w:name="_Toc23610"/>
      <w:bookmarkStart w:id="251" w:name="_Toc28826"/>
      <w:bookmarkStart w:id="252" w:name="_Toc25223"/>
      <w:bookmarkStart w:id="253" w:name="_Toc18945"/>
      <w:bookmarkStart w:id="254" w:name="_Toc389065162"/>
      <w:bookmarkStart w:id="255" w:name="_Toc6715"/>
      <w:bookmarkStart w:id="256" w:name="_Toc7615"/>
      <w:r>
        <w:rPr>
          <w:rFonts w:hint="eastAsia" w:ascii="宋体" w:hAnsi="宋体" w:cs="宋体"/>
          <w:color w:val="auto"/>
          <w:highlight w:val="none"/>
        </w:rPr>
        <w:t>3 投标文件</w:t>
      </w:r>
      <w:bookmarkEnd w:id="249"/>
      <w:bookmarkEnd w:id="250"/>
      <w:bookmarkEnd w:id="251"/>
      <w:bookmarkEnd w:id="252"/>
      <w:bookmarkEnd w:id="253"/>
      <w:bookmarkEnd w:id="254"/>
      <w:bookmarkEnd w:id="255"/>
      <w:bookmarkEnd w:id="256"/>
    </w:p>
    <w:p>
      <w:pPr>
        <w:pStyle w:val="6"/>
        <w:rPr>
          <w:rFonts w:ascii="宋体" w:hAnsi="宋体" w:cs="宋体"/>
          <w:color w:val="auto"/>
          <w:highlight w:val="none"/>
        </w:rPr>
      </w:pPr>
      <w:bookmarkStart w:id="257" w:name="_Toc6222"/>
      <w:bookmarkStart w:id="258" w:name="_Toc18052"/>
      <w:bookmarkStart w:id="259" w:name="_Toc8279"/>
      <w:bookmarkStart w:id="260" w:name="_Toc508286088"/>
      <w:bookmarkStart w:id="261" w:name="_Toc12527"/>
      <w:bookmarkStart w:id="262" w:name="_Toc13070"/>
      <w:bookmarkStart w:id="263" w:name="_Toc29975"/>
      <w:bookmarkStart w:id="264" w:name="_Toc389065163"/>
      <w:r>
        <w:rPr>
          <w:rFonts w:hint="eastAsia" w:ascii="宋体" w:hAnsi="宋体" w:cs="宋体"/>
          <w:color w:val="auto"/>
          <w:highlight w:val="none"/>
        </w:rPr>
        <w:t>3.1 投标文件的组成</w:t>
      </w:r>
      <w:bookmarkEnd w:id="257"/>
      <w:bookmarkEnd w:id="258"/>
      <w:bookmarkEnd w:id="259"/>
      <w:bookmarkEnd w:id="260"/>
      <w:bookmarkEnd w:id="261"/>
      <w:bookmarkEnd w:id="262"/>
      <w:bookmarkEnd w:id="263"/>
      <w:bookmarkEnd w:id="264"/>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3.1.1 投标文件组成见“投标人须知前附表”</w:t>
      </w:r>
      <w:r>
        <w:rPr>
          <w:rFonts w:hint="eastAsia" w:ascii="宋体" w:hAnsi="宋体" w:cs="宋体"/>
          <w:color w:val="auto"/>
          <w:szCs w:val="21"/>
          <w:highlight w:val="none"/>
          <w:lang w:eastAsia="zh-CN"/>
        </w:rPr>
        <w:t>；</w:t>
      </w:r>
      <w:r>
        <w:rPr>
          <w:rFonts w:hint="eastAsia" w:ascii="宋体" w:hAnsi="宋体" w:cs="宋体"/>
          <w:color w:val="auto"/>
          <w:szCs w:val="21"/>
          <w:highlight w:val="none"/>
        </w:rPr>
        <w:t>“投标人须知前附表</w:t>
      </w:r>
      <w:r>
        <w:rPr>
          <w:rFonts w:hint="eastAsia" w:ascii="宋体" w:hAnsi="宋体" w:cs="宋体"/>
          <w:color w:val="auto"/>
          <w:szCs w:val="21"/>
          <w:highlight w:val="none"/>
          <w:lang w:val="en-US" w:eastAsia="zh-CN"/>
        </w:rPr>
        <w:t>3.1.1</w:t>
      </w:r>
      <w:r>
        <w:rPr>
          <w:rFonts w:hint="eastAsia" w:ascii="宋体" w:hAnsi="宋体" w:cs="宋体"/>
          <w:color w:val="auto"/>
          <w:szCs w:val="21"/>
          <w:highlight w:val="none"/>
        </w:rPr>
        <w:t>”标注“如</w:t>
      </w:r>
      <w:r>
        <w:rPr>
          <w:rFonts w:hint="eastAsia" w:ascii="宋体" w:hAnsi="宋体" w:eastAsia="宋体" w:cs="宋体"/>
          <w:color w:val="auto"/>
          <w:szCs w:val="21"/>
          <w:highlight w:val="none"/>
        </w:rPr>
        <w:t>有”</w:t>
      </w:r>
      <w:r>
        <w:rPr>
          <w:rFonts w:hint="eastAsia" w:ascii="宋体" w:hAnsi="宋体" w:eastAsia="宋体" w:cs="宋体"/>
          <w:color w:val="auto"/>
          <w:szCs w:val="21"/>
          <w:highlight w:val="none"/>
          <w:lang w:val="en-US" w:eastAsia="zh-CN"/>
        </w:rPr>
        <w:t>且已勾选</w:t>
      </w:r>
      <w:r>
        <w:rPr>
          <w:rFonts w:hint="eastAsia" w:ascii="宋体" w:hAnsi="宋体" w:cs="宋体"/>
          <w:color w:val="auto"/>
          <w:szCs w:val="21"/>
          <w:highlight w:val="none"/>
        </w:rPr>
        <w:t>的材料，投标人根据招标文件相关条款的约定提供。</w:t>
      </w:r>
      <w:r>
        <w:rPr>
          <w:rFonts w:hint="eastAsia" w:ascii="宋体" w:hAnsi="宋体" w:eastAsia="宋体" w:cs="宋体"/>
          <w:color w:val="auto"/>
          <w:spacing w:val="-1"/>
          <w:highlight w:val="none"/>
          <w:lang w:eastAsia="zh-CN"/>
        </w:rPr>
        <w:t>投标人在评标过程中作出的符合法律法规和招标文件规定的澄清确认，构成投标文件的组成部分。</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3.1.2 招标文件“第八章 投标文件格式”有规定格式要求的，投标人应按规定的格式填写并按要求提交相关的证明材料。</w:t>
      </w:r>
    </w:p>
    <w:p>
      <w:pPr>
        <w:spacing w:line="360" w:lineRule="auto"/>
        <w:ind w:firstLine="420" w:firstLineChars="200"/>
        <w:rPr>
          <w:rFonts w:ascii="宋体" w:hAnsi="宋体" w:cs="宋体"/>
          <w:color w:val="auto"/>
          <w:highlight w:val="none"/>
        </w:rPr>
      </w:pPr>
      <w:r>
        <w:rPr>
          <w:rFonts w:hint="eastAsia" w:ascii="宋体" w:hAnsi="宋体" w:cs="宋体"/>
          <w:color w:val="auto"/>
          <w:szCs w:val="21"/>
          <w:highlight w:val="none"/>
        </w:rPr>
        <w:t>3.1.3 “投标人须知前附表”规定不接受联合体投标的，或投标人没有组成联合体的，投标文件不包括本章第3.1.1中所指的联合体协议书。</w:t>
      </w:r>
    </w:p>
    <w:p>
      <w:pPr>
        <w:pStyle w:val="6"/>
        <w:rPr>
          <w:rFonts w:ascii="宋体" w:hAnsi="宋体" w:cs="宋体"/>
          <w:color w:val="auto"/>
          <w:highlight w:val="none"/>
        </w:rPr>
      </w:pPr>
      <w:bookmarkStart w:id="265" w:name="_Toc11259"/>
      <w:bookmarkStart w:id="266" w:name="_Toc7062"/>
      <w:bookmarkStart w:id="267" w:name="_Toc20484"/>
      <w:bookmarkStart w:id="268" w:name="_Toc389065164"/>
      <w:bookmarkStart w:id="269" w:name="_Toc24273"/>
      <w:bookmarkStart w:id="270" w:name="_Toc10030"/>
      <w:bookmarkStart w:id="271" w:name="_Toc508286089"/>
      <w:bookmarkStart w:id="272" w:name="_Toc32342"/>
      <w:r>
        <w:rPr>
          <w:rFonts w:hint="eastAsia" w:ascii="宋体" w:hAnsi="宋体" w:cs="宋体"/>
          <w:color w:val="auto"/>
          <w:highlight w:val="none"/>
        </w:rPr>
        <w:t>3.2 投标报价</w:t>
      </w:r>
      <w:bookmarkEnd w:id="265"/>
      <w:bookmarkEnd w:id="266"/>
      <w:bookmarkEnd w:id="267"/>
      <w:bookmarkEnd w:id="268"/>
      <w:bookmarkEnd w:id="269"/>
      <w:bookmarkEnd w:id="270"/>
      <w:bookmarkEnd w:id="271"/>
      <w:bookmarkEnd w:id="272"/>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3.2.</w:t>
      </w:r>
      <w:r>
        <w:rPr>
          <w:rFonts w:hint="eastAsia" w:ascii="宋体" w:hAnsi="宋体" w:cs="宋体"/>
          <w:color w:val="auto"/>
          <w:szCs w:val="21"/>
          <w:highlight w:val="none"/>
          <w:lang w:val="en-US" w:eastAsia="zh-CN"/>
        </w:rPr>
        <w:t>1</w:t>
      </w:r>
      <w:r>
        <w:rPr>
          <w:rFonts w:hint="eastAsia" w:ascii="宋体" w:hAnsi="宋体" w:cs="宋体"/>
          <w:color w:val="auto"/>
          <w:szCs w:val="21"/>
          <w:highlight w:val="none"/>
        </w:rPr>
        <w:t>投标人应按第八章“投标文件格式”的要求填写价格清单和投标报价。</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3.2.</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投标人应充分了解施工场地的</w:t>
      </w:r>
      <w:r>
        <w:rPr>
          <w:rFonts w:ascii="宋体" w:hAnsi="宋体" w:cs="宋体"/>
          <w:color w:val="auto"/>
          <w:szCs w:val="21"/>
          <w:highlight w:val="none"/>
        </w:rPr>
        <w:t>位置、周边</w:t>
      </w:r>
      <w:r>
        <w:rPr>
          <w:rFonts w:hint="eastAsia" w:ascii="宋体" w:hAnsi="宋体" w:cs="宋体"/>
          <w:color w:val="auto"/>
          <w:szCs w:val="21"/>
          <w:highlight w:val="none"/>
        </w:rPr>
        <w:t>环境</w:t>
      </w:r>
      <w:r>
        <w:rPr>
          <w:rFonts w:ascii="宋体" w:hAnsi="宋体" w:cs="宋体"/>
          <w:color w:val="auto"/>
          <w:szCs w:val="21"/>
          <w:highlight w:val="none"/>
        </w:rPr>
        <w:t>、道路、装卸、保管、安装限制</w:t>
      </w:r>
      <w:r>
        <w:rPr>
          <w:rFonts w:hint="eastAsia" w:ascii="宋体" w:hAnsi="宋体" w:cs="宋体"/>
          <w:color w:val="auto"/>
          <w:szCs w:val="21"/>
          <w:highlight w:val="none"/>
        </w:rPr>
        <w:t>以</w:t>
      </w:r>
      <w:r>
        <w:rPr>
          <w:rFonts w:ascii="宋体" w:hAnsi="宋体" w:cs="宋体"/>
          <w:color w:val="auto"/>
          <w:szCs w:val="21"/>
          <w:highlight w:val="none"/>
        </w:rPr>
        <w:t>及影响</w:t>
      </w:r>
      <w:r>
        <w:rPr>
          <w:rFonts w:hint="eastAsia" w:ascii="宋体" w:hAnsi="宋体" w:cs="宋体"/>
          <w:color w:val="auto"/>
          <w:szCs w:val="21"/>
          <w:highlight w:val="none"/>
        </w:rPr>
        <w:t>投标报价的其他要素。投标人</w:t>
      </w:r>
      <w:r>
        <w:rPr>
          <w:rFonts w:ascii="宋体" w:hAnsi="宋体" w:cs="宋体"/>
          <w:color w:val="auto"/>
          <w:szCs w:val="21"/>
          <w:highlight w:val="none"/>
        </w:rPr>
        <w:t>根据</w:t>
      </w:r>
      <w:r>
        <w:rPr>
          <w:rFonts w:hint="eastAsia" w:ascii="宋体" w:hAnsi="宋体" w:cs="宋体"/>
          <w:color w:val="auto"/>
          <w:szCs w:val="21"/>
          <w:highlight w:val="none"/>
        </w:rPr>
        <w:t>投标</w:t>
      </w:r>
      <w:r>
        <w:rPr>
          <w:rFonts w:ascii="宋体" w:hAnsi="宋体" w:cs="宋体"/>
          <w:color w:val="auto"/>
          <w:szCs w:val="21"/>
          <w:highlight w:val="none"/>
        </w:rPr>
        <w:t>设计</w:t>
      </w:r>
      <w:r>
        <w:rPr>
          <w:rFonts w:hint="eastAsia" w:ascii="宋体" w:hAnsi="宋体" w:cs="宋体"/>
          <w:color w:val="auto"/>
          <w:szCs w:val="21"/>
          <w:highlight w:val="none"/>
        </w:rPr>
        <w:t>，结合</w:t>
      </w:r>
      <w:r>
        <w:rPr>
          <w:rFonts w:ascii="宋体" w:hAnsi="宋体" w:cs="宋体"/>
          <w:color w:val="auto"/>
          <w:szCs w:val="21"/>
          <w:highlight w:val="none"/>
        </w:rPr>
        <w:t>市场情况进行投标报价。</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3.2.</w:t>
      </w:r>
      <w:r>
        <w:rPr>
          <w:rFonts w:hint="eastAsia" w:ascii="宋体" w:hAnsi="宋体" w:cs="宋体"/>
          <w:color w:val="auto"/>
          <w:szCs w:val="21"/>
          <w:highlight w:val="none"/>
          <w:lang w:val="en-US" w:eastAsia="zh-CN"/>
        </w:rPr>
        <w:t>3</w:t>
      </w:r>
      <w:r>
        <w:rPr>
          <w:rFonts w:hint="eastAsia" w:ascii="宋体" w:hAnsi="宋体" w:cs="宋体"/>
          <w:color w:val="auto"/>
          <w:szCs w:val="21"/>
          <w:highlight w:val="none"/>
        </w:rPr>
        <w:t>投标人在投标截止时间前修改投标函中的投标报价总额，应同时修改投标文件“价格清单”中的相应报价，投标报价总额为各分项金额之和。此修改须符合本章第4.3款的有关要求。</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3.2.</w:t>
      </w:r>
      <w:r>
        <w:rPr>
          <w:rFonts w:hint="eastAsia" w:ascii="宋体" w:hAnsi="宋体" w:cs="宋体"/>
          <w:color w:val="auto"/>
          <w:szCs w:val="21"/>
          <w:highlight w:val="none"/>
          <w:lang w:val="en-US" w:eastAsia="zh-CN"/>
        </w:rPr>
        <w:t>4</w:t>
      </w:r>
      <w:r>
        <w:rPr>
          <w:rFonts w:hint="eastAsia" w:ascii="宋体" w:hAnsi="宋体" w:cs="宋体"/>
          <w:color w:val="auto"/>
          <w:szCs w:val="21"/>
          <w:highlight w:val="none"/>
        </w:rPr>
        <w:t>投标人的投标报价不得超过最高投标限价。</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3.2.</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投标报价的其他要求见投标人须知前附表。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3.2.6合同形式见投标人须知前附表。</w:t>
      </w:r>
    </w:p>
    <w:p>
      <w:pPr>
        <w:pStyle w:val="6"/>
        <w:rPr>
          <w:rFonts w:ascii="宋体" w:hAnsi="宋体" w:cs="宋体"/>
          <w:color w:val="auto"/>
          <w:highlight w:val="none"/>
        </w:rPr>
      </w:pPr>
      <w:bookmarkStart w:id="273" w:name="_Toc1018"/>
      <w:bookmarkStart w:id="274" w:name="_Toc508286090"/>
      <w:bookmarkStart w:id="275" w:name="_Toc30777"/>
      <w:bookmarkStart w:id="276" w:name="_Toc10764"/>
      <w:bookmarkStart w:id="277" w:name="_Toc2002"/>
      <w:bookmarkStart w:id="278" w:name="_Toc389065165"/>
      <w:bookmarkStart w:id="279" w:name="_Toc11933"/>
      <w:bookmarkStart w:id="280" w:name="_Toc19303"/>
      <w:r>
        <w:rPr>
          <w:rFonts w:hint="eastAsia" w:ascii="宋体" w:hAnsi="宋体" w:cs="宋体"/>
          <w:color w:val="auto"/>
          <w:highlight w:val="none"/>
        </w:rPr>
        <w:t>3.3 投标有效期</w:t>
      </w:r>
      <w:bookmarkEnd w:id="273"/>
      <w:bookmarkEnd w:id="274"/>
      <w:bookmarkEnd w:id="275"/>
      <w:bookmarkEnd w:id="276"/>
      <w:bookmarkEnd w:id="277"/>
      <w:bookmarkEnd w:id="278"/>
      <w:bookmarkEnd w:id="279"/>
      <w:bookmarkEnd w:id="280"/>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3.3.1 在投标人须知前附表规定的投标有效期内，投标人不得要求撤销或修改其投标文件。</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3.3.2 出现特殊情况需要延长投标有效期的，招标人将通知所有投标人延长投标有效期。投标人同意延长的，应相应延长其投标保证金的有效期，但不得要求或被允许修改或撤销其投标文件；投标人拒绝延长的，其投标失效，但投标人有权收回其投标保证金。</w:t>
      </w:r>
    </w:p>
    <w:p>
      <w:pPr>
        <w:pStyle w:val="6"/>
        <w:rPr>
          <w:color w:val="auto"/>
          <w:highlight w:val="none"/>
        </w:rPr>
      </w:pPr>
      <w:bookmarkStart w:id="281" w:name="_Toc23862"/>
      <w:bookmarkStart w:id="282" w:name="_Toc508286091"/>
      <w:bookmarkStart w:id="283" w:name="_Toc27057"/>
      <w:bookmarkStart w:id="284" w:name="_Toc30949"/>
      <w:bookmarkStart w:id="285" w:name="_Toc389065166"/>
      <w:bookmarkStart w:id="286" w:name="_Toc14396"/>
      <w:bookmarkStart w:id="287" w:name="_Toc8499"/>
      <w:bookmarkStart w:id="288" w:name="_Toc25506"/>
      <w:r>
        <w:rPr>
          <w:rFonts w:hint="eastAsia" w:ascii="宋体" w:hAnsi="宋体" w:cs="宋体"/>
          <w:color w:val="auto"/>
          <w:highlight w:val="none"/>
        </w:rPr>
        <w:t>3.4 投标保证金</w:t>
      </w:r>
      <w:bookmarkEnd w:id="281"/>
      <w:bookmarkEnd w:id="282"/>
      <w:bookmarkEnd w:id="283"/>
      <w:bookmarkEnd w:id="284"/>
      <w:bookmarkEnd w:id="285"/>
      <w:bookmarkEnd w:id="286"/>
      <w:bookmarkEnd w:id="287"/>
      <w:bookmarkEnd w:id="288"/>
    </w:p>
    <w:p>
      <w:pPr>
        <w:pageBreakBefore w:val="0"/>
        <w:kinsoku/>
        <w:wordWrap/>
        <w:overflowPunct/>
        <w:topLinePunct w:val="0"/>
        <w:bidi w:val="0"/>
        <w:spacing w:line="332" w:lineRule="auto"/>
        <w:ind w:firstLine="420" w:firstLineChars="200"/>
        <w:textAlignment w:val="auto"/>
        <w:rPr>
          <w:color w:val="auto"/>
          <w:highlight w:val="none"/>
        </w:rPr>
      </w:pPr>
      <w:r>
        <w:rPr>
          <w:rFonts w:hint="eastAsia" w:ascii="宋体" w:hAnsi="宋体" w:cs="宋体"/>
          <w:color w:val="auto"/>
          <w:szCs w:val="21"/>
          <w:highlight w:val="none"/>
        </w:rPr>
        <w:t>3.4.1</w:t>
      </w:r>
      <w:r>
        <w:rPr>
          <w:rFonts w:hint="eastAsia" w:ascii="宋体" w:hAnsi="宋体" w:cs="宋体"/>
          <w:color w:val="auto"/>
          <w:szCs w:val="21"/>
          <w:highlight w:val="none"/>
          <w:lang w:val="en-US" w:eastAsia="zh-CN"/>
        </w:rPr>
        <w:t>投标人须知前附表要求提交投标保证金的，</w:t>
      </w:r>
      <w:r>
        <w:rPr>
          <w:rFonts w:hint="eastAsia"/>
          <w:color w:val="auto"/>
          <w:highlight w:val="none"/>
        </w:rPr>
        <w:t>投标人应按投标人须知前附表规定的金额、缴纳账号、担保形式和第八章</w:t>
      </w:r>
      <w:r>
        <w:rPr>
          <w:color w:val="auto"/>
          <w:highlight w:val="none"/>
        </w:rPr>
        <w:t>“</w:t>
      </w:r>
      <w:r>
        <w:rPr>
          <w:rFonts w:hint="eastAsia"/>
          <w:color w:val="auto"/>
          <w:highlight w:val="none"/>
        </w:rPr>
        <w:t>投标文件格式</w:t>
      </w:r>
      <w:r>
        <w:rPr>
          <w:color w:val="auto"/>
          <w:highlight w:val="none"/>
        </w:rPr>
        <w:t>”</w:t>
      </w:r>
      <w:r>
        <w:rPr>
          <w:rFonts w:hint="eastAsia"/>
          <w:color w:val="auto"/>
          <w:highlight w:val="none"/>
        </w:rPr>
        <w:t>规定的投标保证金格式</w:t>
      </w:r>
      <w:r>
        <w:rPr>
          <w:rFonts w:hint="eastAsia"/>
          <w:color w:val="auto"/>
          <w:highlight w:val="none"/>
          <w:lang w:eastAsia="zh-CN"/>
        </w:rPr>
        <w:t>提交</w:t>
      </w:r>
      <w:r>
        <w:rPr>
          <w:rFonts w:hint="eastAsia"/>
          <w:color w:val="auto"/>
          <w:highlight w:val="none"/>
        </w:rPr>
        <w:t>投标保证金，并作为其投标文件的组成部分。投标人应充分考虑投标保证金在途时间，确保投标保证金在投标截止时间前到达负责受理投标保证金的单位</w:t>
      </w:r>
      <w:r>
        <w:rPr>
          <w:rFonts w:hint="eastAsia"/>
          <w:color w:val="auto"/>
          <w:highlight w:val="none"/>
          <w:lang w:eastAsia="zh-CN"/>
        </w:rPr>
        <w:t>账</w:t>
      </w:r>
      <w:r>
        <w:rPr>
          <w:rFonts w:hint="eastAsia"/>
          <w:color w:val="auto"/>
          <w:highlight w:val="none"/>
        </w:rPr>
        <w:t>户（采用保函</w:t>
      </w:r>
      <w:r>
        <w:rPr>
          <w:rFonts w:hint="eastAsia"/>
          <w:color w:val="auto"/>
          <w:highlight w:val="none"/>
          <w:lang w:eastAsia="zh-CN"/>
        </w:rPr>
        <w:t>、</w:t>
      </w:r>
      <w:r>
        <w:rPr>
          <w:rFonts w:hint="eastAsia"/>
          <w:color w:val="auto"/>
          <w:highlight w:val="none"/>
          <w:lang w:val="en-US" w:eastAsia="zh-CN"/>
        </w:rPr>
        <w:t>支票、其他</w:t>
      </w:r>
      <w:r>
        <w:rPr>
          <w:rFonts w:hint="eastAsia"/>
          <w:color w:val="auto"/>
          <w:highlight w:val="none"/>
        </w:rPr>
        <w:t>的除外）。联合体投标的，其投标保证金</w:t>
      </w:r>
      <w:r>
        <w:rPr>
          <w:rFonts w:hint="eastAsia" w:ascii="宋体" w:hAnsi="宋体" w:eastAsia="宋体" w:cs="宋体"/>
          <w:color w:val="auto"/>
          <w:szCs w:val="21"/>
          <w:highlight w:val="none"/>
        </w:rPr>
        <w:t>以联合体</w:t>
      </w:r>
      <w:r>
        <w:rPr>
          <w:rFonts w:hint="eastAsia" w:ascii="宋体" w:hAnsi="宋体" w:eastAsia="宋体" w:cs="宋体"/>
          <w:color w:val="auto"/>
          <w:szCs w:val="21"/>
          <w:highlight w:val="none"/>
          <w:lang w:val="en-US" w:eastAsia="zh-CN"/>
        </w:rPr>
        <w:t>中</w:t>
      </w:r>
      <w:r>
        <w:rPr>
          <w:rFonts w:hint="eastAsia" w:ascii="宋体" w:hAnsi="宋体" w:eastAsia="宋体" w:cs="宋体"/>
          <w:color w:val="auto"/>
          <w:szCs w:val="21"/>
          <w:highlight w:val="none"/>
        </w:rPr>
        <w:t>牵头人的名义提交</w:t>
      </w:r>
      <w:r>
        <w:rPr>
          <w:rFonts w:hint="eastAsia"/>
          <w:color w:val="auto"/>
          <w:highlight w:val="none"/>
        </w:rPr>
        <w:t>，并应符合投标人须知前附表的规定。</w:t>
      </w:r>
    </w:p>
    <w:p>
      <w:pPr>
        <w:pageBreakBefore w:val="0"/>
        <w:kinsoku/>
        <w:wordWrap/>
        <w:overflowPunct/>
        <w:topLinePunct w:val="0"/>
        <w:bidi w:val="0"/>
        <w:spacing w:line="332" w:lineRule="auto"/>
        <w:ind w:firstLine="420" w:firstLineChars="200"/>
        <w:textAlignment w:val="auto"/>
        <w:rPr>
          <w:rFonts w:hint="eastAsia" w:ascii="宋体" w:eastAsia="宋体"/>
          <w:color w:val="auto"/>
          <w:szCs w:val="21"/>
          <w:highlight w:val="none"/>
          <w:lang w:val="en-US" w:eastAsia="zh-CN"/>
        </w:rPr>
      </w:pPr>
      <w:r>
        <w:rPr>
          <w:rFonts w:hint="eastAsia"/>
          <w:color w:val="auto"/>
          <w:highlight w:val="none"/>
        </w:rPr>
        <w:t>投标保证金采用银行电汇或网上银行支付形式的必须从投标</w:t>
      </w:r>
      <w:r>
        <w:rPr>
          <w:rFonts w:hint="eastAsia" w:ascii="宋体" w:hAnsi="宋体"/>
          <w:color w:val="auto"/>
          <w:szCs w:val="21"/>
          <w:highlight w:val="none"/>
        </w:rPr>
        <w:t>人的基本账户转出</w:t>
      </w:r>
      <w:r>
        <w:rPr>
          <w:rFonts w:hint="eastAsia" w:ascii="宋体" w:hAnsi="宋体"/>
          <w:color w:val="auto"/>
          <w:szCs w:val="21"/>
          <w:highlight w:val="none"/>
          <w:lang w:eastAsia="zh-CN"/>
        </w:rPr>
        <w:t>；</w:t>
      </w:r>
      <w:r>
        <w:rPr>
          <w:rFonts w:hint="eastAsia" w:ascii="宋体" w:hAnsi="宋体"/>
          <w:color w:val="auto"/>
          <w:szCs w:val="21"/>
          <w:highlight w:val="none"/>
        </w:rPr>
        <w:t>采用银行保函的应当由投标人基本账户所在网点的当地行或其上级银行机构出具</w:t>
      </w:r>
      <w:r>
        <w:rPr>
          <w:rFonts w:hint="eastAsia" w:ascii="宋体" w:hAnsi="宋体"/>
          <w:color w:val="auto"/>
          <w:szCs w:val="21"/>
          <w:highlight w:val="none"/>
          <w:lang w:eastAsia="zh-CN"/>
        </w:rPr>
        <w:t>；</w:t>
      </w:r>
      <w:r>
        <w:rPr>
          <w:rFonts w:hint="eastAsia" w:ascii="宋体" w:hAnsi="宋体" w:cs="宋体"/>
          <w:color w:val="auto"/>
          <w:szCs w:val="21"/>
          <w:highlight w:val="none"/>
        </w:rPr>
        <w:t>采用支票形式的，投标保证金应当从其基本账户转出。</w:t>
      </w:r>
    </w:p>
    <w:p>
      <w:pPr>
        <w:autoSpaceDE w:val="0"/>
        <w:autoSpaceDN w:val="0"/>
        <w:adjustRightInd w:val="0"/>
        <w:spacing w:line="332"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 xml:space="preserve">3.4.2 </w:t>
      </w:r>
      <w:r>
        <w:rPr>
          <w:rFonts w:hint="eastAsia" w:ascii="宋体" w:hAnsi="宋体" w:cs="宋体"/>
          <w:color w:val="auto"/>
          <w:szCs w:val="21"/>
          <w:highlight w:val="none"/>
          <w:lang w:val="en-US" w:eastAsia="zh-CN"/>
        </w:rPr>
        <w:t>投标人须知前附表要求提交投标保证金的，</w:t>
      </w:r>
      <w:r>
        <w:rPr>
          <w:rFonts w:hint="eastAsia" w:ascii="宋体" w:hAnsi="宋体" w:eastAsia="宋体"/>
          <w:color w:val="auto"/>
          <w:sz w:val="21"/>
          <w:highlight w:val="none"/>
          <w:lang w:val="en-US" w:eastAsia="zh-CN"/>
        </w:rPr>
        <w:t>投标人不按本章第3.4.1项要求提交投标保证金的，评标委员会将否决其投标。</w:t>
      </w:r>
    </w:p>
    <w:p>
      <w:pPr>
        <w:autoSpaceDE w:val="0"/>
        <w:autoSpaceDN w:val="0"/>
        <w:adjustRightInd w:val="0"/>
        <w:spacing w:line="332" w:lineRule="auto"/>
        <w:ind w:firstLine="420" w:firstLineChars="200"/>
        <w:rPr>
          <w:rFonts w:hint="eastAsia" w:ascii="宋体" w:hAnsi="宋体" w:eastAsia="宋体"/>
          <w:color w:val="auto"/>
          <w:sz w:val="21"/>
          <w:highlight w:val="none"/>
          <w:lang w:val="en-US" w:eastAsia="zh-CN"/>
        </w:rPr>
      </w:pPr>
      <w:r>
        <w:rPr>
          <w:rFonts w:hint="eastAsia" w:ascii="宋体" w:hAnsi="宋体" w:eastAsia="宋体"/>
          <w:color w:val="auto"/>
          <w:sz w:val="21"/>
          <w:highlight w:val="none"/>
        </w:rPr>
        <w:t xml:space="preserve">3.4.3 </w:t>
      </w:r>
      <w:r>
        <w:rPr>
          <w:rFonts w:hint="eastAsia" w:ascii="宋体" w:hAnsi="宋体" w:cs="宋体"/>
          <w:color w:val="auto"/>
          <w:szCs w:val="21"/>
          <w:highlight w:val="none"/>
          <w:lang w:val="en-US" w:eastAsia="zh-CN"/>
        </w:rPr>
        <w:t>投标人须知前附表要求提交投标保证金的，</w:t>
      </w:r>
      <w:r>
        <w:rPr>
          <w:rFonts w:hint="eastAsia" w:ascii="宋体" w:hAnsi="宋体" w:eastAsia="宋体"/>
          <w:color w:val="auto"/>
          <w:sz w:val="21"/>
          <w:highlight w:val="none"/>
        </w:rPr>
        <w:t>招标人</w:t>
      </w:r>
      <w:r>
        <w:rPr>
          <w:rFonts w:hint="eastAsia" w:ascii="宋体" w:hAnsi="宋体" w:eastAsia="宋体"/>
          <w:color w:val="auto"/>
          <w:sz w:val="21"/>
          <w:highlight w:val="none"/>
          <w:lang w:val="en-US" w:eastAsia="zh-CN"/>
        </w:rPr>
        <w:t>最迟将在与中标人签订合同后</w:t>
      </w:r>
      <w:r>
        <w:rPr>
          <w:rFonts w:hint="eastAsia" w:ascii="宋体" w:hAnsi="宋体" w:eastAsia="宋体"/>
          <w:color w:val="auto"/>
          <w:sz w:val="21"/>
          <w:highlight w:val="none"/>
        </w:rPr>
        <w:t>5个工作日内，</w:t>
      </w:r>
      <w:r>
        <w:rPr>
          <w:rFonts w:hint="eastAsia" w:ascii="宋体" w:hAnsi="宋体" w:eastAsia="宋体"/>
          <w:color w:val="auto"/>
          <w:sz w:val="21"/>
          <w:highlight w:val="none"/>
          <w:lang w:val="en-US" w:eastAsia="zh-CN"/>
        </w:rPr>
        <w:t>向未中标的投标人和中标人退还投标保证金。投标保证金以</w:t>
      </w:r>
      <w:r>
        <w:rPr>
          <w:rFonts w:hint="eastAsia" w:ascii="宋体" w:hAnsi="宋体" w:eastAsia="宋体" w:cs="宋体"/>
          <w:color w:val="auto"/>
          <w:szCs w:val="21"/>
          <w:highlight w:val="none"/>
        </w:rPr>
        <w:t>银行电汇或者网上银行现金支付</w:t>
      </w:r>
      <w:r>
        <w:rPr>
          <w:rFonts w:hint="eastAsia" w:ascii="宋体" w:hAnsi="宋体" w:eastAsia="宋体"/>
          <w:color w:val="auto"/>
          <w:sz w:val="21"/>
          <w:highlight w:val="none"/>
          <w:lang w:val="en-US" w:eastAsia="zh-CN"/>
        </w:rPr>
        <w:t>形式</w:t>
      </w:r>
      <w:r>
        <w:rPr>
          <w:rFonts w:hint="eastAsia" w:ascii="宋体" w:hAnsi="宋体"/>
          <w:color w:val="auto"/>
          <w:sz w:val="21"/>
          <w:highlight w:val="none"/>
          <w:lang w:val="en-US" w:eastAsia="zh-CN"/>
        </w:rPr>
        <w:t>提交</w:t>
      </w:r>
      <w:r>
        <w:rPr>
          <w:rFonts w:hint="eastAsia" w:ascii="宋体" w:hAnsi="宋体" w:eastAsia="宋体"/>
          <w:color w:val="auto"/>
          <w:sz w:val="21"/>
          <w:highlight w:val="none"/>
          <w:lang w:val="en-US" w:eastAsia="zh-CN"/>
        </w:rPr>
        <w:t>的，还应退还银行同期存款利息。</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3.4.4 有下列情形之一的，投标保证金将不予退还：</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①投标人在投标有效期内撤销或修改其投标文件；</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②投标人违反《</w:t>
      </w:r>
      <w:r>
        <w:rPr>
          <w:rFonts w:hint="eastAsia" w:ascii="宋体" w:hAnsi="宋体" w:cs="宋体"/>
          <w:color w:val="auto"/>
          <w:szCs w:val="21"/>
          <w:highlight w:val="none"/>
          <w:lang w:val="en-US" w:eastAsia="zh-CN"/>
        </w:rPr>
        <w:t>诚信</w:t>
      </w:r>
      <w:r>
        <w:rPr>
          <w:rFonts w:hint="eastAsia" w:ascii="宋体" w:hAnsi="宋体" w:cs="宋体"/>
          <w:color w:val="auto"/>
          <w:szCs w:val="21"/>
          <w:highlight w:val="none"/>
        </w:rPr>
        <w:t>投标承诺书》；</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②中标人无正当理由不与招标人订立合同；</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③中标人在签订合同时向招标人提出附加条件；</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④中标人不按照招标文件要求提交履约保证金的；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⑤投标人有其他违法、违规行为的。</w:t>
      </w:r>
    </w:p>
    <w:p>
      <w:pPr>
        <w:pStyle w:val="6"/>
        <w:rPr>
          <w:rFonts w:ascii="宋体" w:hAnsi="宋体" w:cs="宋体"/>
          <w:color w:val="auto"/>
          <w:highlight w:val="none"/>
        </w:rPr>
      </w:pPr>
      <w:bookmarkStart w:id="289" w:name="_Toc6511"/>
      <w:bookmarkStart w:id="290" w:name="_Toc6867"/>
      <w:bookmarkStart w:id="291" w:name="_Toc508286092"/>
      <w:bookmarkStart w:id="292" w:name="_Toc2887"/>
      <w:bookmarkStart w:id="293" w:name="_Toc27529"/>
      <w:bookmarkStart w:id="294" w:name="_Toc389065167"/>
      <w:bookmarkStart w:id="295" w:name="_Toc27558"/>
      <w:bookmarkStart w:id="296" w:name="_Toc32595"/>
      <w:r>
        <w:rPr>
          <w:rFonts w:hint="eastAsia" w:ascii="宋体" w:hAnsi="宋体" w:cs="宋体"/>
          <w:color w:val="auto"/>
          <w:highlight w:val="none"/>
        </w:rPr>
        <w:t>3.5 备选投标方案</w:t>
      </w:r>
      <w:bookmarkEnd w:id="289"/>
      <w:bookmarkEnd w:id="290"/>
      <w:bookmarkEnd w:id="291"/>
      <w:bookmarkEnd w:id="292"/>
      <w:bookmarkEnd w:id="293"/>
      <w:bookmarkEnd w:id="294"/>
      <w:bookmarkEnd w:id="295"/>
      <w:bookmarkEnd w:id="296"/>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除“投标人须知前附表”另有规定外，投标人不得</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备选投标方案。允许投标人</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备选投标方案的，只有中标人所</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的备选投标方案方可予以考虑。评标委员会认为中标人的备选投标方案优于其按照招标文件要求编制的投标方案的，招标人可以接受该备选投标方案。</w:t>
      </w:r>
    </w:p>
    <w:p>
      <w:pPr>
        <w:pStyle w:val="6"/>
        <w:rPr>
          <w:rFonts w:hint="default" w:ascii="宋体" w:hAnsi="宋体" w:eastAsia="宋体" w:cs="宋体"/>
          <w:color w:val="auto"/>
          <w:highlight w:val="none"/>
          <w:lang w:val="en-US" w:eastAsia="zh-CN"/>
        </w:rPr>
      </w:pPr>
      <w:bookmarkStart w:id="297" w:name="_Toc25544"/>
      <w:bookmarkStart w:id="298" w:name="_Toc508286093"/>
      <w:bookmarkStart w:id="299" w:name="_Toc22015"/>
      <w:bookmarkStart w:id="300" w:name="_Toc22051"/>
      <w:bookmarkStart w:id="301" w:name="_Toc5904"/>
      <w:bookmarkStart w:id="302" w:name="_Toc12060"/>
      <w:bookmarkStart w:id="303" w:name="_Toc9152"/>
      <w:r>
        <w:rPr>
          <w:rFonts w:hint="eastAsia" w:ascii="宋体" w:hAnsi="宋体" w:cs="宋体"/>
          <w:color w:val="auto"/>
          <w:highlight w:val="none"/>
        </w:rPr>
        <w:t>3.6 资格审查资料</w:t>
      </w:r>
      <w:bookmarkEnd w:id="297"/>
      <w:bookmarkEnd w:id="298"/>
      <w:bookmarkEnd w:id="299"/>
      <w:bookmarkEnd w:id="300"/>
      <w:r>
        <w:rPr>
          <w:rFonts w:hint="eastAsia" w:ascii="宋体" w:hAnsi="宋体" w:cs="宋体"/>
          <w:color w:val="auto"/>
          <w:highlight w:val="none"/>
        </w:rPr>
        <w:t>及项目管理机构加分资料</w:t>
      </w:r>
      <w:r>
        <w:rPr>
          <w:rFonts w:hint="eastAsia" w:ascii="宋体" w:hAnsi="宋体" w:cs="宋体"/>
          <w:color w:val="auto"/>
          <w:highlight w:val="none"/>
          <w:lang w:val="en-US" w:eastAsia="zh-CN"/>
        </w:rPr>
        <w:t>、工程业绩加分资料</w:t>
      </w:r>
      <w:bookmarkEnd w:id="301"/>
      <w:bookmarkEnd w:id="302"/>
      <w:bookmarkEnd w:id="303"/>
    </w:p>
    <w:p>
      <w:pPr>
        <w:spacing w:line="360" w:lineRule="auto"/>
        <w:ind w:left="-15" w:right="103" w:firstLine="420"/>
        <w:rPr>
          <w:rFonts w:ascii="宋体" w:hAnsi="宋体" w:cs="宋体"/>
          <w:color w:val="auto"/>
          <w:szCs w:val="21"/>
          <w:highlight w:val="none"/>
        </w:rPr>
      </w:pPr>
      <w:r>
        <w:rPr>
          <w:rFonts w:ascii="宋体" w:hAnsi="宋体" w:cs="宋体"/>
          <w:color w:val="auto"/>
          <w:szCs w:val="21"/>
          <w:highlight w:val="none"/>
        </w:rPr>
        <w:t>除投标人须知前附表另有规定外，投标人应按下列规定提供资格审查资料，以证明其满足本章第1.4</w:t>
      </w:r>
      <w:r>
        <w:rPr>
          <w:rFonts w:hint="eastAsia" w:ascii="宋体" w:hAnsi="宋体" w:cs="宋体"/>
          <w:color w:val="auto"/>
          <w:szCs w:val="21"/>
          <w:highlight w:val="none"/>
        </w:rPr>
        <w:t>.1</w:t>
      </w:r>
      <w:r>
        <w:rPr>
          <w:rFonts w:ascii="宋体" w:hAnsi="宋体" w:cs="宋体"/>
          <w:color w:val="auto"/>
          <w:szCs w:val="21"/>
          <w:highlight w:val="none"/>
        </w:rPr>
        <w:t xml:space="preserve"> 款规定</w:t>
      </w:r>
      <w:r>
        <w:rPr>
          <w:rFonts w:hint="eastAsia" w:ascii="宋体" w:hAnsi="宋体" w:cs="宋体"/>
          <w:color w:val="auto"/>
          <w:szCs w:val="21"/>
          <w:highlight w:val="none"/>
        </w:rPr>
        <w:t>的</w:t>
      </w:r>
      <w:r>
        <w:rPr>
          <w:rFonts w:ascii="宋体" w:hAnsi="宋体" w:cs="宋体"/>
          <w:color w:val="auto"/>
          <w:szCs w:val="21"/>
          <w:highlight w:val="none"/>
        </w:rPr>
        <w:t>资质、</w:t>
      </w:r>
      <w:r>
        <w:rPr>
          <w:rFonts w:hint="eastAsia" w:ascii="宋体" w:hAnsi="宋体" w:cs="宋体"/>
          <w:color w:val="auto"/>
          <w:szCs w:val="21"/>
          <w:highlight w:val="none"/>
        </w:rPr>
        <w:t>财务、</w:t>
      </w:r>
      <w:r>
        <w:rPr>
          <w:rFonts w:ascii="宋体" w:hAnsi="宋体" w:cs="宋体"/>
          <w:color w:val="auto"/>
          <w:szCs w:val="21"/>
          <w:highlight w:val="none"/>
        </w:rPr>
        <w:t>业绩、信誉</w:t>
      </w:r>
      <w:r>
        <w:rPr>
          <w:rFonts w:hint="eastAsia" w:ascii="宋体" w:hAnsi="宋体" w:cs="宋体"/>
          <w:color w:val="auto"/>
          <w:szCs w:val="21"/>
          <w:highlight w:val="none"/>
        </w:rPr>
        <w:t>、工程总承包项目经理、施工项目负责人、设计负责人</w:t>
      </w:r>
      <w:r>
        <w:rPr>
          <w:rFonts w:ascii="宋体" w:hAnsi="宋体" w:cs="宋体"/>
          <w:color w:val="auto"/>
          <w:szCs w:val="21"/>
          <w:highlight w:val="none"/>
        </w:rPr>
        <w:t>等要求。</w:t>
      </w:r>
      <w:r>
        <w:rPr>
          <w:rFonts w:hint="eastAsia" w:ascii="宋体" w:hAnsi="宋体" w:cs="宋体"/>
          <w:color w:val="auto"/>
          <w:highlight w:val="none"/>
        </w:rPr>
        <w:t>项目管理机构加分资料</w:t>
      </w:r>
      <w:r>
        <w:rPr>
          <w:rFonts w:hint="eastAsia" w:ascii="宋体" w:hAnsi="宋体" w:cs="宋体"/>
          <w:color w:val="auto"/>
          <w:highlight w:val="none"/>
          <w:lang w:val="en-US" w:eastAsia="zh-CN"/>
        </w:rPr>
        <w:t>和工程业绩加分资料</w:t>
      </w:r>
      <w:r>
        <w:rPr>
          <w:rFonts w:hint="eastAsia" w:ascii="宋体" w:hAnsi="宋体" w:cs="宋体"/>
          <w:color w:val="auto"/>
          <w:szCs w:val="21"/>
          <w:highlight w:val="none"/>
        </w:rPr>
        <w:t>按招标文件相关约定提供。</w:t>
      </w:r>
    </w:p>
    <w:p>
      <w:pPr>
        <w:spacing w:line="332"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3.6.1 “投标人基本情况表”应附投标人营业执照副本、资质证书副本、安全生产许可证、企业基本存款账户开户许可证（或基本存款账户证明材料）等电子扫描件。</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3.6.2 “近年财务状况表”应附经会计师事务所或审计机构审计的财务会计报表，包括资产负债表、现金流量表、利润表和财务情况说明书等电子扫描件，具体要求见投标人须知前附表。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3.6.3 “</w:t>
      </w:r>
      <w:r>
        <w:rPr>
          <w:rFonts w:hint="eastAsia"/>
          <w:color w:val="auto"/>
          <w:highlight w:val="none"/>
        </w:rPr>
        <w:t>投标人类似工程业绩一览表</w:t>
      </w:r>
      <w:r>
        <w:rPr>
          <w:rFonts w:hint="eastAsia"/>
          <w:color w:val="auto"/>
          <w:kern w:val="0"/>
          <w:highlight w:val="none"/>
        </w:rPr>
        <w:t>（含工程总承包项目经理类似工程业绩）</w:t>
      </w:r>
      <w:r>
        <w:rPr>
          <w:rFonts w:hint="eastAsia" w:ascii="宋体" w:hAnsi="宋体" w:cs="宋体"/>
          <w:color w:val="auto"/>
          <w:szCs w:val="21"/>
          <w:highlight w:val="none"/>
        </w:rPr>
        <w:t>”</w:t>
      </w:r>
      <w:r>
        <w:rPr>
          <w:rFonts w:hint="eastAsia"/>
          <w:color w:val="auto"/>
          <w:highlight w:val="none"/>
        </w:rPr>
        <w:t>应按投标人须知前附表 10.5项要求附业绩证明材料的电子扫描件；“其它辅助证明材料（如有）”电子扫描件附在“其他资料”中。</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3.6.4 “正在实施和新承接的项目情况表”应附中标通知书和（或）合同协议书电子扫描件。每张表格只填写一个项目，并标明序号。</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3.6.5 “近年发生的重大诉讼及仲裁情况”应说明相关情况，并附法院或仲裁机构作出的判决、裁决等有关法律文书电子扫描件，具体年份要求见投标人须知前附表。</w:t>
      </w:r>
    </w:p>
    <w:p>
      <w:pPr>
        <w:spacing w:line="360" w:lineRule="auto"/>
        <w:ind w:firstLine="420" w:firstLineChars="200"/>
        <w:rPr>
          <w:rFonts w:hint="eastAsia"/>
          <w:color w:val="auto"/>
          <w:highlight w:val="none"/>
        </w:rPr>
      </w:pPr>
      <w:r>
        <w:rPr>
          <w:rFonts w:hint="eastAsia" w:ascii="宋体" w:hAnsi="宋体" w:cs="宋体"/>
          <w:color w:val="auto"/>
          <w:szCs w:val="21"/>
          <w:highlight w:val="none"/>
        </w:rPr>
        <w:t>3.6.</w:t>
      </w:r>
      <w:r>
        <w:rPr>
          <w:rFonts w:hint="eastAsia" w:ascii="宋体" w:hAnsi="宋体" w:cs="宋体"/>
          <w:color w:val="auto"/>
          <w:szCs w:val="21"/>
          <w:highlight w:val="none"/>
          <w:lang w:val="en-US" w:eastAsia="zh-CN"/>
        </w:rPr>
        <w:t>6</w:t>
      </w:r>
      <w:r>
        <w:rPr>
          <w:rFonts w:hint="eastAsia"/>
          <w:color w:val="auto"/>
          <w:highlight w:val="none"/>
        </w:rPr>
        <w:t>“工程总承包项目经理及主要项目管理人员简历表” 应按招标公告、投标人须知前附表3.1.1项要求附对应人员相关证书电子扫描件；养老保险缴费证明”电子扫描件附在“其他资料”中。用于</w:t>
      </w:r>
      <w:r>
        <w:rPr>
          <w:rFonts w:hint="eastAsia"/>
          <w:color w:val="auto"/>
          <w:szCs w:val="21"/>
          <w:highlight w:val="none"/>
        </w:rPr>
        <w:t>项目管理机构加分的</w:t>
      </w:r>
      <w:r>
        <w:rPr>
          <w:rFonts w:hint="eastAsia"/>
          <w:color w:val="auto"/>
          <w:highlight w:val="none"/>
        </w:rPr>
        <w:t>相关证书电子扫描件可附在“其他资料”中。</w:t>
      </w:r>
    </w:p>
    <w:p>
      <w:pPr>
        <w:pStyle w:val="2"/>
        <w:rPr>
          <w:color w:val="auto"/>
          <w:highlight w:val="none"/>
        </w:rPr>
      </w:pPr>
      <w:r>
        <w:rPr>
          <w:rFonts w:hint="eastAsia" w:ascii="宋体" w:hAnsi="宋体" w:cs="宋体"/>
          <w:color w:val="auto"/>
          <w:szCs w:val="21"/>
          <w:highlight w:val="none"/>
        </w:rPr>
        <w:t>3.6.</w:t>
      </w:r>
      <w:r>
        <w:rPr>
          <w:rFonts w:hint="eastAsia" w:ascii="宋体" w:hAnsi="宋体" w:cs="宋体"/>
          <w:color w:val="auto"/>
          <w:szCs w:val="21"/>
          <w:highlight w:val="none"/>
          <w:lang w:val="en-US" w:eastAsia="zh-CN"/>
        </w:rPr>
        <w:t>7</w:t>
      </w:r>
      <w:r>
        <w:rPr>
          <w:rFonts w:hint="eastAsia"/>
          <w:color w:val="auto"/>
          <w:highlight w:val="none"/>
        </w:rPr>
        <w:t>除投标人须知前附表3.1.1项规定需从诚信库中获取的材料外（用于项目管理机构加分的相关证书电子扫描件可不从诚信库中获取），用于资格审查和项目管理机构加分的其他资料（电子扫描件）附在“其他资料”中。</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3.6.6 投标人须知前附表规定接受联合体投标的，本章第3.6.1项至第3.6.</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rPr>
        <w:t>项规定的表格和资料应包括联合体各方相关情况。</w:t>
      </w:r>
    </w:p>
    <w:p>
      <w:pPr>
        <w:pStyle w:val="6"/>
        <w:rPr>
          <w:rFonts w:ascii="宋体" w:hAnsi="宋体" w:cs="宋体"/>
          <w:color w:val="auto"/>
          <w:highlight w:val="none"/>
        </w:rPr>
      </w:pPr>
      <w:bookmarkStart w:id="304" w:name="_Toc25467"/>
      <w:bookmarkStart w:id="305" w:name="_Toc18306"/>
      <w:bookmarkStart w:id="306" w:name="_Toc26332"/>
      <w:bookmarkStart w:id="307" w:name="_Toc10827"/>
      <w:bookmarkStart w:id="308" w:name="_Toc29759"/>
      <w:bookmarkStart w:id="309" w:name="_Toc389065168"/>
      <w:bookmarkStart w:id="310" w:name="_Toc11894"/>
      <w:bookmarkStart w:id="311" w:name="_Toc508286094"/>
      <w:r>
        <w:rPr>
          <w:rFonts w:hint="eastAsia" w:ascii="宋体" w:hAnsi="宋体" w:cs="宋体"/>
          <w:color w:val="auto"/>
          <w:highlight w:val="none"/>
        </w:rPr>
        <w:t>3.7 投标文件的编制</w:t>
      </w:r>
      <w:bookmarkEnd w:id="304"/>
      <w:bookmarkEnd w:id="305"/>
      <w:bookmarkEnd w:id="306"/>
      <w:bookmarkEnd w:id="307"/>
      <w:bookmarkEnd w:id="308"/>
      <w:bookmarkEnd w:id="309"/>
      <w:bookmarkEnd w:id="310"/>
      <w:bookmarkEnd w:id="311"/>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3.7.1 投标文件应按第八章“投标文件格式”进行编写，如有必要可自行增加，作为投标文件的组成部分。其中，投标函附录在满足招标文件实质性要求的基础上，可以提出比招标文件要求更有利于招标人的承诺。</w:t>
      </w:r>
    </w:p>
    <w:p>
      <w:pPr>
        <w:spacing w:line="332"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3.7.2  电子投标文件应使用“电子交易平台”可接受的投标文件制作软件按照招标文件要求进行编制和加密，并在投标截止时间前上传至 “电子交易平台”中。</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3.7.3 投标文件中涉及从企业诚信库中获取的材料见本章第3.1.1项</w:t>
      </w:r>
      <w:r>
        <w:rPr>
          <w:rFonts w:hint="eastAsia"/>
          <w:color w:val="auto"/>
          <w:highlight w:val="none"/>
        </w:rPr>
        <w:t>（用于项目管理机构加分的相关证书电子扫描件可不从诚信库中获取）</w:t>
      </w:r>
      <w:r>
        <w:rPr>
          <w:rFonts w:hint="eastAsia" w:ascii="宋体" w:hAnsi="宋体" w:cs="宋体"/>
          <w:color w:val="auto"/>
          <w:szCs w:val="21"/>
          <w:highlight w:val="none"/>
        </w:rPr>
        <w:t>，投标人应在相应章节中建立相应链接（点击后可自动进入企业诚信库查看相应原件的电子扫描件，并作为投标文件组成部分）。对已在投标文件中链接的企业诚信库材料进行更新的，投标文件须重新链接获取相应信息。</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投标人有义务核查投标文件中相应链接，以及从企业诚信库中获取扫描件的有效性和真实性，如存在扫描件无效、不清晰、不完整或链接无效等情形的，投标人应及时更新企业诚信库相关材料，并重新链接获取相应信息。</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未按本项要求从企业诚信库中获取的材料，在评标时该材料不予认可。</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3.7.4投标文件应当对招标文件有关工期、投标有效期、质量要求、技术标准和要求、招标范围等实质性内容作出响应。</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3.7.5技术标暗标要求见投标人须知前附表。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3.7.6补充内容：投标文件编制的其它要求详见投标人须知前附表。</w:t>
      </w:r>
    </w:p>
    <w:p>
      <w:pPr>
        <w:pStyle w:val="5"/>
        <w:spacing w:line="360" w:lineRule="auto"/>
        <w:rPr>
          <w:rFonts w:ascii="宋体" w:hAnsi="宋体" w:cs="宋体"/>
          <w:color w:val="auto"/>
          <w:highlight w:val="none"/>
        </w:rPr>
      </w:pPr>
      <w:bookmarkStart w:id="312" w:name="_Toc389065169"/>
      <w:bookmarkStart w:id="313" w:name="_Toc27678"/>
      <w:bookmarkStart w:id="314" w:name="_Toc26308"/>
      <w:bookmarkStart w:id="315" w:name="_Toc508286095"/>
      <w:bookmarkStart w:id="316" w:name="_Toc32248"/>
      <w:bookmarkStart w:id="317" w:name="_Toc28359"/>
      <w:bookmarkStart w:id="318" w:name="_Toc21646"/>
      <w:bookmarkStart w:id="319" w:name="_Toc3923"/>
      <w:r>
        <w:rPr>
          <w:rFonts w:hint="eastAsia" w:ascii="宋体" w:hAnsi="宋体" w:cs="宋体"/>
          <w:color w:val="auto"/>
          <w:highlight w:val="none"/>
        </w:rPr>
        <w:t>4 投标</w:t>
      </w:r>
      <w:bookmarkEnd w:id="312"/>
      <w:bookmarkEnd w:id="313"/>
      <w:bookmarkEnd w:id="314"/>
      <w:bookmarkEnd w:id="315"/>
      <w:bookmarkEnd w:id="316"/>
      <w:bookmarkEnd w:id="317"/>
      <w:bookmarkEnd w:id="318"/>
      <w:bookmarkEnd w:id="319"/>
    </w:p>
    <w:p>
      <w:pPr>
        <w:pStyle w:val="6"/>
        <w:rPr>
          <w:rFonts w:hint="default" w:ascii="宋体" w:hAnsi="宋体" w:eastAsia="宋体" w:cs="宋体"/>
          <w:color w:val="auto"/>
          <w:highlight w:val="none"/>
          <w:lang w:val="en-US" w:eastAsia="zh-CN"/>
        </w:rPr>
      </w:pPr>
      <w:bookmarkStart w:id="320" w:name="_Toc13528"/>
      <w:bookmarkStart w:id="321" w:name="_Toc8309"/>
      <w:bookmarkStart w:id="322" w:name="_Toc508286096"/>
      <w:bookmarkStart w:id="323" w:name="_Toc389065170"/>
      <w:bookmarkStart w:id="324" w:name="_Toc15472"/>
      <w:bookmarkStart w:id="325" w:name="_Toc29000"/>
      <w:bookmarkStart w:id="326" w:name="_Toc4433"/>
      <w:bookmarkStart w:id="327" w:name="_Toc30579"/>
      <w:r>
        <w:rPr>
          <w:rFonts w:hint="eastAsia" w:ascii="宋体" w:hAnsi="宋体" w:cs="宋体"/>
          <w:color w:val="auto"/>
          <w:highlight w:val="none"/>
        </w:rPr>
        <w:t xml:space="preserve">4.1 </w:t>
      </w:r>
      <w:r>
        <w:rPr>
          <w:rFonts w:hint="eastAsia" w:ascii="宋体" w:hAnsi="宋体" w:cs="宋体"/>
          <w:color w:val="auto"/>
          <w:szCs w:val="24"/>
          <w:highlight w:val="none"/>
        </w:rPr>
        <w:t>投标文件</w:t>
      </w:r>
      <w:bookmarkEnd w:id="320"/>
      <w:bookmarkEnd w:id="321"/>
      <w:bookmarkEnd w:id="322"/>
      <w:bookmarkEnd w:id="323"/>
      <w:bookmarkEnd w:id="324"/>
      <w:r>
        <w:rPr>
          <w:rFonts w:hint="eastAsia" w:ascii="宋体" w:hAnsi="宋体" w:cs="宋体"/>
          <w:color w:val="auto"/>
          <w:szCs w:val="24"/>
          <w:highlight w:val="none"/>
          <w:lang w:val="en-US" w:eastAsia="zh-CN"/>
        </w:rPr>
        <w:t>的加密</w:t>
      </w:r>
      <w:bookmarkEnd w:id="325"/>
      <w:bookmarkEnd w:id="326"/>
      <w:bookmarkEnd w:id="327"/>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4.1.1</w:t>
      </w:r>
      <w:r>
        <w:rPr>
          <w:rFonts w:hint="eastAsia" w:ascii="宋体" w:hAnsi="宋体"/>
          <w:color w:val="auto"/>
          <w:highlight w:val="none"/>
        </w:rPr>
        <w:t>投标文件应使用</w:t>
      </w:r>
      <w:r>
        <w:rPr>
          <w:rFonts w:ascii="宋体" w:hAnsi="宋体"/>
          <w:color w:val="auto"/>
          <w:highlight w:val="none"/>
        </w:rPr>
        <w:t>CA</w:t>
      </w:r>
      <w:r>
        <w:rPr>
          <w:rFonts w:hint="eastAsia" w:ascii="宋体" w:hAnsi="宋体"/>
          <w:color w:val="auto"/>
          <w:highlight w:val="none"/>
        </w:rPr>
        <w:t>证书认证并加密</w:t>
      </w:r>
      <w:r>
        <w:rPr>
          <w:rFonts w:ascii="宋体"/>
          <w:color w:val="auto"/>
          <w:highlight w:val="none"/>
        </w:rPr>
        <w:t>,</w:t>
      </w:r>
      <w:r>
        <w:rPr>
          <w:rFonts w:hint="eastAsia" w:ascii="宋体" w:hAnsi="宋体"/>
          <w:color w:val="auto"/>
          <w:highlight w:val="none"/>
        </w:rPr>
        <w:t>否则</w:t>
      </w:r>
      <w:r>
        <w:rPr>
          <w:rFonts w:ascii="宋体"/>
          <w:color w:val="auto"/>
          <w:highlight w:val="none"/>
        </w:rPr>
        <w:t>,</w:t>
      </w:r>
      <w:r>
        <w:rPr>
          <w:rFonts w:hint="eastAsia" w:ascii="宋体" w:hAnsi="宋体"/>
          <w:color w:val="auto"/>
          <w:highlight w:val="none"/>
        </w:rPr>
        <w:t>招标人不予受理。</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4.1.2</w:t>
      </w:r>
      <w:r>
        <w:rPr>
          <w:rFonts w:hint="eastAsia" w:ascii="宋体" w:hAnsi="宋体"/>
          <w:color w:val="auto"/>
          <w:highlight w:val="none"/>
        </w:rPr>
        <w:t>投标文件的加密详见</w:t>
      </w:r>
      <w:r>
        <w:rPr>
          <w:color w:val="auto"/>
          <w:highlight w:val="none"/>
        </w:rPr>
        <w:fldChar w:fldCharType="begin"/>
      </w:r>
      <w:r>
        <w:rPr>
          <w:color w:val="auto"/>
          <w:highlight w:val="none"/>
        </w:rPr>
        <w:instrText xml:space="preserve">HYPERLINK "file:///H:\\泰州招标文件范本\\泰州市房屋建筑和市政工程施工2016.4.docx" \l "_3.7_投标文件的编制（适用于纸质招标文件）"</w:instrText>
      </w:r>
      <w:r>
        <w:rPr>
          <w:color w:val="auto"/>
          <w:highlight w:val="none"/>
        </w:rPr>
        <w:fldChar w:fldCharType="separate"/>
      </w:r>
      <w:r>
        <w:rPr>
          <w:rStyle w:val="51"/>
          <w:rFonts w:hint="eastAsia" w:ascii="宋体" w:hAnsi="宋体"/>
          <w:color w:val="auto"/>
          <w:highlight w:val="none"/>
        </w:rPr>
        <w:t>本章第</w:t>
      </w:r>
      <w:r>
        <w:rPr>
          <w:rStyle w:val="51"/>
          <w:rFonts w:ascii="宋体" w:hAnsi="宋体"/>
          <w:color w:val="auto"/>
          <w:highlight w:val="none"/>
        </w:rPr>
        <w:t>3.</w:t>
      </w:r>
      <w:r>
        <w:rPr>
          <w:rStyle w:val="51"/>
          <w:rFonts w:hint="eastAsia" w:ascii="宋体" w:hAnsi="宋体"/>
          <w:color w:val="auto"/>
          <w:highlight w:val="none"/>
        </w:rPr>
        <w:t>7.6项</w:t>
      </w:r>
      <w:r>
        <w:rPr>
          <w:color w:val="auto"/>
          <w:highlight w:val="none"/>
        </w:rPr>
        <w:fldChar w:fldCharType="end"/>
      </w:r>
      <w:r>
        <w:rPr>
          <w:rFonts w:hint="eastAsia" w:ascii="宋体" w:hAnsi="宋体"/>
          <w:color w:val="auto"/>
          <w:highlight w:val="none"/>
        </w:rPr>
        <w:t>。</w:t>
      </w:r>
    </w:p>
    <w:p>
      <w:pPr>
        <w:pStyle w:val="6"/>
        <w:rPr>
          <w:rFonts w:hint="eastAsia" w:ascii="宋体" w:hAnsi="宋体" w:eastAsia="宋体" w:cs="宋体"/>
          <w:color w:val="auto"/>
          <w:highlight w:val="none"/>
          <w:lang w:eastAsia="zh-CN"/>
        </w:rPr>
      </w:pPr>
      <w:bookmarkStart w:id="328" w:name="_Toc2647"/>
      <w:bookmarkStart w:id="329" w:name="_Toc11919"/>
      <w:bookmarkStart w:id="330" w:name="_Toc508286097"/>
      <w:bookmarkStart w:id="331" w:name="_Toc389065171"/>
      <w:bookmarkStart w:id="332" w:name="_Toc29030"/>
      <w:bookmarkStart w:id="333" w:name="_Toc5818"/>
      <w:bookmarkStart w:id="334" w:name="_Toc12553"/>
      <w:bookmarkStart w:id="335" w:name="_Toc2562"/>
      <w:r>
        <w:rPr>
          <w:rFonts w:hint="eastAsia" w:ascii="宋体" w:hAnsi="宋体" w:cs="宋体"/>
          <w:color w:val="auto"/>
          <w:highlight w:val="none"/>
        </w:rPr>
        <w:t>4.2 投标文件的</w:t>
      </w:r>
      <w:bookmarkEnd w:id="328"/>
      <w:bookmarkEnd w:id="329"/>
      <w:bookmarkEnd w:id="330"/>
      <w:bookmarkEnd w:id="331"/>
      <w:bookmarkEnd w:id="332"/>
      <w:bookmarkEnd w:id="333"/>
      <w:r>
        <w:rPr>
          <w:rFonts w:hint="eastAsia" w:ascii="宋体" w:hAnsi="宋体" w:cs="宋体"/>
          <w:color w:val="auto"/>
          <w:highlight w:val="none"/>
          <w:lang w:eastAsia="zh-CN"/>
        </w:rPr>
        <w:t>提交</w:t>
      </w:r>
      <w:bookmarkEnd w:id="334"/>
      <w:bookmarkEnd w:id="335"/>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4.2.1投标人应在投标人须知前附表规定的投标截止时间前，向</w:t>
      </w:r>
      <w:r>
        <w:rPr>
          <w:rFonts w:hint="eastAsia"/>
          <w:color w:val="auto"/>
          <w:szCs w:val="21"/>
          <w:highlight w:val="none"/>
        </w:rPr>
        <w:t>“</w:t>
      </w:r>
      <w:r>
        <w:rPr>
          <w:rFonts w:hint="eastAsia" w:ascii="宋体" w:hAnsi="宋体" w:cs="宋体"/>
          <w:color w:val="auto"/>
          <w:szCs w:val="21"/>
          <w:highlight w:val="none"/>
        </w:rPr>
        <w:t>电子交易平台</w:t>
      </w:r>
      <w:r>
        <w:rPr>
          <w:rFonts w:hint="eastAsia"/>
          <w:color w:val="auto"/>
          <w:szCs w:val="21"/>
          <w:highlight w:val="none"/>
        </w:rPr>
        <w:t>”</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加密后的电子投标文件</w:t>
      </w:r>
      <w:r>
        <w:rPr>
          <w:rFonts w:hint="eastAsia" w:ascii="宋体" w:hAnsi="宋体"/>
          <w:color w:val="auto"/>
          <w:highlight w:val="none"/>
        </w:rPr>
        <w:t>；未在投标截止时间前完成上传或送达的投标文件视为逾期送达</w:t>
      </w:r>
      <w:r>
        <w:rPr>
          <w:rFonts w:hint="eastAsia" w:ascii="宋体" w:hAnsi="宋体" w:cs="宋体"/>
          <w:color w:val="auto"/>
          <w:szCs w:val="21"/>
          <w:highlight w:val="none"/>
        </w:rPr>
        <w:t>，招标人不予受理。</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4.2.2逾期上传投标文件的，招标人不予受理。</w:t>
      </w:r>
    </w:p>
    <w:p>
      <w:pPr>
        <w:spacing w:line="360" w:lineRule="auto"/>
        <w:ind w:firstLine="420" w:firstLineChars="200"/>
        <w:rPr>
          <w:color w:val="auto"/>
          <w:szCs w:val="21"/>
          <w:highlight w:val="none"/>
        </w:rPr>
      </w:pPr>
      <w:r>
        <w:rPr>
          <w:rFonts w:hint="eastAsia" w:ascii="宋体" w:hAnsi="宋体" w:cs="宋体"/>
          <w:color w:val="auto"/>
          <w:szCs w:val="21"/>
          <w:highlight w:val="none"/>
        </w:rPr>
        <w:t>4.2.</w:t>
      </w:r>
      <w:r>
        <w:rPr>
          <w:rFonts w:ascii="宋体" w:hAnsi="宋体" w:cs="宋体"/>
          <w:color w:val="auto"/>
          <w:szCs w:val="21"/>
          <w:highlight w:val="none"/>
        </w:rPr>
        <w:t>3</w:t>
      </w:r>
      <w:r>
        <w:rPr>
          <w:rFonts w:hint="eastAsia" w:ascii="宋体" w:hAnsi="宋体" w:cs="宋体"/>
          <w:color w:val="auto"/>
          <w:szCs w:val="21"/>
          <w:highlight w:val="none"/>
        </w:rPr>
        <w:t>投标文件上传系统和</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地点：见投标人须知前附表。</w:t>
      </w:r>
    </w:p>
    <w:p>
      <w:pPr>
        <w:spacing w:line="360" w:lineRule="auto"/>
        <w:ind w:firstLine="420" w:firstLineChars="200"/>
        <w:rPr>
          <w:color w:val="auto"/>
          <w:szCs w:val="21"/>
          <w:highlight w:val="none"/>
        </w:rPr>
      </w:pPr>
      <w:r>
        <w:rPr>
          <w:rFonts w:ascii="宋体" w:hAnsi="宋体" w:cs="宋体"/>
          <w:color w:val="auto"/>
          <w:szCs w:val="21"/>
          <w:highlight w:val="none"/>
        </w:rPr>
        <w:t>4.2.4</w:t>
      </w:r>
      <w:r>
        <w:rPr>
          <w:rFonts w:hint="eastAsia" w:ascii="宋体" w:hAnsi="宋体" w:cs="宋体"/>
          <w:color w:val="auto"/>
          <w:szCs w:val="21"/>
          <w:highlight w:val="none"/>
        </w:rPr>
        <w:t>通过</w:t>
      </w:r>
      <w:r>
        <w:rPr>
          <w:rFonts w:hint="eastAsia"/>
          <w:color w:val="auto"/>
          <w:szCs w:val="21"/>
          <w:highlight w:val="none"/>
        </w:rPr>
        <w:t>“</w:t>
      </w:r>
      <w:r>
        <w:rPr>
          <w:rFonts w:hint="eastAsia" w:ascii="宋体" w:hAnsi="宋体" w:cs="宋体"/>
          <w:color w:val="auto"/>
          <w:szCs w:val="21"/>
          <w:highlight w:val="none"/>
        </w:rPr>
        <w:t>电子交易平台</w:t>
      </w:r>
      <w:r>
        <w:rPr>
          <w:rFonts w:hint="eastAsia"/>
          <w:color w:val="auto"/>
          <w:szCs w:val="21"/>
          <w:highlight w:val="none"/>
        </w:rPr>
        <w:t>”</w:t>
      </w:r>
      <w:r>
        <w:rPr>
          <w:rFonts w:hint="eastAsia" w:ascii="宋体" w:hAnsi="宋体" w:cs="宋体"/>
          <w:color w:val="auto"/>
          <w:szCs w:val="21"/>
          <w:highlight w:val="none"/>
        </w:rPr>
        <w:t>中上传的电子投标文件应使用数字证书认证并加密，未按要求加密和数字证书认证的投标文件，招标人不予受理。</w:t>
      </w:r>
    </w:p>
    <w:p>
      <w:pPr>
        <w:pStyle w:val="6"/>
        <w:rPr>
          <w:rFonts w:ascii="宋体" w:hAnsi="宋体" w:cs="宋体"/>
          <w:color w:val="auto"/>
          <w:highlight w:val="none"/>
        </w:rPr>
      </w:pPr>
      <w:bookmarkStart w:id="336" w:name="_Toc12471"/>
      <w:bookmarkStart w:id="337" w:name="_Toc31025"/>
      <w:bookmarkStart w:id="338" w:name="_Toc389065172"/>
      <w:bookmarkStart w:id="339" w:name="_Toc8474"/>
      <w:bookmarkStart w:id="340" w:name="_Toc1312"/>
      <w:bookmarkStart w:id="341" w:name="_Toc4487"/>
      <w:bookmarkStart w:id="342" w:name="_Toc16463"/>
      <w:bookmarkStart w:id="343" w:name="_Toc508286098"/>
      <w:r>
        <w:rPr>
          <w:rFonts w:hint="eastAsia" w:ascii="宋体" w:hAnsi="宋体" w:cs="宋体"/>
          <w:color w:val="auto"/>
          <w:highlight w:val="none"/>
        </w:rPr>
        <w:t>4.3 投标文件的修改与撤回</w:t>
      </w:r>
      <w:bookmarkEnd w:id="336"/>
      <w:bookmarkEnd w:id="337"/>
      <w:bookmarkEnd w:id="338"/>
      <w:bookmarkEnd w:id="339"/>
      <w:bookmarkEnd w:id="340"/>
      <w:bookmarkEnd w:id="341"/>
      <w:bookmarkEnd w:id="342"/>
      <w:bookmarkEnd w:id="343"/>
    </w:p>
    <w:p>
      <w:pPr>
        <w:spacing w:line="360" w:lineRule="auto"/>
        <w:ind w:firstLine="420" w:firstLineChars="200"/>
        <w:rPr>
          <w:rFonts w:ascii="宋体" w:hAnsi="宋体" w:cs="宋体"/>
          <w:color w:val="auto"/>
          <w:highlight w:val="none"/>
        </w:rPr>
      </w:pPr>
      <w:r>
        <w:rPr>
          <w:rFonts w:hint="eastAsia" w:ascii="宋体" w:hAnsi="宋体" w:cs="宋体"/>
          <w:color w:val="auto"/>
          <w:szCs w:val="21"/>
          <w:highlight w:val="none"/>
        </w:rPr>
        <w:t>在本章第4.2.1项规定的投标截止时间前，投标人可以修改或撤回已</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的投标文件。</w:t>
      </w:r>
      <w:r>
        <w:rPr>
          <w:rFonts w:hint="eastAsia" w:ascii="宋体" w:hAnsi="宋体"/>
          <w:color w:val="auto"/>
          <w:highlight w:val="none"/>
        </w:rPr>
        <w:t>最终投标文件以投标截止时间前上传至</w:t>
      </w:r>
      <w:r>
        <w:rPr>
          <w:rFonts w:hint="eastAsia"/>
          <w:color w:val="auto"/>
          <w:szCs w:val="21"/>
          <w:highlight w:val="none"/>
        </w:rPr>
        <w:t>“</w:t>
      </w:r>
      <w:r>
        <w:rPr>
          <w:rFonts w:hint="eastAsia" w:ascii="宋体" w:hAnsi="宋体" w:cs="宋体"/>
          <w:color w:val="auto"/>
          <w:szCs w:val="21"/>
          <w:highlight w:val="none"/>
        </w:rPr>
        <w:t>电子交易平台</w:t>
      </w:r>
      <w:r>
        <w:rPr>
          <w:rFonts w:hint="eastAsia"/>
          <w:color w:val="auto"/>
          <w:szCs w:val="21"/>
          <w:highlight w:val="none"/>
        </w:rPr>
        <w:t>”</w:t>
      </w:r>
      <w:r>
        <w:rPr>
          <w:rFonts w:hint="eastAsia" w:ascii="宋体" w:hAnsi="宋体"/>
          <w:color w:val="auto"/>
          <w:highlight w:val="none"/>
        </w:rPr>
        <w:t>的最后一份投标文件为准。</w:t>
      </w:r>
    </w:p>
    <w:p>
      <w:pPr>
        <w:pStyle w:val="5"/>
        <w:spacing w:line="360" w:lineRule="auto"/>
        <w:rPr>
          <w:rFonts w:ascii="宋体" w:hAnsi="宋体" w:cs="宋体"/>
          <w:color w:val="auto"/>
          <w:highlight w:val="none"/>
        </w:rPr>
      </w:pPr>
      <w:bookmarkStart w:id="344" w:name="_Toc23689"/>
      <w:bookmarkStart w:id="345" w:name="_Toc27232"/>
      <w:bookmarkStart w:id="346" w:name="_Toc389065173"/>
      <w:bookmarkStart w:id="347" w:name="_Toc2527"/>
      <w:bookmarkStart w:id="348" w:name="_Toc18390"/>
      <w:bookmarkStart w:id="349" w:name="_Toc508286099"/>
      <w:bookmarkStart w:id="350" w:name="_Toc20007"/>
      <w:bookmarkStart w:id="351" w:name="_Toc6921"/>
      <w:r>
        <w:rPr>
          <w:rFonts w:hint="eastAsia" w:ascii="宋体" w:hAnsi="宋体" w:cs="宋体"/>
          <w:color w:val="auto"/>
          <w:highlight w:val="none"/>
        </w:rPr>
        <w:t>5 开标</w:t>
      </w:r>
      <w:bookmarkEnd w:id="344"/>
      <w:bookmarkEnd w:id="345"/>
      <w:bookmarkEnd w:id="346"/>
      <w:bookmarkEnd w:id="347"/>
      <w:bookmarkEnd w:id="348"/>
      <w:bookmarkEnd w:id="349"/>
      <w:bookmarkEnd w:id="350"/>
      <w:bookmarkEnd w:id="351"/>
    </w:p>
    <w:p>
      <w:pPr>
        <w:pStyle w:val="6"/>
        <w:rPr>
          <w:rFonts w:ascii="宋体" w:hAnsi="宋体" w:cs="宋体"/>
          <w:color w:val="auto"/>
          <w:highlight w:val="none"/>
        </w:rPr>
      </w:pPr>
      <w:bookmarkStart w:id="352" w:name="_Toc389065174"/>
      <w:bookmarkStart w:id="353" w:name="_Toc508286100"/>
      <w:bookmarkStart w:id="354" w:name="_Toc30345"/>
      <w:bookmarkStart w:id="355" w:name="_Toc13274"/>
      <w:bookmarkStart w:id="356" w:name="_Toc15918"/>
      <w:bookmarkStart w:id="357" w:name="_Toc24566"/>
      <w:bookmarkStart w:id="358" w:name="_Toc29932"/>
      <w:bookmarkStart w:id="359" w:name="_Toc13728"/>
      <w:r>
        <w:rPr>
          <w:rFonts w:hint="eastAsia" w:ascii="宋体" w:hAnsi="宋体" w:cs="宋体"/>
          <w:color w:val="auto"/>
          <w:highlight w:val="none"/>
        </w:rPr>
        <w:t>5.1 开标时间、地点</w:t>
      </w:r>
      <w:bookmarkEnd w:id="352"/>
      <w:r>
        <w:rPr>
          <w:rFonts w:hint="eastAsia" w:ascii="宋体" w:hAnsi="宋体" w:cs="宋体"/>
          <w:color w:val="auto"/>
          <w:highlight w:val="none"/>
        </w:rPr>
        <w:t>和开标会要求</w:t>
      </w:r>
      <w:bookmarkEnd w:id="353"/>
      <w:bookmarkEnd w:id="354"/>
      <w:bookmarkEnd w:id="355"/>
      <w:bookmarkEnd w:id="356"/>
      <w:bookmarkEnd w:id="357"/>
      <w:bookmarkEnd w:id="358"/>
      <w:bookmarkEnd w:id="359"/>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5.1.1招标人在投标人须知前附表规定的时间和地点开标；</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5.1.2开标会要求见投标人须知前附表。</w:t>
      </w:r>
    </w:p>
    <w:p>
      <w:pPr>
        <w:pStyle w:val="6"/>
        <w:rPr>
          <w:rFonts w:ascii="宋体" w:hAnsi="宋体" w:cs="宋体"/>
          <w:color w:val="auto"/>
          <w:highlight w:val="none"/>
        </w:rPr>
      </w:pPr>
      <w:bookmarkStart w:id="360" w:name="_Toc13131"/>
      <w:bookmarkStart w:id="361" w:name="_Toc22699"/>
      <w:bookmarkStart w:id="362" w:name="_Toc389065175"/>
      <w:bookmarkStart w:id="363" w:name="_Toc10178"/>
      <w:bookmarkStart w:id="364" w:name="_Toc11058"/>
      <w:bookmarkStart w:id="365" w:name="_Toc32086"/>
      <w:bookmarkStart w:id="366" w:name="_Toc508286101"/>
      <w:bookmarkStart w:id="367" w:name="_Toc4988"/>
      <w:r>
        <w:rPr>
          <w:rFonts w:hint="eastAsia" w:ascii="宋体" w:hAnsi="宋体" w:cs="宋体"/>
          <w:color w:val="auto"/>
          <w:highlight w:val="none"/>
        </w:rPr>
        <w:t>5.2 开标程序</w:t>
      </w:r>
      <w:bookmarkEnd w:id="360"/>
      <w:bookmarkEnd w:id="361"/>
      <w:bookmarkEnd w:id="362"/>
      <w:bookmarkEnd w:id="363"/>
      <w:bookmarkEnd w:id="364"/>
      <w:bookmarkEnd w:id="365"/>
      <w:bookmarkEnd w:id="366"/>
      <w:bookmarkEnd w:id="367"/>
    </w:p>
    <w:p>
      <w:pPr>
        <w:spacing w:line="360" w:lineRule="auto"/>
        <w:ind w:firstLine="420" w:firstLineChars="200"/>
        <w:rPr>
          <w:rFonts w:ascii="宋体" w:hAnsi="宋体" w:cs="宋体"/>
          <w:color w:val="auto"/>
          <w:szCs w:val="21"/>
          <w:highlight w:val="none"/>
        </w:rPr>
      </w:pPr>
      <w:bookmarkStart w:id="368" w:name="_Toc389065176"/>
      <w:r>
        <w:rPr>
          <w:rFonts w:hint="eastAsia" w:ascii="宋体" w:hAnsi="宋体" w:cs="宋体"/>
          <w:color w:val="auto"/>
          <w:szCs w:val="21"/>
          <w:highlight w:val="none"/>
        </w:rPr>
        <w:t>5.2.1开标程序见投标人须知前附表。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5.2.2每个投标人应在“投标人须知前附表”规定的时间内完成电子投标文件的解密工作（可现场解密，也可在线解密），解密后的电子投标文件将在开标会议上当众进行数据导入。</w:t>
      </w:r>
    </w:p>
    <w:p>
      <w:pPr>
        <w:pStyle w:val="7"/>
        <w:spacing w:line="332" w:lineRule="auto"/>
        <w:ind w:left="0"/>
        <w:rPr>
          <w:rFonts w:hint="eastAsia"/>
          <w:b/>
          <w:color w:val="auto"/>
          <w:sz w:val="21"/>
          <w:highlight w:val="none"/>
          <w:lang w:eastAsia="zh-CN"/>
        </w:rPr>
      </w:pPr>
      <w:bookmarkStart w:id="369" w:name="_Toc16036"/>
      <w:bookmarkStart w:id="370" w:name="_Toc4526"/>
      <w:bookmarkStart w:id="371" w:name="_Toc22596"/>
      <w:bookmarkStart w:id="372" w:name="_Toc19064"/>
      <w:bookmarkStart w:id="373" w:name="_Toc508286102"/>
      <w:r>
        <w:rPr>
          <w:rFonts w:hint="eastAsia"/>
          <w:b/>
          <w:color w:val="auto"/>
          <w:sz w:val="21"/>
          <w:highlight w:val="none"/>
          <w:lang w:eastAsia="zh-CN"/>
        </w:rPr>
        <w:t>5.3 开标异议</w:t>
      </w:r>
      <w:bookmarkEnd w:id="369"/>
    </w:p>
    <w:p>
      <w:pPr>
        <w:spacing w:line="360" w:lineRule="auto"/>
        <w:ind w:firstLine="420" w:firstLineChars="200"/>
        <w:rPr>
          <w:rFonts w:ascii="宋体" w:hAnsi="宋体" w:cs="宋体"/>
          <w:color w:val="auto"/>
          <w:highlight w:val="none"/>
        </w:rPr>
      </w:pPr>
      <w:bookmarkStart w:id="374" w:name="_Toc29913"/>
      <w:r>
        <w:rPr>
          <w:rFonts w:hint="eastAsia" w:ascii="宋体" w:hAnsi="宋体" w:cs="宋体"/>
          <w:color w:val="auto"/>
          <w:highlight w:val="none"/>
        </w:rPr>
        <w:t>投标人对开标有异议的，应当在开标过程中提出；招标人当场对异议作出答复，并记入开标记录。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本处所称异议是指投标人在开标过程中对投标文件提交、投标截止时间、开标记录提出的质疑。</w:t>
      </w:r>
    </w:p>
    <w:p>
      <w:pPr>
        <w:pStyle w:val="7"/>
        <w:spacing w:line="332" w:lineRule="auto"/>
        <w:ind w:left="0"/>
        <w:rPr>
          <w:rFonts w:hint="eastAsia"/>
          <w:b/>
          <w:color w:val="auto"/>
          <w:sz w:val="21"/>
          <w:highlight w:val="none"/>
          <w:lang w:eastAsia="zh-CN"/>
        </w:rPr>
      </w:pPr>
      <w:r>
        <w:rPr>
          <w:rFonts w:hint="eastAsia"/>
          <w:b/>
          <w:color w:val="auto"/>
          <w:sz w:val="21"/>
          <w:highlight w:val="none"/>
          <w:lang w:eastAsia="zh-CN"/>
        </w:rPr>
        <w:t>5.4 电子招投标的应急措施</w:t>
      </w:r>
      <w:bookmarkEnd w:id="374"/>
    </w:p>
    <w:p>
      <w:pPr>
        <w:autoSpaceDE w:val="0"/>
        <w:autoSpaceDN w:val="0"/>
        <w:adjustRightInd w:val="0"/>
        <w:spacing w:line="332"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5.4.1电子开标、评标如出现下列原因，导致系统无法正常运行，或者无法保证招投标过程的公平、公正和信息安全时，招标监管部门和交易中心应采取应急措施。</w:t>
      </w:r>
    </w:p>
    <w:p>
      <w:pPr>
        <w:autoSpaceDE w:val="0"/>
        <w:autoSpaceDN w:val="0"/>
        <w:adjustRightInd w:val="0"/>
        <w:spacing w:line="332"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（1）系统服务器发生故障，无法访问或无法使用系统；</w:t>
      </w:r>
    </w:p>
    <w:p>
      <w:pPr>
        <w:autoSpaceDE w:val="0"/>
        <w:autoSpaceDN w:val="0"/>
        <w:adjustRightInd w:val="0"/>
        <w:spacing w:line="332"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（2）系统的软件或数据库出现错误，不能进行正常操作；</w:t>
      </w:r>
    </w:p>
    <w:p>
      <w:pPr>
        <w:autoSpaceDE w:val="0"/>
        <w:autoSpaceDN w:val="0"/>
        <w:adjustRightInd w:val="0"/>
        <w:spacing w:line="332"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（3）系统发现有安全漏洞，有潜在的泄密危险；</w:t>
      </w:r>
    </w:p>
    <w:p>
      <w:pPr>
        <w:autoSpaceDE w:val="0"/>
        <w:autoSpaceDN w:val="0"/>
        <w:adjustRightInd w:val="0"/>
        <w:spacing w:line="332"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（4）病毒发作或受到外来病毒的攻击；</w:t>
      </w:r>
    </w:p>
    <w:p>
      <w:pPr>
        <w:autoSpaceDE w:val="0"/>
        <w:autoSpaceDN w:val="0"/>
        <w:adjustRightInd w:val="0"/>
        <w:spacing w:line="332"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（5）其他无法保证招投标过程公平、公正和信息安全的情形。</w:t>
      </w:r>
    </w:p>
    <w:p>
      <w:pPr>
        <w:spacing w:before="55" w:afterLines="50" w:line="332" w:lineRule="auto"/>
        <w:ind w:firstLine="420" w:firstLineChars="200"/>
        <w:rPr>
          <w:rFonts w:hint="eastAsia" w:ascii="宋体" w:hAnsi="宋体" w:eastAsia="宋体"/>
          <w:color w:val="auto"/>
          <w:sz w:val="21"/>
          <w:highlight w:val="none"/>
          <w:lang w:eastAsia="zh-CN"/>
        </w:rPr>
      </w:pPr>
      <w:r>
        <w:rPr>
          <w:rFonts w:hint="eastAsia" w:ascii="宋体" w:hAnsi="宋体" w:eastAsia="宋体"/>
          <w:color w:val="auto"/>
          <w:sz w:val="21"/>
          <w:highlight w:val="none"/>
        </w:rPr>
        <w:t>出现上述情况时，应对未开标的暂停开标。已在系统内开标、评标的，立即停止，等待系统恢复正常后再组织进行。采取应急措施时，必须对原有资料及信息作出妥善保密处理</w:t>
      </w:r>
      <w:r>
        <w:rPr>
          <w:rFonts w:hint="eastAsia" w:ascii="宋体" w:hAnsi="宋体" w:eastAsia="宋体"/>
          <w:color w:val="auto"/>
          <w:sz w:val="21"/>
          <w:highlight w:val="none"/>
          <w:lang w:eastAsia="zh-CN"/>
        </w:rPr>
        <w:t>。</w:t>
      </w:r>
    </w:p>
    <w:p>
      <w:pPr>
        <w:pStyle w:val="7"/>
        <w:spacing w:line="332" w:lineRule="auto"/>
        <w:ind w:left="0"/>
        <w:rPr>
          <w:rFonts w:hint="eastAsia" w:ascii="宋体" w:hAnsi="宋体" w:eastAsia="宋体"/>
          <w:b/>
          <w:color w:val="auto"/>
          <w:sz w:val="21"/>
          <w:szCs w:val="22"/>
          <w:highlight w:val="none"/>
          <w:lang w:val="en-US" w:eastAsia="zh-CN"/>
        </w:rPr>
      </w:pPr>
      <w:bookmarkStart w:id="375" w:name="_Toc18462"/>
      <w:r>
        <w:rPr>
          <w:rFonts w:hint="eastAsia" w:ascii="宋体" w:hAnsi="宋体" w:eastAsia="宋体"/>
          <w:b/>
          <w:color w:val="auto"/>
          <w:sz w:val="21"/>
          <w:szCs w:val="22"/>
          <w:highlight w:val="none"/>
          <w:lang w:eastAsia="zh-CN"/>
        </w:rPr>
        <w:t>5.5</w:t>
      </w:r>
      <w:r>
        <w:rPr>
          <w:rFonts w:hint="eastAsia" w:ascii="宋体" w:hAnsi="宋体" w:eastAsia="宋体"/>
          <w:b/>
          <w:color w:val="auto"/>
          <w:sz w:val="21"/>
          <w:szCs w:val="22"/>
          <w:highlight w:val="none"/>
          <w:lang w:val="en-US" w:eastAsia="zh-CN"/>
        </w:rPr>
        <w:t xml:space="preserve"> 其他特殊情况的处理</w:t>
      </w:r>
      <w:bookmarkEnd w:id="375"/>
    </w:p>
    <w:p>
      <w:pPr>
        <w:spacing w:line="332" w:lineRule="auto"/>
        <w:ind w:firstLine="315" w:firstLineChars="150"/>
        <w:rPr>
          <w:rFonts w:hint="eastAsia" w:ascii="宋体" w:hAnsi="宋体" w:cs="宋体"/>
          <w:color w:val="auto"/>
          <w:szCs w:val="21"/>
          <w:highlight w:val="none"/>
          <w:lang w:val="en-US" w:eastAsia="zh-CN"/>
        </w:rPr>
      </w:pPr>
      <w:r>
        <w:rPr>
          <w:rFonts w:hint="eastAsia" w:ascii="宋体" w:hAnsi="宋体" w:cs="宋体"/>
          <w:color w:val="auto"/>
          <w:szCs w:val="21"/>
          <w:highlight w:val="none"/>
        </w:rPr>
        <w:t>（</w:t>
      </w:r>
      <w:r>
        <w:rPr>
          <w:rFonts w:ascii="宋体" w:hAnsi="宋体" w:cs="宋体"/>
          <w:color w:val="auto"/>
          <w:szCs w:val="21"/>
          <w:highlight w:val="none"/>
        </w:rPr>
        <w:t>1</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因投标人原因造成投标文件未解密的，视为投标人撤销其投标文件。</w:t>
      </w:r>
    </w:p>
    <w:p>
      <w:pPr>
        <w:spacing w:line="332" w:lineRule="auto"/>
        <w:ind w:firstLine="315" w:firstLineChars="150"/>
        <w:rPr>
          <w:rFonts w:hint="eastAsia" w:ascii="宋体" w:hAnsi="宋体" w:eastAsia="宋体" w:cs="宋体"/>
          <w:color w:val="auto"/>
          <w:sz w:val="21"/>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w:t>
      </w:r>
      <w:r>
        <w:rPr>
          <w:rFonts w:hint="eastAsia" w:ascii="宋体" w:hAnsi="宋体" w:eastAsia="宋体" w:cs="宋体"/>
          <w:color w:val="auto"/>
          <w:sz w:val="21"/>
          <w:szCs w:val="21"/>
          <w:highlight w:val="none"/>
        </w:rPr>
        <w:t>因本款第（1）条及5.4款所列情况之外的原因造成投标文件未解密的，视为投标人撤回其投标文件。</w:t>
      </w:r>
    </w:p>
    <w:bookmarkEnd w:id="368"/>
    <w:bookmarkEnd w:id="370"/>
    <w:bookmarkEnd w:id="371"/>
    <w:bookmarkEnd w:id="372"/>
    <w:bookmarkEnd w:id="373"/>
    <w:p>
      <w:pPr>
        <w:pStyle w:val="5"/>
        <w:spacing w:line="360" w:lineRule="auto"/>
        <w:ind w:firstLine="0" w:firstLineChars="0"/>
        <w:rPr>
          <w:rFonts w:ascii="宋体" w:hAnsi="宋体" w:cs="宋体"/>
          <w:color w:val="auto"/>
          <w:highlight w:val="none"/>
        </w:rPr>
      </w:pPr>
      <w:bookmarkStart w:id="376" w:name="_Toc9690"/>
      <w:bookmarkStart w:id="377" w:name="_Toc508286103"/>
      <w:bookmarkStart w:id="378" w:name="_Toc389065177"/>
      <w:bookmarkStart w:id="379" w:name="_Toc31877"/>
      <w:bookmarkStart w:id="380" w:name="_Toc6885"/>
      <w:bookmarkStart w:id="381" w:name="_Toc21307"/>
      <w:bookmarkStart w:id="382" w:name="_Toc16588"/>
      <w:bookmarkStart w:id="383" w:name="_Toc19888"/>
      <w:r>
        <w:rPr>
          <w:rFonts w:hint="eastAsia" w:ascii="宋体" w:hAnsi="宋体" w:cs="宋体"/>
          <w:color w:val="auto"/>
          <w:highlight w:val="none"/>
        </w:rPr>
        <w:t>6 评标</w:t>
      </w:r>
      <w:bookmarkEnd w:id="376"/>
      <w:bookmarkEnd w:id="377"/>
      <w:bookmarkEnd w:id="378"/>
      <w:bookmarkEnd w:id="379"/>
      <w:bookmarkEnd w:id="380"/>
      <w:bookmarkEnd w:id="381"/>
      <w:bookmarkEnd w:id="382"/>
      <w:bookmarkEnd w:id="383"/>
    </w:p>
    <w:p>
      <w:pPr>
        <w:pStyle w:val="6"/>
        <w:rPr>
          <w:rFonts w:ascii="宋体" w:hAnsi="宋体" w:cs="宋体"/>
          <w:color w:val="auto"/>
          <w:highlight w:val="none"/>
        </w:rPr>
      </w:pPr>
      <w:bookmarkStart w:id="384" w:name="_Toc26829"/>
      <w:bookmarkStart w:id="385" w:name="_Toc19277"/>
      <w:bookmarkStart w:id="386" w:name="_Toc16275"/>
      <w:bookmarkStart w:id="387" w:name="_Toc508286104"/>
      <w:bookmarkStart w:id="388" w:name="_Toc389065178"/>
      <w:bookmarkStart w:id="389" w:name="_Toc16815"/>
      <w:bookmarkStart w:id="390" w:name="_Toc18044"/>
      <w:bookmarkStart w:id="391" w:name="_Toc20541"/>
      <w:r>
        <w:rPr>
          <w:rFonts w:hint="eastAsia" w:ascii="宋体" w:hAnsi="宋体" w:cs="宋体"/>
          <w:color w:val="auto"/>
          <w:highlight w:val="none"/>
        </w:rPr>
        <w:t>6.1 评标委员会</w:t>
      </w:r>
      <w:bookmarkEnd w:id="384"/>
      <w:bookmarkEnd w:id="385"/>
      <w:bookmarkEnd w:id="386"/>
      <w:bookmarkEnd w:id="387"/>
      <w:bookmarkEnd w:id="388"/>
      <w:bookmarkEnd w:id="389"/>
      <w:bookmarkEnd w:id="390"/>
      <w:bookmarkEnd w:id="391"/>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6.1.1 评标由招标人依法组建的评标委员会负责。评标委员会的组建</w:t>
      </w:r>
      <w:r>
        <w:rPr>
          <w:rFonts w:ascii="宋体" w:hAnsi="宋体" w:cs="宋体"/>
          <w:color w:val="auto"/>
          <w:highlight w:val="none"/>
        </w:rPr>
        <w:t>见投标人须知前附表。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6.1.2 评标委员会成员有下列情形之一的，应当回避：</w:t>
      </w:r>
      <w:bookmarkStart w:id="392" w:name="_Toc389065179"/>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（1）投标人或投标人的主要负责人的近亲属；</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（2）项目主管部门或者行政监督部门的人员；</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（3）与投标人有经济利益关系，可能影响对投标公正评审的；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（4）曾因在招标、评标以及其他与招标投标有关活动中从事违法行为而受过行政处罚或刑事处罚的。</w:t>
      </w:r>
    </w:p>
    <w:p>
      <w:pPr>
        <w:pStyle w:val="6"/>
        <w:rPr>
          <w:rFonts w:ascii="宋体" w:hAnsi="宋体" w:cs="宋体"/>
          <w:color w:val="auto"/>
          <w:highlight w:val="none"/>
        </w:rPr>
      </w:pPr>
      <w:bookmarkStart w:id="393" w:name="_Toc15514"/>
      <w:bookmarkStart w:id="394" w:name="_Toc508286105"/>
      <w:bookmarkStart w:id="395" w:name="_Toc24892"/>
      <w:bookmarkStart w:id="396" w:name="_Toc4024"/>
      <w:bookmarkStart w:id="397" w:name="_Toc24355"/>
      <w:bookmarkStart w:id="398" w:name="_Toc304"/>
      <w:bookmarkStart w:id="399" w:name="_Toc31258"/>
      <w:r>
        <w:rPr>
          <w:rFonts w:hint="eastAsia" w:ascii="宋体" w:hAnsi="宋体" w:cs="宋体"/>
          <w:color w:val="auto"/>
          <w:highlight w:val="none"/>
        </w:rPr>
        <w:t>6.2 评标原则</w:t>
      </w:r>
      <w:bookmarkEnd w:id="392"/>
      <w:bookmarkEnd w:id="393"/>
      <w:bookmarkEnd w:id="394"/>
      <w:bookmarkEnd w:id="395"/>
      <w:bookmarkEnd w:id="396"/>
      <w:bookmarkEnd w:id="397"/>
      <w:bookmarkEnd w:id="398"/>
      <w:bookmarkEnd w:id="399"/>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评标活动遵循公平、公正、科学和择优的原则。</w:t>
      </w:r>
    </w:p>
    <w:p>
      <w:pPr>
        <w:pStyle w:val="6"/>
        <w:rPr>
          <w:rFonts w:ascii="宋体" w:hAnsi="宋体" w:cs="宋体"/>
          <w:color w:val="auto"/>
          <w:highlight w:val="none"/>
        </w:rPr>
      </w:pPr>
      <w:bookmarkStart w:id="400" w:name="_Toc508286106"/>
      <w:bookmarkStart w:id="401" w:name="_Toc17023"/>
      <w:bookmarkStart w:id="402" w:name="_Toc28471"/>
      <w:bookmarkStart w:id="403" w:name="_Toc389065180"/>
      <w:bookmarkStart w:id="404" w:name="_Toc20863"/>
      <w:bookmarkStart w:id="405" w:name="_Toc9562"/>
      <w:bookmarkStart w:id="406" w:name="_Toc9528"/>
      <w:bookmarkStart w:id="407" w:name="_Toc9681"/>
      <w:r>
        <w:rPr>
          <w:rFonts w:hint="eastAsia" w:ascii="宋体" w:hAnsi="宋体" w:cs="宋体"/>
          <w:color w:val="auto"/>
          <w:highlight w:val="none"/>
        </w:rPr>
        <w:t>6.3 评标</w:t>
      </w:r>
      <w:bookmarkEnd w:id="400"/>
      <w:bookmarkEnd w:id="401"/>
      <w:bookmarkEnd w:id="402"/>
      <w:bookmarkEnd w:id="403"/>
      <w:bookmarkEnd w:id="404"/>
      <w:bookmarkEnd w:id="405"/>
      <w:bookmarkEnd w:id="406"/>
      <w:bookmarkEnd w:id="407"/>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评标委员会按照第三章“评标办法”规定的方法、评审因素、标准和程序对投标文件进行评审。第三章“评标办法”没有规定的方法、评审因素和标准，不作为评标依据。</w:t>
      </w:r>
      <w:bookmarkStart w:id="408" w:name="_Toc389065184"/>
    </w:p>
    <w:p>
      <w:pPr>
        <w:pStyle w:val="6"/>
        <w:rPr>
          <w:rFonts w:ascii="宋体" w:hAnsi="宋体" w:cs="宋体"/>
          <w:color w:val="auto"/>
          <w:highlight w:val="none"/>
        </w:rPr>
      </w:pPr>
      <w:bookmarkStart w:id="409" w:name="_Toc508286107"/>
      <w:bookmarkStart w:id="410" w:name="_Toc31103"/>
      <w:bookmarkStart w:id="411" w:name="_Toc28488"/>
      <w:bookmarkStart w:id="412" w:name="_Toc17810"/>
      <w:bookmarkStart w:id="413" w:name="_Toc29477"/>
      <w:bookmarkStart w:id="414" w:name="_Toc389065183"/>
      <w:bookmarkStart w:id="415" w:name="_Toc18170"/>
      <w:bookmarkStart w:id="416" w:name="_Toc53"/>
      <w:r>
        <w:rPr>
          <w:rFonts w:hint="eastAsia" w:ascii="宋体" w:hAnsi="宋体" w:cs="宋体"/>
          <w:color w:val="auto"/>
          <w:highlight w:val="none"/>
        </w:rPr>
        <w:t>6.4 评标结果公示</w:t>
      </w:r>
      <w:bookmarkEnd w:id="409"/>
      <w:bookmarkEnd w:id="410"/>
      <w:bookmarkEnd w:id="411"/>
      <w:bookmarkEnd w:id="412"/>
      <w:bookmarkEnd w:id="413"/>
      <w:bookmarkEnd w:id="414"/>
      <w:bookmarkEnd w:id="415"/>
      <w:bookmarkEnd w:id="416"/>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6.4.1招标人在收到评标报告之日起3日内</w:t>
      </w:r>
      <w:r>
        <w:rPr>
          <w:rFonts w:hint="eastAsia" w:ascii="Arial" w:hAnsi="Arial"/>
          <w:color w:val="auto"/>
          <w:szCs w:val="21"/>
          <w:highlight w:val="none"/>
        </w:rPr>
        <w:t>在本招标项目招标公告发布的同一媒介发布评标结果公示</w:t>
      </w:r>
      <w:r>
        <w:rPr>
          <w:rFonts w:hint="eastAsia" w:ascii="宋体" w:hAnsi="宋体" w:cs="宋体"/>
          <w:color w:val="auto"/>
          <w:szCs w:val="21"/>
          <w:highlight w:val="none"/>
        </w:rPr>
        <w:t>，公示期不少于3日。</w:t>
      </w:r>
    </w:p>
    <w:p>
      <w:pPr>
        <w:pStyle w:val="17"/>
        <w:spacing w:line="288" w:lineRule="auto"/>
        <w:ind w:firstLine="420" w:firstLineChars="200"/>
        <w:rPr>
          <w:rFonts w:hint="eastAsia"/>
          <w:snapToGrid w:val="0"/>
          <w:color w:val="auto"/>
          <w:kern w:val="32"/>
          <w:szCs w:val="20"/>
          <w:highlight w:val="none"/>
        </w:rPr>
      </w:pPr>
      <w:r>
        <w:rPr>
          <w:rFonts w:ascii="宋体" w:hAnsi="宋体" w:cs="宋体"/>
          <w:color w:val="auto"/>
          <w:szCs w:val="21"/>
          <w:highlight w:val="none"/>
        </w:rPr>
        <w:t xml:space="preserve">6.4.2 </w:t>
      </w:r>
      <w:r>
        <w:rPr>
          <w:rFonts w:hint="eastAsia" w:ascii="宋体" w:hAnsi="宋体" w:cs="宋体"/>
          <w:color w:val="auto"/>
          <w:szCs w:val="21"/>
          <w:highlight w:val="none"/>
        </w:rPr>
        <w:t>采用“评定分离”法的，</w:t>
      </w:r>
      <w:r>
        <w:rPr>
          <w:rFonts w:hint="eastAsia" w:ascii="宋体" w:hAnsi="宋体" w:cs="宋体"/>
          <w:color w:val="auto"/>
          <w:szCs w:val="21"/>
          <w:highlight w:val="none"/>
          <w:lang w:val="en-US" w:eastAsia="zh-CN"/>
        </w:rPr>
        <w:t>中标</w:t>
      </w:r>
      <w:r>
        <w:rPr>
          <w:rFonts w:hint="eastAsia" w:ascii="宋体" w:hAnsi="宋体" w:cs="宋体"/>
          <w:color w:val="auto"/>
          <w:szCs w:val="21"/>
          <w:highlight w:val="none"/>
        </w:rPr>
        <w:t>候选人数量见“投标人须知前附表”；</w:t>
      </w:r>
      <w:r>
        <w:rPr>
          <w:rFonts w:hint="eastAsia"/>
          <w:snapToGrid w:val="0"/>
          <w:color w:val="auto"/>
          <w:kern w:val="32"/>
          <w:szCs w:val="20"/>
          <w:highlight w:val="none"/>
        </w:rPr>
        <w:t>经评标委员会评审，当符合招标文件要求的合格投标人少于招标文件规定的数量，但不少于3名时，全部推荐为中标候选人；少于3名时，评标委员会作出是否具备竞争性判断，如具备竞争性，继续推荐中标候选人。</w:t>
      </w:r>
    </w:p>
    <w:p>
      <w:pPr>
        <w:pStyle w:val="17"/>
        <w:spacing w:line="288" w:lineRule="auto"/>
        <w:ind w:firstLine="420" w:firstLineChars="200"/>
        <w:rPr>
          <w:rFonts w:hint="eastAsia"/>
          <w:snapToGrid w:val="0"/>
          <w:color w:val="auto"/>
          <w:kern w:val="32"/>
          <w:szCs w:val="20"/>
          <w:highlight w:val="none"/>
        </w:rPr>
      </w:pPr>
      <w:r>
        <w:rPr>
          <w:rFonts w:hint="eastAsia" w:ascii="宋体" w:hAnsi="宋体" w:cs="宋体"/>
          <w:color w:val="auto"/>
          <w:szCs w:val="21"/>
          <w:highlight w:val="none"/>
          <w:lang w:val="en-US" w:eastAsia="zh-CN"/>
        </w:rPr>
        <w:t>6.4.3</w:t>
      </w:r>
      <w:r>
        <w:rPr>
          <w:rFonts w:hint="eastAsia" w:ascii="宋体" w:hAnsi="宋体" w:cs="宋体"/>
          <w:color w:val="auto"/>
          <w:szCs w:val="21"/>
          <w:highlight w:val="none"/>
        </w:rPr>
        <w:t>投标人或者其他利害关系人对评标结果有异议的，应当在公示期间提出。招标人自收到异议之日起3日内作出答复</w:t>
      </w:r>
      <w:r>
        <w:rPr>
          <w:rFonts w:hint="eastAsia" w:ascii="宋体" w:hAnsi="宋体" w:cs="宋体"/>
          <w:color w:val="auto"/>
          <w:kern w:val="0"/>
          <w:szCs w:val="21"/>
          <w:highlight w:val="none"/>
        </w:rPr>
        <w:t>（需要进行检验、检测、鉴定、调查取证、组织专家评审或到外地调查的，所需时间不计入）</w:t>
      </w:r>
      <w:r>
        <w:rPr>
          <w:rFonts w:hint="eastAsia" w:ascii="宋体" w:hAnsi="宋体" w:cs="宋体"/>
          <w:color w:val="auto"/>
          <w:szCs w:val="21"/>
          <w:highlight w:val="none"/>
        </w:rPr>
        <w:t>。对招标人答复不满意或招标人拒不答复的，投标人可按照本章第8.5条的规定程序向有关行政监督部门投诉。</w:t>
      </w:r>
    </w:p>
    <w:p>
      <w:pPr>
        <w:pStyle w:val="17"/>
        <w:spacing w:line="288" w:lineRule="auto"/>
        <w:ind w:firstLine="420" w:firstLineChars="200"/>
        <w:rPr>
          <w:rFonts w:ascii="宋体" w:hAnsi="宋体" w:cs="宋体"/>
          <w:color w:val="auto"/>
          <w:highlight w:val="none"/>
        </w:rPr>
      </w:pPr>
      <w:r>
        <w:rPr>
          <w:rFonts w:hint="default" w:ascii="宋体" w:hAnsi="宋体" w:eastAsia="宋体" w:cs="宋体"/>
          <w:snapToGrid/>
          <w:color w:val="auto"/>
          <w:kern w:val="2"/>
          <w:szCs w:val="21"/>
          <w:highlight w:val="none"/>
          <w:lang w:val="en-US" w:eastAsia="zh-CN"/>
        </w:rPr>
        <w:t>6.4.</w:t>
      </w:r>
      <w:r>
        <w:rPr>
          <w:rFonts w:hint="eastAsia" w:ascii="宋体" w:hAnsi="宋体" w:cs="宋体"/>
          <w:snapToGrid/>
          <w:color w:val="auto"/>
          <w:kern w:val="2"/>
          <w:szCs w:val="21"/>
          <w:highlight w:val="none"/>
          <w:lang w:val="en-US" w:eastAsia="zh-CN"/>
        </w:rPr>
        <w:t>4</w:t>
      </w:r>
      <w:r>
        <w:rPr>
          <w:rFonts w:hint="eastAsia"/>
          <w:snapToGrid w:val="0"/>
          <w:color w:val="auto"/>
          <w:kern w:val="32"/>
          <w:szCs w:val="20"/>
          <w:highlight w:val="none"/>
        </w:rPr>
        <w:t>评标结果公示期间，因异议或投诉导致中标候选人发生改变的，应当重新公示中标候选人。</w:t>
      </w:r>
    </w:p>
    <w:p>
      <w:pPr>
        <w:pStyle w:val="5"/>
        <w:spacing w:line="360" w:lineRule="auto"/>
        <w:rPr>
          <w:rFonts w:ascii="宋体" w:hAnsi="宋体" w:cs="宋体"/>
          <w:color w:val="auto"/>
          <w:highlight w:val="none"/>
        </w:rPr>
      </w:pPr>
      <w:bookmarkStart w:id="417" w:name="_Toc21690"/>
      <w:bookmarkStart w:id="418" w:name="_Toc508286108"/>
      <w:bookmarkStart w:id="419" w:name="_Toc27041"/>
      <w:bookmarkStart w:id="420" w:name="_Toc803"/>
      <w:bookmarkStart w:id="421" w:name="_Toc22256"/>
      <w:bookmarkStart w:id="422" w:name="_Toc14351"/>
      <w:bookmarkStart w:id="423" w:name="_Toc31748"/>
      <w:r>
        <w:rPr>
          <w:rFonts w:hint="eastAsia" w:ascii="宋体" w:hAnsi="宋体" w:cs="宋体"/>
          <w:color w:val="auto"/>
          <w:highlight w:val="none"/>
        </w:rPr>
        <w:t>7 合同授予</w:t>
      </w:r>
      <w:bookmarkEnd w:id="408"/>
      <w:bookmarkEnd w:id="417"/>
      <w:bookmarkEnd w:id="418"/>
      <w:bookmarkEnd w:id="419"/>
      <w:bookmarkEnd w:id="420"/>
      <w:bookmarkEnd w:id="421"/>
      <w:bookmarkEnd w:id="422"/>
      <w:bookmarkEnd w:id="423"/>
    </w:p>
    <w:p>
      <w:pPr>
        <w:pStyle w:val="6"/>
        <w:rPr>
          <w:rFonts w:ascii="宋体" w:hAnsi="宋体" w:cs="宋体"/>
          <w:color w:val="auto"/>
          <w:highlight w:val="none"/>
        </w:rPr>
      </w:pPr>
      <w:bookmarkStart w:id="424" w:name="_Toc24019"/>
      <w:bookmarkStart w:id="425" w:name="_Toc508286109"/>
      <w:bookmarkStart w:id="426" w:name="_Toc6155"/>
      <w:bookmarkStart w:id="427" w:name="_Toc11006"/>
      <w:bookmarkStart w:id="428" w:name="_Toc389065185"/>
      <w:bookmarkStart w:id="429" w:name="_Toc1915"/>
      <w:bookmarkStart w:id="430" w:name="_Toc23705"/>
      <w:bookmarkStart w:id="431" w:name="_Toc13621"/>
      <w:r>
        <w:rPr>
          <w:rFonts w:hint="eastAsia" w:ascii="宋体" w:hAnsi="宋体" w:cs="宋体"/>
          <w:color w:val="auto"/>
          <w:highlight w:val="none"/>
        </w:rPr>
        <w:t>7.1 定标方式</w:t>
      </w:r>
      <w:bookmarkEnd w:id="424"/>
      <w:bookmarkEnd w:id="425"/>
      <w:bookmarkEnd w:id="426"/>
      <w:bookmarkEnd w:id="427"/>
      <w:bookmarkEnd w:id="428"/>
      <w:bookmarkEnd w:id="429"/>
      <w:bookmarkEnd w:id="430"/>
      <w:bookmarkEnd w:id="431"/>
    </w:p>
    <w:p>
      <w:pPr>
        <w:spacing w:line="360" w:lineRule="auto"/>
        <w:ind w:firstLine="420" w:firstLineChars="200"/>
        <w:rPr>
          <w:rFonts w:ascii="宋体" w:hAnsi="宋体" w:cs="宋体"/>
          <w:color w:val="auto"/>
          <w:szCs w:val="21"/>
          <w:highlight w:val="none"/>
        </w:rPr>
      </w:pPr>
      <w:r>
        <w:rPr>
          <w:rFonts w:hint="eastAsia"/>
          <w:color w:val="auto"/>
          <w:szCs w:val="21"/>
          <w:highlight w:val="none"/>
        </w:rPr>
        <w:t>7.1.1</w:t>
      </w:r>
      <w:r>
        <w:rPr>
          <w:rFonts w:hint="eastAsia"/>
          <w:color w:val="auto"/>
          <w:szCs w:val="21"/>
          <w:highlight w:val="none"/>
          <w:lang w:val="en-US" w:eastAsia="zh-CN"/>
        </w:rPr>
        <w:t>不</w:t>
      </w:r>
      <w:r>
        <w:rPr>
          <w:rFonts w:hint="eastAsia" w:ascii="宋体" w:hAnsi="宋体" w:cs="宋体"/>
          <w:color w:val="auto"/>
          <w:szCs w:val="21"/>
          <w:highlight w:val="none"/>
        </w:rPr>
        <w:t>采用“评定分离”法时</w:t>
      </w:r>
      <w:r>
        <w:rPr>
          <w:rFonts w:hint="eastAsia" w:ascii="宋体" w:hAnsi="宋体" w:cs="宋体"/>
          <w:color w:val="auto"/>
          <w:szCs w:val="21"/>
          <w:highlight w:val="none"/>
          <w:lang w:eastAsia="zh-CN"/>
        </w:rPr>
        <w:t>，</w:t>
      </w:r>
      <w:r>
        <w:rPr>
          <w:rFonts w:hint="eastAsia" w:ascii="宋体" w:hAnsi="宋体" w:cs="宋体"/>
          <w:color w:val="auto"/>
          <w:szCs w:val="21"/>
          <w:highlight w:val="none"/>
        </w:rPr>
        <w:t>是否授权</w:t>
      </w:r>
      <w:r>
        <w:rPr>
          <w:rFonts w:hint="eastAsia" w:ascii="宋体" w:hAnsi="宋体" w:cs="宋体"/>
          <w:color w:val="auto"/>
          <w:szCs w:val="21"/>
          <w:highlight w:val="none"/>
          <w:lang w:val="en-US" w:eastAsia="zh-CN"/>
        </w:rPr>
        <w:t>评标</w:t>
      </w:r>
      <w:r>
        <w:rPr>
          <w:rFonts w:hint="eastAsia" w:ascii="宋体" w:hAnsi="宋体" w:cs="宋体"/>
          <w:color w:val="auto"/>
          <w:szCs w:val="21"/>
          <w:highlight w:val="none"/>
        </w:rPr>
        <w:t>委员会确定中标人见“投标人须知前附表”。</w:t>
      </w:r>
      <w:r>
        <w:rPr>
          <w:rFonts w:hint="eastAsia" w:ascii="宋体" w:hAnsi="宋体" w:cs="仿宋_GB2312"/>
          <w:color w:val="auto"/>
          <w:kern w:val="0"/>
          <w:szCs w:val="21"/>
          <w:highlight w:val="none"/>
        </w:rPr>
        <w:t xml:space="preserve"> 除</w:t>
      </w:r>
      <w:r>
        <w:rPr>
          <w:rFonts w:hint="eastAsia" w:ascii="宋体" w:hAnsi="宋体" w:cs="宋体"/>
          <w:color w:val="auto"/>
          <w:szCs w:val="21"/>
          <w:highlight w:val="none"/>
        </w:rPr>
        <w:t>“投标人须知前附表”</w:t>
      </w:r>
      <w:r>
        <w:rPr>
          <w:rFonts w:hint="eastAsia" w:ascii="宋体" w:hAnsi="宋体" w:cs="仿宋_GB2312"/>
          <w:color w:val="auto"/>
          <w:kern w:val="0"/>
          <w:szCs w:val="21"/>
          <w:highlight w:val="none"/>
        </w:rPr>
        <w:t>规定</w:t>
      </w:r>
      <w:r>
        <w:rPr>
          <w:rFonts w:hint="eastAsia" w:ascii="宋体" w:hAnsi="宋体" w:cs="仿宋_GB2312"/>
          <w:color w:val="auto"/>
          <w:kern w:val="0"/>
          <w:szCs w:val="21"/>
          <w:highlight w:val="none"/>
          <w:lang w:val="en-US" w:eastAsia="zh-CN"/>
        </w:rPr>
        <w:t>评标</w:t>
      </w:r>
      <w:r>
        <w:rPr>
          <w:rFonts w:hint="eastAsia" w:ascii="宋体" w:hAnsi="宋体" w:cs="仿宋_GB2312"/>
          <w:color w:val="auto"/>
          <w:kern w:val="0"/>
          <w:szCs w:val="21"/>
          <w:highlight w:val="none"/>
        </w:rPr>
        <w:t>委员会直接确定中标人外，招标人依据</w:t>
      </w:r>
      <w:r>
        <w:rPr>
          <w:rFonts w:hint="eastAsia" w:ascii="宋体" w:hAnsi="宋体" w:cs="仿宋_GB2312"/>
          <w:color w:val="auto"/>
          <w:kern w:val="0"/>
          <w:szCs w:val="21"/>
          <w:highlight w:val="none"/>
          <w:lang w:val="en-US" w:eastAsia="zh-CN"/>
        </w:rPr>
        <w:t>评标</w:t>
      </w:r>
      <w:r>
        <w:rPr>
          <w:rFonts w:hint="eastAsia" w:ascii="宋体" w:hAnsi="宋体" w:cs="仿宋_GB2312"/>
          <w:color w:val="auto"/>
          <w:kern w:val="0"/>
          <w:szCs w:val="21"/>
          <w:highlight w:val="none"/>
        </w:rPr>
        <w:t>委员会推荐的中标候选人确定中标人。</w:t>
      </w:r>
      <w:r>
        <w:rPr>
          <w:rFonts w:hint="eastAsia" w:ascii="宋体" w:hAnsi="宋体" w:cs="仿宋_GB2312"/>
          <w:color w:val="auto"/>
          <w:kern w:val="0"/>
          <w:szCs w:val="21"/>
          <w:highlight w:val="none"/>
          <w:lang w:val="en-US" w:eastAsia="zh-CN"/>
        </w:rPr>
        <w:t>评标</w:t>
      </w:r>
      <w:r>
        <w:rPr>
          <w:rFonts w:hint="eastAsia" w:ascii="宋体" w:hAnsi="宋体" w:cs="仿宋_GB2312"/>
          <w:color w:val="auto"/>
          <w:kern w:val="0"/>
          <w:szCs w:val="21"/>
          <w:highlight w:val="none"/>
        </w:rPr>
        <w:t>委员会推荐中标候选人的人数见</w:t>
      </w:r>
      <w:r>
        <w:rPr>
          <w:rFonts w:hint="eastAsia" w:ascii="宋体" w:hAnsi="宋体" w:cs="宋体"/>
          <w:color w:val="auto"/>
          <w:szCs w:val="21"/>
          <w:highlight w:val="none"/>
        </w:rPr>
        <w:t>“投标人须知前附表”</w:t>
      </w:r>
      <w:r>
        <w:rPr>
          <w:rFonts w:hint="eastAsia" w:ascii="宋体" w:hAnsi="宋体" w:cs="仿宋_GB2312"/>
          <w:color w:val="auto"/>
          <w:kern w:val="0"/>
          <w:szCs w:val="21"/>
          <w:highlight w:val="none"/>
        </w:rPr>
        <w:t>。</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7.1.2采用“评定分离”法时：定标方法见“投标人须知前附表”。 定标方案见“投标人须知前附表10.2”。 定标委员会按照招标文件规定的定标方案，在评标委员会推荐的</w:t>
      </w:r>
      <w:r>
        <w:rPr>
          <w:rFonts w:hint="eastAsia" w:ascii="宋体" w:hAnsi="宋体" w:cs="宋体"/>
          <w:color w:val="auto"/>
          <w:szCs w:val="21"/>
          <w:highlight w:val="none"/>
          <w:lang w:val="en-US" w:eastAsia="zh-CN"/>
        </w:rPr>
        <w:t>中标</w:t>
      </w:r>
      <w:r>
        <w:rPr>
          <w:rFonts w:hint="eastAsia" w:ascii="宋体" w:hAnsi="宋体" w:cs="宋体"/>
          <w:color w:val="auto"/>
          <w:szCs w:val="21"/>
          <w:highlight w:val="none"/>
        </w:rPr>
        <w:t>候选人中择优</w:t>
      </w:r>
      <w:r>
        <w:rPr>
          <w:rFonts w:hint="eastAsia" w:ascii="宋体" w:hAnsi="宋体" w:cs="宋体"/>
          <w:color w:val="auto"/>
          <w:szCs w:val="21"/>
          <w:highlight w:val="none"/>
          <w:lang w:val="en-US" w:eastAsia="zh-CN"/>
        </w:rPr>
        <w:t>确定中标人</w:t>
      </w:r>
      <w:r>
        <w:rPr>
          <w:rFonts w:hint="eastAsia" w:ascii="宋体" w:hAnsi="宋体" w:cs="宋体"/>
          <w:color w:val="auto"/>
          <w:szCs w:val="21"/>
          <w:highlight w:val="none"/>
        </w:rPr>
        <w:t>，并向招标人提交定标报告。</w:t>
      </w:r>
    </w:p>
    <w:p>
      <w:pPr>
        <w:pStyle w:val="2"/>
        <w:spacing w:before="0"/>
        <w:rPr>
          <w:rFonts w:hint="eastAsia" w:eastAsia="宋体" w:cs="宋体"/>
          <w:color w:val="auto"/>
          <w:szCs w:val="21"/>
          <w:highlight w:val="none"/>
          <w:lang w:val="en-US" w:eastAsia="zh-CN"/>
        </w:rPr>
      </w:pPr>
      <w:r>
        <w:rPr>
          <w:rFonts w:hint="eastAsia" w:cs="宋体"/>
          <w:color w:val="auto"/>
          <w:szCs w:val="21"/>
          <w:highlight w:val="none"/>
          <w:lang w:val="en-US" w:eastAsia="zh-CN"/>
        </w:rPr>
        <w:t>7.1.3</w:t>
      </w:r>
      <w:r>
        <w:rPr>
          <w:rFonts w:hint="eastAsia" w:ascii="宋体" w:eastAsia="宋体" w:cs="宋体"/>
          <w:snapToGrid/>
          <w:color w:val="auto"/>
          <w:kern w:val="2"/>
          <w:szCs w:val="21"/>
          <w:highlight w:val="none"/>
        </w:rPr>
        <w:t>拟定中标人公示</w:t>
      </w:r>
      <w:r>
        <w:rPr>
          <w:rFonts w:hint="eastAsia" w:cs="宋体"/>
          <w:snapToGrid/>
          <w:color w:val="auto"/>
          <w:kern w:val="2"/>
          <w:szCs w:val="21"/>
          <w:highlight w:val="none"/>
        </w:rPr>
        <w:t>。招标人应当自收到定标报告之日起3日内公示定标结果，公示期不得少于3日。拟定中标人公示应当载明拟定中标人的名称、投标价格、项目负责人等信息，采用票决法的应当包括推荐中标人的得票情况，采用集体议事法的应当包括定标委员会负责人推荐中标人的理由，提出异议和投诉的渠道方式，以及法律法规和招标文件规定公示的其他内容。</w:t>
      </w:r>
    </w:p>
    <w:p>
      <w:pPr>
        <w:pStyle w:val="6"/>
        <w:rPr>
          <w:rFonts w:ascii="宋体" w:hAnsi="宋体" w:cs="宋体"/>
          <w:color w:val="auto"/>
          <w:highlight w:val="none"/>
        </w:rPr>
      </w:pPr>
      <w:bookmarkStart w:id="432" w:name="_Toc389065186"/>
      <w:bookmarkStart w:id="433" w:name="_Toc9446"/>
      <w:bookmarkStart w:id="434" w:name="_Toc30304"/>
      <w:bookmarkStart w:id="435" w:name="_Toc3581"/>
      <w:bookmarkStart w:id="436" w:name="_Toc18620"/>
      <w:bookmarkStart w:id="437" w:name="_Toc508286110"/>
      <w:bookmarkStart w:id="438" w:name="_Toc15288"/>
      <w:bookmarkStart w:id="439" w:name="_Toc20731"/>
      <w:r>
        <w:rPr>
          <w:rFonts w:hint="eastAsia" w:ascii="宋体" w:hAnsi="宋体" w:cs="宋体"/>
          <w:color w:val="auto"/>
          <w:highlight w:val="none"/>
        </w:rPr>
        <w:t>7.2 中标通知</w:t>
      </w:r>
      <w:bookmarkEnd w:id="432"/>
      <w:r>
        <w:rPr>
          <w:rFonts w:hint="eastAsia" w:ascii="宋体" w:hAnsi="宋体" w:cs="宋体"/>
          <w:color w:val="auto"/>
          <w:highlight w:val="none"/>
        </w:rPr>
        <w:t>、</w:t>
      </w:r>
      <w:r>
        <w:rPr>
          <w:rFonts w:hint="eastAsia"/>
          <w:snapToGrid w:val="0"/>
          <w:color w:val="auto"/>
          <w:kern w:val="32"/>
          <w:szCs w:val="20"/>
          <w:highlight w:val="none"/>
        </w:rPr>
        <w:t>拟定中标人公示</w:t>
      </w:r>
      <w:r>
        <w:rPr>
          <w:rFonts w:hint="eastAsia" w:ascii="宋体" w:hAnsi="宋体" w:cs="宋体"/>
          <w:color w:val="auto"/>
          <w:highlight w:val="none"/>
        </w:rPr>
        <w:t>及中标结果公告</w:t>
      </w:r>
      <w:bookmarkEnd w:id="433"/>
      <w:bookmarkEnd w:id="434"/>
      <w:bookmarkEnd w:id="435"/>
      <w:bookmarkEnd w:id="436"/>
      <w:bookmarkEnd w:id="437"/>
      <w:bookmarkEnd w:id="438"/>
      <w:bookmarkEnd w:id="439"/>
    </w:p>
    <w:p>
      <w:pPr>
        <w:autoSpaceDE/>
        <w:autoSpaceDN/>
        <w:adjustRightInd/>
        <w:spacing w:line="332" w:lineRule="auto"/>
        <w:ind w:firstLine="420" w:firstLineChars="200"/>
        <w:jc w:val="left"/>
        <w:rPr>
          <w:rFonts w:hint="eastAsia" w:ascii="宋体" w:hAnsi="宋体" w:eastAsia="宋体" w:cs="宋体"/>
          <w:color w:val="auto"/>
          <w:kern w:val="2"/>
          <w:sz w:val="21"/>
          <w:szCs w:val="21"/>
          <w:highlight w:val="none"/>
        </w:rPr>
      </w:pPr>
      <w:r>
        <w:rPr>
          <w:rFonts w:hint="eastAsia" w:ascii="宋体" w:hAnsi="宋体" w:cs="宋体"/>
          <w:color w:val="auto"/>
          <w:szCs w:val="21"/>
          <w:highlight w:val="none"/>
        </w:rPr>
        <w:t>7.2.1</w:t>
      </w:r>
      <w:r>
        <w:rPr>
          <w:rFonts w:hint="eastAsia" w:ascii="宋体" w:hAnsi="宋体" w:cs="宋体"/>
          <w:color w:val="auto"/>
          <w:szCs w:val="21"/>
          <w:highlight w:val="none"/>
          <w:lang w:val="en-US" w:eastAsia="zh-CN"/>
        </w:rPr>
        <w:t>不</w:t>
      </w:r>
      <w:r>
        <w:rPr>
          <w:rFonts w:hint="eastAsia" w:ascii="宋体" w:hAnsi="宋体" w:cs="宋体"/>
          <w:color w:val="auto"/>
          <w:szCs w:val="21"/>
          <w:highlight w:val="none"/>
        </w:rPr>
        <w:t>采用“评定分离”法的，</w:t>
      </w:r>
      <w:r>
        <w:rPr>
          <w:rFonts w:hint="eastAsia" w:ascii="宋体" w:hAnsi="宋体" w:eastAsia="宋体" w:cs="宋体"/>
          <w:color w:val="auto"/>
          <w:kern w:val="2"/>
          <w:sz w:val="21"/>
          <w:szCs w:val="21"/>
          <w:highlight w:val="none"/>
        </w:rPr>
        <w:t>招标人应当在收到评标报告之日起</w:t>
      </w:r>
      <w:r>
        <w:rPr>
          <w:rFonts w:hint="eastAsia" w:ascii="宋体" w:hAnsi="宋体" w:eastAsia="宋体" w:cs="宋体"/>
          <w:b w:val="0"/>
          <w:color w:val="auto"/>
          <w:kern w:val="2"/>
          <w:sz w:val="21"/>
          <w:szCs w:val="21"/>
          <w:highlight w:val="none"/>
        </w:rPr>
        <w:t>十五日内确定中标人</w:t>
      </w:r>
      <w:r>
        <w:rPr>
          <w:rFonts w:hint="eastAsia" w:ascii="宋体" w:hAnsi="宋体" w:eastAsia="宋体" w:cs="宋体"/>
          <w:color w:val="auto"/>
          <w:kern w:val="2"/>
          <w:szCs w:val="21"/>
          <w:highlight w:val="none"/>
          <w:lang w:val="en-US" w:eastAsia="zh-CN"/>
        </w:rPr>
        <w:t>并向中标人发出中标通知书（因</w:t>
      </w:r>
      <w:r>
        <w:rPr>
          <w:rFonts w:hint="eastAsia" w:ascii="宋体" w:hAnsi="宋体" w:eastAsia="宋体" w:cs="宋体"/>
          <w:color w:val="auto"/>
          <w:kern w:val="2"/>
          <w:sz w:val="21"/>
          <w:szCs w:val="21"/>
          <w:highlight w:val="none"/>
        </w:rPr>
        <w:t>异议</w:t>
      </w:r>
      <w:r>
        <w:rPr>
          <w:rFonts w:hint="eastAsia" w:ascii="宋体" w:hAnsi="宋体" w:eastAsia="宋体" w:cs="宋体"/>
          <w:color w:val="auto"/>
          <w:kern w:val="2"/>
          <w:sz w:val="21"/>
          <w:szCs w:val="21"/>
          <w:highlight w:val="none"/>
          <w:lang w:eastAsia="zh-CN"/>
        </w:rPr>
        <w:t>、</w:t>
      </w:r>
      <w:r>
        <w:rPr>
          <w:rFonts w:hint="eastAsia" w:ascii="宋体" w:hAnsi="宋体" w:eastAsia="宋体" w:cs="宋体"/>
          <w:color w:val="auto"/>
          <w:kern w:val="2"/>
          <w:sz w:val="21"/>
          <w:szCs w:val="21"/>
          <w:highlight w:val="none"/>
          <w:lang w:val="en-US" w:eastAsia="zh-CN"/>
        </w:rPr>
        <w:t>投诉</w:t>
      </w:r>
      <w:r>
        <w:rPr>
          <w:rFonts w:hint="eastAsia" w:ascii="宋体" w:hAnsi="宋体" w:eastAsia="宋体" w:cs="宋体"/>
          <w:color w:val="auto"/>
          <w:kern w:val="2"/>
          <w:sz w:val="21"/>
          <w:szCs w:val="21"/>
          <w:highlight w:val="none"/>
        </w:rPr>
        <w:t>处理所需时间不计算在</w:t>
      </w:r>
      <w:r>
        <w:rPr>
          <w:rFonts w:hint="eastAsia" w:ascii="宋体" w:hAnsi="宋体" w:eastAsia="宋体" w:cs="宋体"/>
          <w:color w:val="auto"/>
          <w:kern w:val="2"/>
          <w:sz w:val="21"/>
          <w:szCs w:val="21"/>
          <w:highlight w:val="none"/>
          <w:lang w:val="en-US" w:eastAsia="zh-CN"/>
        </w:rPr>
        <w:t>该</w:t>
      </w:r>
      <w:r>
        <w:rPr>
          <w:rFonts w:hint="eastAsia" w:ascii="宋体" w:hAnsi="宋体" w:eastAsia="宋体" w:cs="宋体"/>
          <w:color w:val="auto"/>
          <w:kern w:val="2"/>
          <w:sz w:val="21"/>
          <w:szCs w:val="21"/>
          <w:highlight w:val="none"/>
        </w:rPr>
        <w:t>款规定的期限内</w:t>
      </w:r>
      <w:r>
        <w:rPr>
          <w:rFonts w:hint="eastAsia" w:ascii="宋体" w:hAnsi="宋体" w:eastAsia="宋体" w:cs="宋体"/>
          <w:color w:val="auto"/>
          <w:kern w:val="2"/>
          <w:szCs w:val="21"/>
          <w:highlight w:val="none"/>
          <w:lang w:val="en-US" w:eastAsia="zh-CN"/>
        </w:rPr>
        <w:t>），</w:t>
      </w:r>
      <w:r>
        <w:rPr>
          <w:rFonts w:hint="eastAsia" w:ascii="宋体" w:hAnsi="宋体" w:eastAsia="宋体" w:cs="宋体"/>
          <w:color w:val="auto"/>
          <w:szCs w:val="21"/>
          <w:highlight w:val="none"/>
        </w:rPr>
        <w:t>同时按规定的格式在“电子交易平台”发出中标结果公告，将中标结果通知未中标的投标人</w:t>
      </w:r>
      <w:r>
        <w:rPr>
          <w:rFonts w:hint="eastAsia" w:ascii="宋体" w:hAnsi="宋体" w:eastAsia="宋体" w:cs="宋体"/>
          <w:color w:val="auto"/>
          <w:kern w:val="2"/>
          <w:szCs w:val="21"/>
          <w:highlight w:val="none"/>
        </w:rPr>
        <w:t>。</w:t>
      </w:r>
      <w:r>
        <w:rPr>
          <w:rFonts w:hint="eastAsia" w:ascii="宋体" w:hAnsi="宋体" w:eastAsia="宋体" w:cs="宋体"/>
          <w:color w:val="auto"/>
          <w:kern w:val="2"/>
          <w:sz w:val="21"/>
          <w:szCs w:val="21"/>
          <w:highlight w:val="none"/>
        </w:rPr>
        <w:t>国家对期限另有规定的，从其规定。</w:t>
      </w:r>
    </w:p>
    <w:p>
      <w:pPr>
        <w:spacing w:line="360" w:lineRule="auto"/>
        <w:ind w:firstLine="420" w:firstLineChars="200"/>
        <w:rPr>
          <w:rFonts w:hint="eastAsia"/>
          <w:snapToGrid w:val="0"/>
          <w:color w:val="auto"/>
          <w:kern w:val="32"/>
          <w:szCs w:val="20"/>
          <w:highlight w:val="none"/>
        </w:rPr>
      </w:pPr>
      <w:r>
        <w:rPr>
          <w:rFonts w:hint="eastAsia" w:ascii="宋体" w:hAnsi="宋体" w:cs="宋体"/>
          <w:color w:val="auto"/>
          <w:szCs w:val="21"/>
          <w:highlight w:val="none"/>
        </w:rPr>
        <w:t>7.2.2采用“评定分离”法的，</w:t>
      </w:r>
      <w:r>
        <w:rPr>
          <w:rFonts w:hint="eastAsia"/>
          <w:snapToGrid w:val="0"/>
          <w:color w:val="auto"/>
          <w:kern w:val="32"/>
          <w:szCs w:val="20"/>
          <w:highlight w:val="none"/>
        </w:rPr>
        <w:t>拟定中标人公示期内无异议或投诉的，招标人应当在公示期满后及时发出中标通知书，同时发布中标</w:t>
      </w:r>
      <w:r>
        <w:rPr>
          <w:rFonts w:hint="eastAsia"/>
          <w:snapToGrid w:val="0"/>
          <w:color w:val="auto"/>
          <w:kern w:val="32"/>
          <w:szCs w:val="20"/>
          <w:highlight w:val="none"/>
          <w:lang w:val="en-US" w:eastAsia="zh-CN"/>
        </w:rPr>
        <w:t>结果</w:t>
      </w:r>
      <w:r>
        <w:rPr>
          <w:rFonts w:hint="eastAsia"/>
          <w:snapToGrid w:val="0"/>
          <w:color w:val="auto"/>
          <w:kern w:val="32"/>
          <w:szCs w:val="20"/>
          <w:highlight w:val="none"/>
        </w:rPr>
        <w:t>公告。公告内容包括中标人名称、中标价和项目负责人等信息。</w:t>
      </w:r>
    </w:p>
    <w:p>
      <w:pPr>
        <w:pStyle w:val="2"/>
        <w:spacing w:before="0"/>
        <w:rPr>
          <w:rFonts w:hint="default" w:eastAsia="宋体"/>
          <w:color w:val="auto"/>
          <w:highlight w:val="none"/>
          <w:lang w:val="en-US" w:eastAsia="zh-CN"/>
        </w:rPr>
      </w:pPr>
      <w:r>
        <w:rPr>
          <w:rFonts w:hint="eastAsia"/>
          <w:snapToGrid w:val="0"/>
          <w:color w:val="auto"/>
          <w:kern w:val="32"/>
          <w:szCs w:val="20"/>
          <w:highlight w:val="none"/>
          <w:lang w:val="en-US" w:eastAsia="zh-CN"/>
        </w:rPr>
        <w:t>7.2.3</w:t>
      </w:r>
      <w:r>
        <w:rPr>
          <w:rFonts w:hint="eastAsia" w:ascii="宋体" w:hAnsi="宋体" w:cs="宋体"/>
          <w:color w:val="auto"/>
          <w:szCs w:val="21"/>
          <w:highlight w:val="none"/>
        </w:rPr>
        <w:t>采用“评定分离”法的，</w:t>
      </w:r>
      <w:r>
        <w:rPr>
          <w:rFonts w:hint="eastAsia"/>
          <w:snapToGrid w:val="0"/>
          <w:color w:val="auto"/>
          <w:kern w:val="32"/>
          <w:szCs w:val="20"/>
          <w:highlight w:val="none"/>
        </w:rPr>
        <w:t>投标人或者其他利害关系人对中标结果有异议的，应当在拟定中标人公示期间提出。异议或投诉处理决定不改变评标委员会推荐的中标候选人名单。中标候选人公示</w:t>
      </w:r>
      <w:r>
        <w:rPr>
          <w:rFonts w:hint="eastAsia"/>
          <w:snapToGrid w:val="0"/>
          <w:color w:val="auto"/>
          <w:kern w:val="32"/>
          <w:szCs w:val="20"/>
          <w:highlight w:val="none"/>
          <w:lang w:eastAsia="zh-CN"/>
        </w:rPr>
        <w:t>（</w:t>
      </w:r>
      <w:r>
        <w:rPr>
          <w:rFonts w:hint="eastAsia"/>
          <w:snapToGrid w:val="0"/>
          <w:color w:val="auto"/>
          <w:kern w:val="32"/>
          <w:szCs w:val="20"/>
          <w:highlight w:val="none"/>
          <w:lang w:val="en-US" w:eastAsia="zh-CN"/>
        </w:rPr>
        <w:t>即评标结果公示</w:t>
      </w:r>
      <w:r>
        <w:rPr>
          <w:rFonts w:hint="eastAsia"/>
          <w:snapToGrid w:val="0"/>
          <w:color w:val="auto"/>
          <w:kern w:val="32"/>
          <w:szCs w:val="20"/>
          <w:highlight w:val="none"/>
          <w:lang w:eastAsia="zh-CN"/>
        </w:rPr>
        <w:t>）</w:t>
      </w:r>
      <w:r>
        <w:rPr>
          <w:rFonts w:hint="eastAsia"/>
          <w:snapToGrid w:val="0"/>
          <w:color w:val="auto"/>
          <w:kern w:val="32"/>
          <w:szCs w:val="20"/>
          <w:highlight w:val="none"/>
        </w:rPr>
        <w:t>期间已经处理过的异议或投诉，投标人或者其他利害关系人不得在拟定中标人公示期间以相同理由再次提出相同异议或投诉。</w:t>
      </w:r>
    </w:p>
    <w:p>
      <w:pPr>
        <w:pStyle w:val="6"/>
        <w:rPr>
          <w:rFonts w:ascii="宋体" w:hAnsi="宋体" w:cs="宋体"/>
          <w:color w:val="auto"/>
          <w:highlight w:val="none"/>
        </w:rPr>
      </w:pPr>
      <w:bookmarkStart w:id="440" w:name="_Toc389065187"/>
      <w:bookmarkStart w:id="441" w:name="_Toc3030"/>
      <w:bookmarkStart w:id="442" w:name="_Toc30985"/>
      <w:bookmarkStart w:id="443" w:name="_Toc17464"/>
      <w:bookmarkStart w:id="444" w:name="_Toc508286111"/>
      <w:bookmarkStart w:id="445" w:name="_Toc22731"/>
      <w:bookmarkStart w:id="446" w:name="_Toc27759"/>
      <w:bookmarkStart w:id="447" w:name="_Toc28579"/>
      <w:r>
        <w:rPr>
          <w:rFonts w:hint="eastAsia" w:ascii="宋体" w:hAnsi="宋体" w:cs="宋体"/>
          <w:color w:val="auto"/>
          <w:highlight w:val="none"/>
        </w:rPr>
        <w:t>7.3 履约</w:t>
      </w:r>
      <w:bookmarkEnd w:id="440"/>
      <w:r>
        <w:rPr>
          <w:rFonts w:hint="eastAsia" w:ascii="宋体" w:hAnsi="宋体" w:cs="宋体"/>
          <w:color w:val="auto"/>
          <w:highlight w:val="none"/>
        </w:rPr>
        <w:t>保证金</w:t>
      </w:r>
      <w:bookmarkEnd w:id="441"/>
      <w:bookmarkEnd w:id="442"/>
      <w:bookmarkEnd w:id="443"/>
      <w:bookmarkEnd w:id="444"/>
      <w:bookmarkEnd w:id="445"/>
      <w:bookmarkEnd w:id="446"/>
      <w:bookmarkEnd w:id="447"/>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7.3.1 在签订合同前，中标人应按“投标人须知前附表”规定的金额、担保形式向</w:t>
      </w:r>
      <w:r>
        <w:rPr>
          <w:rFonts w:hint="eastAsia" w:ascii="宋体" w:hAnsi="宋体" w:cs="宋体"/>
          <w:color w:val="auto"/>
          <w:szCs w:val="21"/>
          <w:highlight w:val="none"/>
          <w:lang w:val="en-US" w:eastAsia="zh-CN"/>
        </w:rPr>
        <w:t>招标人</w:t>
      </w:r>
      <w:r>
        <w:rPr>
          <w:rFonts w:hint="eastAsia" w:ascii="宋体" w:hAnsi="宋体" w:cs="宋体"/>
          <w:color w:val="auto"/>
          <w:szCs w:val="21"/>
          <w:highlight w:val="none"/>
        </w:rPr>
        <w:t>提交履约保证金。联合体中标的，其履约保证金</w:t>
      </w:r>
      <w:r>
        <w:rPr>
          <w:rFonts w:hint="eastAsia" w:ascii="宋体" w:hAnsi="宋体" w:eastAsia="宋体" w:cs="宋体"/>
          <w:color w:val="auto"/>
          <w:szCs w:val="21"/>
          <w:highlight w:val="none"/>
        </w:rPr>
        <w:t>以联合体</w:t>
      </w:r>
      <w:r>
        <w:rPr>
          <w:rFonts w:hint="eastAsia" w:ascii="宋体" w:hAnsi="宋体" w:eastAsia="宋体" w:cs="宋体"/>
          <w:color w:val="auto"/>
          <w:szCs w:val="21"/>
          <w:highlight w:val="none"/>
          <w:lang w:val="en-US" w:eastAsia="zh-CN"/>
        </w:rPr>
        <w:t>中</w:t>
      </w:r>
      <w:r>
        <w:rPr>
          <w:rFonts w:hint="eastAsia" w:ascii="宋体" w:hAnsi="宋体" w:eastAsia="宋体" w:cs="宋体"/>
          <w:color w:val="auto"/>
          <w:szCs w:val="21"/>
          <w:highlight w:val="none"/>
        </w:rPr>
        <w:t>牵头人的名义提交</w:t>
      </w:r>
      <w:r>
        <w:rPr>
          <w:rFonts w:hint="eastAsia" w:ascii="宋体" w:hAnsi="宋体" w:cs="宋体"/>
          <w:color w:val="auto"/>
          <w:szCs w:val="21"/>
          <w:highlight w:val="none"/>
        </w:rPr>
        <w:t>，并应符合“投标人须知前附表”规定的金额、担保形式要求。</w:t>
      </w:r>
      <w:r>
        <w:rPr>
          <w:rFonts w:hint="eastAsia" w:ascii="宋体" w:hAnsi="宋体"/>
          <w:lang w:val="en-US" w:eastAsia="zh-CN"/>
        </w:rPr>
        <w:t>中标人</w:t>
      </w:r>
      <w:r>
        <w:rPr>
          <w:rFonts w:hint="eastAsia" w:ascii="宋体" w:hAnsi="宋体"/>
        </w:rPr>
        <w:t>符合</w:t>
      </w:r>
      <w:r>
        <w:rPr>
          <w:rFonts w:hint="eastAsia" w:ascii="宋体" w:hAnsi="宋体"/>
          <w:lang w:val="en-US" w:eastAsia="zh-CN"/>
        </w:rPr>
        <w:t>第四章合同条款及格式专用合同条件第4.2项中</w:t>
      </w:r>
      <w:r>
        <w:rPr>
          <w:rFonts w:hint="eastAsia" w:ascii="宋体" w:hAnsi="宋体" w:cs="Arial"/>
          <w:color w:val="auto"/>
          <w:szCs w:val="21"/>
          <w:highlight w:val="none"/>
        </w:rPr>
        <w:t>履约保证金优惠政策</w:t>
      </w:r>
      <w:r>
        <w:rPr>
          <w:rFonts w:hint="eastAsia" w:ascii="宋体" w:hAnsi="宋体" w:cs="宋体"/>
          <w:szCs w:val="21"/>
        </w:rPr>
        <w:t>条款的，按该条款执行</w:t>
      </w:r>
      <w:r>
        <w:rPr>
          <w:rFonts w:hint="eastAsia" w:ascii="宋体" w:hAnsi="宋体"/>
          <w:lang w:eastAsia="zh-CN"/>
        </w:rPr>
        <w:t>。</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7.3.2 中标人不能按本章第7.3.1项要求提交履约保证金的，视为放弃中标，其投标保证金不予退还，给招标人造成的损失超过投标保证金数额的，中标人还应当对超过部分予以赔偿。</w:t>
      </w:r>
    </w:p>
    <w:p>
      <w:pPr>
        <w:pStyle w:val="6"/>
        <w:rPr>
          <w:rFonts w:ascii="宋体" w:hAnsi="宋体" w:cs="宋体"/>
          <w:color w:val="auto"/>
          <w:highlight w:val="none"/>
        </w:rPr>
      </w:pPr>
      <w:bookmarkStart w:id="448" w:name="_Toc389065188"/>
      <w:bookmarkStart w:id="449" w:name="_Toc14000"/>
      <w:bookmarkStart w:id="450" w:name="_Toc8963"/>
      <w:bookmarkStart w:id="451" w:name="_Toc508286112"/>
      <w:bookmarkStart w:id="452" w:name="_Toc29182"/>
      <w:bookmarkStart w:id="453" w:name="_Toc11764"/>
      <w:bookmarkStart w:id="454" w:name="_Toc12069"/>
      <w:bookmarkStart w:id="455" w:name="_Toc4242"/>
      <w:r>
        <w:rPr>
          <w:rFonts w:hint="eastAsia" w:ascii="宋体" w:hAnsi="宋体" w:cs="宋体"/>
          <w:color w:val="auto"/>
          <w:highlight w:val="none"/>
        </w:rPr>
        <w:t>7.4 签订合同</w:t>
      </w:r>
      <w:bookmarkEnd w:id="448"/>
      <w:bookmarkEnd w:id="449"/>
      <w:bookmarkEnd w:id="450"/>
      <w:bookmarkEnd w:id="451"/>
      <w:bookmarkEnd w:id="452"/>
      <w:bookmarkEnd w:id="453"/>
      <w:bookmarkEnd w:id="454"/>
      <w:bookmarkEnd w:id="455"/>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7.4.1 招标人和中标人应当在投标有效期内以及中标通知书发出之日起30天内，根据招标文件和中标人的投标文件订立书面合同。</w:t>
      </w:r>
      <w:r>
        <w:rPr>
          <w:rFonts w:hint="eastAsia"/>
          <w:snapToGrid w:val="0"/>
          <w:color w:val="auto"/>
          <w:kern w:val="32"/>
          <w:szCs w:val="20"/>
          <w:highlight w:val="none"/>
        </w:rPr>
        <w:t>招标人和中标人不得再行订立背离合同实质性内容的其他协议。</w:t>
      </w:r>
      <w:r>
        <w:rPr>
          <w:rFonts w:hint="eastAsia" w:ascii="宋体" w:hAnsi="宋体" w:cs="宋体"/>
          <w:color w:val="auto"/>
          <w:szCs w:val="21"/>
          <w:highlight w:val="none"/>
        </w:rPr>
        <w:t>中标人无正当理由拒签合同的，招标人取消其中标资格，其投标保证金不予退还；给招标人造成的损失超过投标保证金数额的，中标人还应当对超过部分予以赔偿。对依法必须进行招标的项目的中标人，由有关行政监督部门责令改正。</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 xml:space="preserve">7.4.2 </w:t>
      </w:r>
      <w:r>
        <w:rPr>
          <w:rFonts w:hint="eastAsia" w:ascii="宋体" w:hAnsi="宋体" w:cs="宋体"/>
          <w:color w:val="auto"/>
          <w:szCs w:val="21"/>
          <w:highlight w:val="none"/>
          <w:lang w:val="en-US" w:eastAsia="zh-CN"/>
        </w:rPr>
        <w:t>不</w:t>
      </w:r>
      <w:r>
        <w:rPr>
          <w:rFonts w:hint="eastAsia" w:ascii="宋体" w:hAnsi="宋体" w:cs="宋体"/>
          <w:color w:val="auto"/>
          <w:szCs w:val="21"/>
          <w:highlight w:val="none"/>
        </w:rPr>
        <w:t>采用“评定分离”法的</w:t>
      </w:r>
      <w:r>
        <w:rPr>
          <w:rFonts w:hint="eastAsia" w:ascii="宋体" w:hAnsi="宋体" w:cs="宋体"/>
          <w:color w:val="auto"/>
          <w:szCs w:val="21"/>
          <w:highlight w:val="none"/>
          <w:lang w:val="en-US" w:eastAsia="zh-CN"/>
        </w:rPr>
        <w:t>项目</w:t>
      </w:r>
      <w:r>
        <w:rPr>
          <w:rFonts w:hint="eastAsia" w:ascii="宋体" w:hAnsi="宋体" w:cs="宋体"/>
          <w:color w:val="auto"/>
          <w:szCs w:val="21"/>
          <w:highlight w:val="none"/>
        </w:rPr>
        <w:t>，排名第一的中标候选人</w:t>
      </w:r>
      <w:r>
        <w:rPr>
          <w:rFonts w:hint="eastAsia" w:ascii="宋体" w:hAnsi="宋体" w:eastAsia="宋体" w:cs="宋体"/>
          <w:color w:val="auto"/>
          <w:szCs w:val="21"/>
          <w:highlight w:val="none"/>
        </w:rPr>
        <w:t>{</w:t>
      </w:r>
      <w:r>
        <w:rPr>
          <w:rFonts w:hint="eastAsia" w:ascii="宋体" w:hAnsi="宋体" w:cs="宋体"/>
          <w:color w:val="auto"/>
          <w:szCs w:val="21"/>
          <w:highlight w:val="none"/>
        </w:rPr>
        <w:t>或者评标委员会依据招标人的授权直接确定的中标人</w:t>
      </w:r>
      <w:r>
        <w:rPr>
          <w:rFonts w:hint="eastAsia" w:ascii="宋体" w:hAnsi="宋体" w:eastAsia="宋体" w:cs="宋体"/>
          <w:color w:val="auto"/>
          <w:szCs w:val="21"/>
          <w:highlight w:val="none"/>
        </w:rPr>
        <w:t>}</w:t>
      </w:r>
      <w:r>
        <w:rPr>
          <w:rFonts w:hint="eastAsia" w:ascii="宋体" w:hAnsi="宋体" w:cs="宋体"/>
          <w:color w:val="auto"/>
          <w:szCs w:val="21"/>
          <w:highlight w:val="none"/>
        </w:rPr>
        <w:t>放弃中标，或因不可抗力不能履行合同，或不按照招标文件要求提交履约保证金，或者被查实存在影响中标结果的违法行为等情形，不符合中标条件的，招标人可以按照评标委员会提出的中标候选人名单排序依次确定其他中标候选人为中标人，也可以重新招标。</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lang w:val="en-US" w:eastAsia="zh-CN"/>
        </w:rPr>
        <w:t>7.4.3</w:t>
      </w:r>
      <w:r>
        <w:rPr>
          <w:rFonts w:hint="eastAsia" w:ascii="宋体" w:hAnsi="宋体" w:cs="宋体"/>
          <w:color w:val="auto"/>
          <w:szCs w:val="21"/>
          <w:highlight w:val="none"/>
        </w:rPr>
        <w:t>采用“评定分离”法的</w:t>
      </w:r>
      <w:r>
        <w:rPr>
          <w:rFonts w:hint="eastAsia" w:ascii="宋体" w:hAnsi="宋体" w:cs="宋体"/>
          <w:color w:val="auto"/>
          <w:szCs w:val="21"/>
          <w:highlight w:val="none"/>
          <w:lang w:val="en-US" w:eastAsia="zh-CN"/>
        </w:rPr>
        <w:t>项目</w:t>
      </w:r>
      <w:r>
        <w:rPr>
          <w:rFonts w:hint="eastAsia" w:ascii="宋体" w:hAnsi="宋体" w:cs="宋体"/>
          <w:color w:val="auto"/>
          <w:szCs w:val="21"/>
          <w:highlight w:val="none"/>
        </w:rPr>
        <w:t>，</w:t>
      </w:r>
      <w:r>
        <w:rPr>
          <w:rFonts w:hint="eastAsia"/>
          <w:snapToGrid w:val="0"/>
          <w:color w:val="auto"/>
          <w:kern w:val="32"/>
          <w:szCs w:val="20"/>
          <w:highlight w:val="none"/>
        </w:rPr>
        <w:t>中标人放弃中标、因不可抗力提出不能履行合同，或者招标文件规定应当提交履约保证金而且在规定的期限内未能提交的，或者被查实存在影响中标结果的违法行为等情形，不符合中标条件的，招标人可以采用原定标</w:t>
      </w:r>
      <w:r>
        <w:rPr>
          <w:rFonts w:hint="eastAsia"/>
          <w:snapToGrid w:val="0"/>
          <w:color w:val="auto"/>
          <w:kern w:val="32"/>
          <w:szCs w:val="20"/>
          <w:highlight w:val="none"/>
          <w:lang w:val="en-US" w:eastAsia="zh-CN"/>
        </w:rPr>
        <w:t>方案</w:t>
      </w:r>
      <w:r>
        <w:rPr>
          <w:rFonts w:hint="eastAsia"/>
          <w:snapToGrid w:val="0"/>
          <w:color w:val="auto"/>
          <w:kern w:val="32"/>
          <w:szCs w:val="20"/>
          <w:highlight w:val="none"/>
        </w:rPr>
        <w:t>，由原定标委员会在中标候选人名单中重新确定中标人并公示。其他中标候选人与招标人预期差距较大，或者对招标人明显不利的，招标人可以重新招标。</w:t>
      </w:r>
    </w:p>
    <w:p>
      <w:pPr>
        <w:spacing w:line="360" w:lineRule="auto"/>
        <w:ind w:firstLine="420" w:firstLineChars="200"/>
        <w:rPr>
          <w:rFonts w:ascii="宋体" w:hAnsi="宋体" w:cs="宋体"/>
          <w:color w:val="auto"/>
          <w:highlight w:val="none"/>
        </w:rPr>
      </w:pPr>
      <w:r>
        <w:rPr>
          <w:rFonts w:hint="eastAsia" w:ascii="宋体" w:hAnsi="宋体" w:cs="宋体"/>
          <w:color w:val="auto"/>
          <w:szCs w:val="21"/>
          <w:highlight w:val="none"/>
        </w:rPr>
        <w:t>7.4.</w:t>
      </w:r>
      <w:r>
        <w:rPr>
          <w:rFonts w:hint="eastAsia" w:ascii="宋体" w:hAnsi="宋体" w:cs="宋体"/>
          <w:color w:val="auto"/>
          <w:szCs w:val="21"/>
          <w:highlight w:val="none"/>
          <w:lang w:val="en-US" w:eastAsia="zh-CN"/>
        </w:rPr>
        <w:t>4</w:t>
      </w:r>
      <w:r>
        <w:rPr>
          <w:rFonts w:hint="eastAsia" w:ascii="宋体" w:hAnsi="宋体" w:cs="宋体"/>
          <w:color w:val="auto"/>
          <w:szCs w:val="21"/>
          <w:highlight w:val="none"/>
        </w:rPr>
        <w:t xml:space="preserve"> 发出中标通知书后，招标人无正当理由拒签合同的，由有关行政监督部门给予警告，责令改正。同时招标人向中标人退还投标保证金；给中标人造成损失的，还应当赔偿损失。</w:t>
      </w:r>
      <w:bookmarkStart w:id="456" w:name="_Toc389065189"/>
    </w:p>
    <w:bookmarkEnd w:id="456"/>
    <w:p>
      <w:pPr>
        <w:pStyle w:val="5"/>
        <w:spacing w:line="360" w:lineRule="auto"/>
        <w:rPr>
          <w:rFonts w:ascii="宋体" w:hAnsi="宋体" w:cs="宋体"/>
          <w:color w:val="auto"/>
          <w:highlight w:val="none"/>
        </w:rPr>
      </w:pPr>
      <w:bookmarkStart w:id="457" w:name="_Toc28545"/>
      <w:bookmarkStart w:id="458" w:name="_Toc31381"/>
      <w:bookmarkStart w:id="459" w:name="_Toc21699"/>
      <w:bookmarkStart w:id="460" w:name="_Toc508286113"/>
      <w:bookmarkStart w:id="461" w:name="_Toc29874"/>
      <w:bookmarkStart w:id="462" w:name="_Toc389065192"/>
      <w:bookmarkStart w:id="463" w:name="_Toc14908"/>
      <w:bookmarkStart w:id="464" w:name="_Toc3639"/>
      <w:r>
        <w:rPr>
          <w:rFonts w:hint="eastAsia" w:ascii="宋体" w:hAnsi="宋体" w:cs="宋体"/>
          <w:color w:val="auto"/>
          <w:highlight w:val="none"/>
        </w:rPr>
        <w:t>8 纪律和监督</w:t>
      </w:r>
      <w:bookmarkEnd w:id="457"/>
      <w:bookmarkEnd w:id="458"/>
      <w:bookmarkEnd w:id="459"/>
      <w:bookmarkEnd w:id="460"/>
      <w:bookmarkEnd w:id="461"/>
      <w:bookmarkEnd w:id="462"/>
      <w:bookmarkEnd w:id="463"/>
      <w:bookmarkEnd w:id="464"/>
    </w:p>
    <w:p>
      <w:pPr>
        <w:pStyle w:val="6"/>
        <w:rPr>
          <w:rFonts w:ascii="宋体" w:hAnsi="宋体" w:cs="宋体"/>
          <w:color w:val="auto"/>
          <w:highlight w:val="none"/>
        </w:rPr>
      </w:pPr>
      <w:bookmarkStart w:id="465" w:name="_Toc18920"/>
      <w:bookmarkStart w:id="466" w:name="_Toc508286114"/>
      <w:bookmarkStart w:id="467" w:name="_Toc13295"/>
      <w:bookmarkStart w:id="468" w:name="_Toc10619"/>
      <w:bookmarkStart w:id="469" w:name="_Toc31264"/>
      <w:bookmarkStart w:id="470" w:name="_Toc389065193"/>
      <w:bookmarkStart w:id="471" w:name="_Toc17284"/>
      <w:bookmarkStart w:id="472" w:name="_Toc3955"/>
      <w:r>
        <w:rPr>
          <w:rFonts w:hint="eastAsia" w:ascii="宋体" w:hAnsi="宋体" w:cs="宋体"/>
          <w:color w:val="auto"/>
          <w:highlight w:val="none"/>
        </w:rPr>
        <w:t>8.1 对招标人的纪律要求</w:t>
      </w:r>
      <w:bookmarkEnd w:id="465"/>
      <w:bookmarkEnd w:id="466"/>
      <w:bookmarkEnd w:id="467"/>
      <w:bookmarkEnd w:id="468"/>
      <w:bookmarkEnd w:id="469"/>
      <w:bookmarkEnd w:id="470"/>
      <w:bookmarkEnd w:id="471"/>
      <w:bookmarkEnd w:id="472"/>
    </w:p>
    <w:p>
      <w:pPr>
        <w:spacing w:line="360" w:lineRule="auto"/>
        <w:ind w:firstLine="420" w:firstLineChars="200"/>
        <w:rPr>
          <w:rFonts w:ascii="宋体" w:hAnsi="宋体" w:cs="宋体"/>
          <w:color w:val="auto"/>
          <w:kern w:val="0"/>
          <w:szCs w:val="21"/>
          <w:highlight w:val="none"/>
        </w:rPr>
      </w:pPr>
      <w:r>
        <w:rPr>
          <w:rFonts w:hint="eastAsia" w:ascii="宋体" w:hAnsi="宋体" w:cs="宋体"/>
          <w:color w:val="auto"/>
          <w:szCs w:val="21"/>
          <w:highlight w:val="none"/>
        </w:rPr>
        <w:t>招标人不得泄漏招标投标活动中应当保密的情况和资料，不得与投标人串通损害国家利益、社会公共利益或者他人合法权益。</w:t>
      </w:r>
    </w:p>
    <w:p>
      <w:pPr>
        <w:pStyle w:val="6"/>
        <w:rPr>
          <w:rFonts w:ascii="宋体" w:hAnsi="宋体" w:cs="宋体"/>
          <w:color w:val="auto"/>
          <w:highlight w:val="none"/>
        </w:rPr>
      </w:pPr>
      <w:bookmarkStart w:id="473" w:name="_Toc24433"/>
      <w:bookmarkStart w:id="474" w:name="_Toc14387"/>
      <w:bookmarkStart w:id="475" w:name="_Toc24349"/>
      <w:bookmarkStart w:id="476" w:name="_Toc11047"/>
      <w:bookmarkStart w:id="477" w:name="_Toc508286115"/>
      <w:bookmarkStart w:id="478" w:name="_Toc22844"/>
      <w:bookmarkStart w:id="479" w:name="_Toc29292"/>
      <w:r>
        <w:rPr>
          <w:rFonts w:hint="eastAsia" w:ascii="宋体" w:hAnsi="宋体" w:cs="宋体"/>
          <w:color w:val="auto"/>
          <w:highlight w:val="none"/>
        </w:rPr>
        <w:t>8.2 对投标人的纪律要求</w:t>
      </w:r>
      <w:bookmarkEnd w:id="473"/>
      <w:bookmarkEnd w:id="474"/>
      <w:bookmarkEnd w:id="475"/>
      <w:bookmarkEnd w:id="476"/>
      <w:bookmarkEnd w:id="477"/>
      <w:bookmarkEnd w:id="478"/>
      <w:bookmarkEnd w:id="479"/>
    </w:p>
    <w:p>
      <w:pPr>
        <w:autoSpaceDE w:val="0"/>
        <w:autoSpaceDN w:val="0"/>
        <w:adjustRightInd w:val="0"/>
        <w:spacing w:line="360" w:lineRule="auto"/>
        <w:ind w:firstLine="315" w:firstLineChars="150"/>
        <w:jc w:val="left"/>
        <w:rPr>
          <w:rFonts w:ascii="宋体" w:cs="仿宋_GB2312"/>
          <w:color w:val="auto"/>
          <w:kern w:val="0"/>
          <w:szCs w:val="21"/>
          <w:highlight w:val="none"/>
        </w:rPr>
      </w:pPr>
      <w:r>
        <w:rPr>
          <w:rFonts w:hint="eastAsia" w:ascii="宋体" w:hAnsi="宋体" w:cs="仿宋_GB2312"/>
          <w:color w:val="auto"/>
          <w:kern w:val="0"/>
          <w:szCs w:val="21"/>
          <w:highlight w:val="none"/>
        </w:rPr>
        <w:t>投标人不得相互串通投标或者与招标人串通投标，不得向招标人或者评标委员会成员或定标委员会成员行贿谋取中标，不得以他人名义投标或者以其他方式弄虚作假骗取中标；投标人不得以任何方式干扰、影响评标、定标工作。</w:t>
      </w:r>
    </w:p>
    <w:p>
      <w:pPr>
        <w:pStyle w:val="6"/>
        <w:rPr>
          <w:rFonts w:ascii="宋体" w:hAnsi="宋体" w:cs="宋体"/>
          <w:color w:val="auto"/>
          <w:highlight w:val="none"/>
        </w:rPr>
      </w:pPr>
      <w:bookmarkStart w:id="480" w:name="_Toc4075"/>
      <w:bookmarkStart w:id="481" w:name="_Toc23314"/>
      <w:bookmarkStart w:id="482" w:name="_Toc3252"/>
      <w:bookmarkStart w:id="483" w:name="_Toc389065194"/>
      <w:bookmarkStart w:id="484" w:name="_Toc508286116"/>
      <w:bookmarkStart w:id="485" w:name="_Toc24723"/>
      <w:bookmarkStart w:id="486" w:name="_Toc29969"/>
      <w:bookmarkStart w:id="487" w:name="_Toc9064"/>
      <w:r>
        <w:rPr>
          <w:rFonts w:hint="eastAsia" w:ascii="宋体" w:hAnsi="宋体" w:cs="宋体"/>
          <w:color w:val="auto"/>
          <w:highlight w:val="none"/>
        </w:rPr>
        <w:t>8.3 对评标委员会成员的纪律要求</w:t>
      </w:r>
      <w:bookmarkEnd w:id="480"/>
      <w:bookmarkEnd w:id="481"/>
      <w:bookmarkEnd w:id="482"/>
      <w:bookmarkEnd w:id="483"/>
      <w:bookmarkEnd w:id="484"/>
      <w:bookmarkEnd w:id="485"/>
      <w:bookmarkEnd w:id="486"/>
      <w:bookmarkEnd w:id="487"/>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第三章“评标办法”没有规定的评审因素和标准进行评标。</w:t>
      </w:r>
    </w:p>
    <w:p>
      <w:pPr>
        <w:pStyle w:val="6"/>
        <w:rPr>
          <w:rFonts w:ascii="宋体" w:hAnsi="宋体" w:cs="宋体"/>
          <w:color w:val="auto"/>
          <w:highlight w:val="none"/>
        </w:rPr>
      </w:pPr>
      <w:bookmarkStart w:id="488" w:name="_Toc16054"/>
      <w:bookmarkStart w:id="489" w:name="_Toc508286117"/>
      <w:bookmarkStart w:id="490" w:name="_Toc23076"/>
      <w:bookmarkStart w:id="491" w:name="_Toc23680"/>
      <w:bookmarkStart w:id="492" w:name="_Toc26281"/>
      <w:bookmarkStart w:id="493" w:name="_Toc28"/>
      <w:bookmarkStart w:id="494" w:name="_Toc389065195"/>
      <w:bookmarkStart w:id="495" w:name="_Toc5076"/>
      <w:r>
        <w:rPr>
          <w:rFonts w:hint="eastAsia" w:ascii="宋体" w:hAnsi="宋体" w:cs="宋体"/>
          <w:color w:val="auto"/>
          <w:highlight w:val="none"/>
        </w:rPr>
        <w:t>8.4 对与评标活动有关的工作人员的纪律要求</w:t>
      </w:r>
      <w:bookmarkEnd w:id="488"/>
      <w:bookmarkEnd w:id="489"/>
      <w:bookmarkEnd w:id="490"/>
      <w:bookmarkEnd w:id="491"/>
      <w:bookmarkEnd w:id="492"/>
      <w:bookmarkEnd w:id="493"/>
      <w:bookmarkEnd w:id="494"/>
      <w:bookmarkEnd w:id="495"/>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与</w:t>
      </w:r>
      <w:r>
        <w:rPr>
          <w:rFonts w:hint="eastAsia" w:ascii="宋体" w:hAnsi="宋体" w:cs="宋体"/>
          <w:color w:val="auto"/>
          <w:szCs w:val="21"/>
          <w:highlight w:val="none"/>
        </w:rPr>
        <w:t>评标活动有关的工作人员不得收受他人的财物或者其他好处，不得向他人透漏对投标文件的评审和比较、中标候选人的推荐情况以及评标有关的其他情况。在评标活动中，与评标活动有关的工作人员不得擅离职守，影响评标程序正常进行。</w:t>
      </w:r>
      <w:bookmarkStart w:id="496" w:name="_Toc389065196"/>
    </w:p>
    <w:p>
      <w:pPr>
        <w:pStyle w:val="6"/>
        <w:rPr>
          <w:rFonts w:ascii="宋体" w:hAnsi="宋体" w:cs="宋体"/>
          <w:color w:val="auto"/>
          <w:highlight w:val="none"/>
        </w:rPr>
      </w:pPr>
      <w:bookmarkStart w:id="497" w:name="_Toc30969"/>
      <w:bookmarkStart w:id="498" w:name="_Toc12732"/>
      <w:bookmarkStart w:id="499" w:name="_Toc508286118"/>
      <w:bookmarkStart w:id="500" w:name="_Toc17287"/>
      <w:bookmarkStart w:id="501" w:name="_Toc32275"/>
      <w:bookmarkStart w:id="502" w:name="_Toc1550"/>
      <w:bookmarkStart w:id="503" w:name="_Toc22767"/>
      <w:r>
        <w:rPr>
          <w:rFonts w:hint="eastAsia" w:ascii="宋体" w:hAnsi="宋体" w:cs="宋体"/>
          <w:color w:val="auto"/>
          <w:highlight w:val="none"/>
        </w:rPr>
        <w:t>8.5 投诉</w:t>
      </w:r>
      <w:bookmarkEnd w:id="496"/>
      <w:bookmarkEnd w:id="497"/>
      <w:bookmarkEnd w:id="498"/>
      <w:bookmarkEnd w:id="499"/>
      <w:bookmarkEnd w:id="500"/>
      <w:bookmarkEnd w:id="501"/>
      <w:bookmarkEnd w:id="502"/>
      <w:bookmarkEnd w:id="503"/>
      <w:bookmarkStart w:id="504" w:name="_Toc389065197"/>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8.5.1投标人和其他利害关系人认为本次招标活动违反法律、法规和规章规定的，可以在知道或者应当知道之日起十日内向“投标人须知前附表”明确的招投标行政监督部门提出投诉。投诉应当有明确的请求和必要的证明材料。</w:t>
      </w:r>
    </w:p>
    <w:p>
      <w:pPr>
        <w:pStyle w:val="190"/>
        <w:spacing w:line="360" w:lineRule="auto"/>
        <w:ind w:firstLine="420" w:firstLineChars="200"/>
        <w:rPr>
          <w:color w:val="auto"/>
          <w:highlight w:val="none"/>
        </w:rPr>
      </w:pPr>
      <w:r>
        <w:rPr>
          <w:rFonts w:hint="eastAsia"/>
          <w:color w:val="auto"/>
          <w:highlight w:val="none"/>
        </w:rPr>
        <w:t>8.5.2就《中华人民共和国招标投标法实施条例》第二十二条、第四十四条、第五十四条规定事项投诉的，应当先向招标人提出异议。</w:t>
      </w:r>
    </w:p>
    <w:bookmarkEnd w:id="504"/>
    <w:p>
      <w:pPr>
        <w:pStyle w:val="6"/>
        <w:rPr>
          <w:rFonts w:ascii="宋体" w:hAnsi="宋体" w:cs="宋体"/>
          <w:color w:val="auto"/>
          <w:highlight w:val="none"/>
        </w:rPr>
      </w:pPr>
      <w:bookmarkStart w:id="505" w:name="_Toc2158"/>
      <w:bookmarkStart w:id="506" w:name="_Toc5210"/>
      <w:bookmarkStart w:id="507" w:name="_Toc1954"/>
      <w:bookmarkStart w:id="508" w:name="_Toc508286119"/>
      <w:bookmarkStart w:id="509" w:name="_Toc17666"/>
      <w:bookmarkStart w:id="510" w:name="_Toc21835"/>
      <w:bookmarkStart w:id="511" w:name="_Toc13981"/>
      <w:r>
        <w:rPr>
          <w:rFonts w:hint="eastAsia" w:ascii="宋体" w:hAnsi="宋体" w:cs="宋体"/>
          <w:color w:val="auto"/>
          <w:highlight w:val="none"/>
        </w:rPr>
        <w:t>9 解释权</w:t>
      </w:r>
      <w:bookmarkEnd w:id="505"/>
      <w:bookmarkEnd w:id="506"/>
      <w:bookmarkEnd w:id="507"/>
      <w:bookmarkEnd w:id="508"/>
      <w:bookmarkEnd w:id="509"/>
      <w:bookmarkEnd w:id="510"/>
      <w:bookmarkEnd w:id="511"/>
    </w:p>
    <w:p>
      <w:pPr>
        <w:numPr>
          <w:ilvl w:val="-1"/>
          <w:numId w:val="0"/>
        </w:numPr>
        <w:spacing w:line="360" w:lineRule="auto"/>
        <w:ind w:leftChars="0" w:firstLine="420" w:firstLineChars="200"/>
        <w:rPr>
          <w:rFonts w:ascii="宋体" w:hAnsi="宋体" w:cs="宋体"/>
          <w:color w:val="auto"/>
          <w:szCs w:val="21"/>
          <w:highlight w:val="none"/>
        </w:rPr>
      </w:pPr>
      <w:r>
        <w:rPr>
          <w:rFonts w:hint="eastAsia" w:ascii="宋体" w:hAnsi="宋体" w:cs="宋体"/>
          <w:color w:val="auto"/>
          <w:szCs w:val="21"/>
          <w:highlight w:val="none"/>
        </w:rPr>
        <w:t>构成本招标文件的各个组成文件应互为解释，互为说明；如有不明确或不一致，构成合同文件组成内容的，以合同文件约定内容为准，且以专用合同条款约定的合同文件优先顺序解释；除招标文件中有特别规定外，仅适用于招标投标阶段的规定，按招标公告、投标人须知、评标办法、投标文件格式的先后顺序解释；同一组成文件中就同一事项的规定或约定不一致的，以编排顺序在后者为准；同一组成文件不同版本之间有不一致的，以形成时间在后者为准。按本款前述规定仍不能形成结论的，由招标人负责解释。</w:t>
      </w:r>
    </w:p>
    <w:p>
      <w:pPr>
        <w:pStyle w:val="6"/>
        <w:rPr>
          <w:rFonts w:ascii="宋体" w:hAnsi="宋体" w:cs="宋体"/>
          <w:color w:val="auto"/>
          <w:highlight w:val="none"/>
        </w:rPr>
      </w:pPr>
      <w:bookmarkStart w:id="512" w:name="_Toc495"/>
      <w:bookmarkStart w:id="513" w:name="_Toc25753"/>
      <w:bookmarkStart w:id="514" w:name="_Toc7255"/>
      <w:bookmarkStart w:id="515" w:name="_Toc1501"/>
      <w:bookmarkStart w:id="516" w:name="_Toc1447"/>
      <w:bookmarkStart w:id="517" w:name="_Toc508286120"/>
      <w:bookmarkStart w:id="518" w:name="_Toc30649"/>
      <w:r>
        <w:rPr>
          <w:rFonts w:hint="eastAsia" w:ascii="宋体" w:hAnsi="宋体" w:cs="宋体"/>
          <w:color w:val="auto"/>
          <w:highlight w:val="none"/>
        </w:rPr>
        <w:t>10 招标人补充的其他内容</w:t>
      </w:r>
      <w:bookmarkEnd w:id="512"/>
      <w:bookmarkEnd w:id="513"/>
      <w:bookmarkEnd w:id="514"/>
      <w:bookmarkEnd w:id="515"/>
      <w:bookmarkEnd w:id="516"/>
      <w:bookmarkEnd w:id="517"/>
      <w:bookmarkEnd w:id="518"/>
    </w:p>
    <w:p>
      <w:pPr>
        <w:pStyle w:val="190"/>
        <w:spacing w:line="360" w:lineRule="auto"/>
        <w:ind w:firstLine="315" w:firstLineChars="150"/>
        <w:rPr>
          <w:color w:val="auto"/>
          <w:highlight w:val="none"/>
        </w:rPr>
      </w:pPr>
      <w:r>
        <w:rPr>
          <w:rFonts w:hint="eastAsia"/>
          <w:color w:val="auto"/>
          <w:highlight w:val="none"/>
        </w:rPr>
        <w:t>见“投标人须知前附表”。</w:t>
      </w:r>
    </w:p>
    <w:p>
      <w:pPr>
        <w:pStyle w:val="4"/>
        <w:jc w:val="center"/>
        <w:rPr>
          <w:color w:val="auto"/>
          <w:highlight w:val="none"/>
        </w:rPr>
      </w:pPr>
      <w:r>
        <w:rPr>
          <w:rStyle w:val="51"/>
          <w:color w:val="auto"/>
          <w:highlight w:val="none"/>
        </w:rPr>
        <w:br w:type="page"/>
      </w:r>
      <w:bookmarkStart w:id="519" w:name="_Toc508286121"/>
      <w:bookmarkStart w:id="520" w:name="_Toc5448"/>
      <w:bookmarkStart w:id="521" w:name="_Toc10814"/>
      <w:bookmarkStart w:id="522" w:name="_Toc16384"/>
      <w:bookmarkStart w:id="523" w:name="_Toc22235"/>
      <w:bookmarkStart w:id="524" w:name="_Toc23421"/>
      <w:bookmarkStart w:id="525" w:name="_Toc11249"/>
      <w:r>
        <w:rPr>
          <w:rFonts w:hint="eastAsia"/>
          <w:color w:val="auto"/>
          <w:highlight w:val="none"/>
        </w:rPr>
        <w:t>第三章</w:t>
      </w:r>
      <w:r>
        <w:rPr>
          <w:color w:val="auto"/>
          <w:highlight w:val="none"/>
        </w:rPr>
        <w:t xml:space="preserve"> </w:t>
      </w:r>
      <w:r>
        <w:rPr>
          <w:rFonts w:hint="eastAsia"/>
          <w:color w:val="auto"/>
          <w:highlight w:val="none"/>
        </w:rPr>
        <w:t>评标办法</w:t>
      </w:r>
      <w:bookmarkEnd w:id="0"/>
      <w:bookmarkEnd w:id="519"/>
      <w:r>
        <w:rPr>
          <w:rFonts w:hint="eastAsia"/>
          <w:color w:val="auto"/>
          <w:highlight w:val="none"/>
        </w:rPr>
        <w:t>（综合评估法：采用两阶段评标</w:t>
      </w:r>
      <w:r>
        <w:rPr>
          <w:rFonts w:hint="eastAsia"/>
          <w:color w:val="auto"/>
          <w:highlight w:val="none"/>
          <w:lang w:eastAsia="zh-CN"/>
        </w:rPr>
        <w:t>；</w:t>
      </w:r>
      <w:r>
        <w:rPr>
          <w:rFonts w:hint="eastAsia"/>
          <w:color w:val="auto"/>
          <w:highlight w:val="none"/>
          <w:lang w:val="en-US" w:eastAsia="zh-CN"/>
        </w:rPr>
        <w:t>适用非</w:t>
      </w:r>
      <w:r>
        <w:rPr>
          <w:rFonts w:hint="eastAsia"/>
          <w:snapToGrid w:val="0"/>
          <w:color w:val="auto"/>
          <w:kern w:val="32"/>
          <w:szCs w:val="20"/>
          <w:highlight w:val="none"/>
        </w:rPr>
        <w:t>“评定分离”方式招标的项目</w:t>
      </w:r>
      <w:r>
        <w:rPr>
          <w:rFonts w:hint="eastAsia"/>
          <w:color w:val="auto"/>
          <w:highlight w:val="none"/>
        </w:rPr>
        <w:t>）</w:t>
      </w:r>
      <w:bookmarkEnd w:id="520"/>
      <w:bookmarkEnd w:id="521"/>
      <w:bookmarkEnd w:id="522"/>
      <w:bookmarkEnd w:id="523"/>
      <w:bookmarkEnd w:id="524"/>
      <w:bookmarkEnd w:id="525"/>
    </w:p>
    <w:p>
      <w:pPr>
        <w:pStyle w:val="5"/>
        <w:jc w:val="center"/>
        <w:rPr>
          <w:rFonts w:ascii="黑体" w:hAnsi="黑体" w:eastAsia="黑体" w:cs="黑体"/>
          <w:b w:val="0"/>
          <w:bCs w:val="0"/>
          <w:color w:val="auto"/>
          <w:sz w:val="32"/>
          <w:highlight w:val="none"/>
        </w:rPr>
      </w:pPr>
      <w:bookmarkStart w:id="526" w:name="_Toc8838"/>
      <w:bookmarkStart w:id="527" w:name="_Toc4158"/>
      <w:bookmarkStart w:id="528" w:name="_Toc22193"/>
      <w:bookmarkStart w:id="529" w:name="_Toc20276"/>
      <w:bookmarkStart w:id="530" w:name="_Toc28347"/>
      <w:bookmarkStart w:id="531" w:name="_Toc19797"/>
      <w:r>
        <w:rPr>
          <w:rFonts w:hint="eastAsia" w:ascii="黑体" w:hAnsi="黑体" w:eastAsia="黑体" w:cs="黑体"/>
          <w:b w:val="0"/>
          <w:bCs w:val="0"/>
          <w:color w:val="auto"/>
          <w:sz w:val="32"/>
          <w:highlight w:val="none"/>
        </w:rPr>
        <w:t>评标办法前附表</w:t>
      </w:r>
      <w:bookmarkEnd w:id="526"/>
      <w:bookmarkEnd w:id="527"/>
      <w:bookmarkEnd w:id="528"/>
      <w:bookmarkEnd w:id="529"/>
      <w:bookmarkEnd w:id="530"/>
      <w:bookmarkEnd w:id="531"/>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工程总承包项目招标一般应当采用两阶段评标。</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第一阶段：先对设计文件及资格审查资料（实行资格后审的）进行评审。在设计文件评审及资格审查（实行资格后审的）合格（得分</w:t>
      </w:r>
      <w:r>
        <w:rPr>
          <w:rFonts w:ascii="宋体" w:hAnsi="宋体" w:cs="宋体"/>
          <w:color w:val="auto"/>
          <w:szCs w:val="21"/>
          <w:highlight w:val="none"/>
        </w:rPr>
        <w:t>60%以上，具体合格分在招标文件中明确）的投标人中，只有设计文件得分汇总排在前若干</w:t>
      </w:r>
      <w:r>
        <w:rPr>
          <w:rFonts w:hint="eastAsia" w:ascii="宋体" w:hAnsi="宋体" w:cs="宋体"/>
          <w:color w:val="auto"/>
          <w:szCs w:val="21"/>
          <w:highlight w:val="none"/>
          <w:lang w:val="en-US" w:eastAsia="zh-CN"/>
        </w:rPr>
        <w:t>家</w:t>
      </w:r>
      <w:r>
        <w:rPr>
          <w:rFonts w:ascii="宋体" w:hAnsi="宋体" w:cs="宋体"/>
          <w:color w:val="auto"/>
          <w:szCs w:val="21"/>
          <w:highlight w:val="none"/>
        </w:rPr>
        <w:t>的（不少于5</w:t>
      </w:r>
      <w:r>
        <w:rPr>
          <w:rFonts w:hint="eastAsia" w:ascii="宋体" w:hAnsi="宋体" w:cs="宋体"/>
          <w:color w:val="auto"/>
          <w:szCs w:val="21"/>
          <w:highlight w:val="none"/>
          <w:lang w:val="en-US" w:eastAsia="zh-CN"/>
        </w:rPr>
        <w:t>家</w:t>
      </w:r>
      <w:r>
        <w:rPr>
          <w:rFonts w:ascii="宋体" w:hAnsi="宋体" w:cs="宋体"/>
          <w:color w:val="auto"/>
          <w:szCs w:val="21"/>
          <w:highlight w:val="none"/>
        </w:rPr>
        <w:t>，具体数量在招标文件中明确</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末位出现得分相同</w:t>
      </w:r>
      <w:r>
        <w:rPr>
          <w:rFonts w:hint="eastAsia" w:ascii="宋体" w:hAnsi="宋体" w:eastAsia="宋体" w:cs="Times New Roman"/>
          <w:b w:val="0"/>
          <w:bCs/>
          <w:color w:val="auto"/>
          <w:kern w:val="2"/>
          <w:sz w:val="21"/>
          <w:szCs w:val="24"/>
          <w:highlight w:val="none"/>
          <w:lang w:val="en-US" w:eastAsia="zh-CN" w:bidi="ar-SA"/>
        </w:rPr>
        <w:t>的情况除外</w:t>
      </w:r>
      <w:r>
        <w:rPr>
          <w:rFonts w:hint="eastAsia" w:ascii="宋体" w:hAnsi="宋体" w:cs="宋体"/>
          <w:color w:val="auto"/>
          <w:szCs w:val="21"/>
          <w:highlight w:val="none"/>
          <w:lang w:val="en-US" w:eastAsia="zh-CN"/>
        </w:rPr>
        <w:t>，若末位出现得分相同</w:t>
      </w:r>
      <w:r>
        <w:rPr>
          <w:rFonts w:hint="eastAsia" w:ascii="宋体" w:hAnsi="宋体" w:eastAsia="宋体" w:cs="Times New Roman"/>
          <w:b w:val="0"/>
          <w:bCs/>
          <w:color w:val="auto"/>
          <w:kern w:val="2"/>
          <w:sz w:val="21"/>
          <w:szCs w:val="24"/>
          <w:highlight w:val="none"/>
          <w:lang w:val="en-US" w:eastAsia="zh-CN" w:bidi="ar-SA"/>
        </w:rPr>
        <w:t>的情况</w:t>
      </w:r>
      <w:r>
        <w:rPr>
          <w:rFonts w:hint="eastAsia" w:ascii="宋体" w:hAnsi="宋体" w:cs="Times New Roman"/>
          <w:b w:val="0"/>
          <w:bCs/>
          <w:color w:val="auto"/>
          <w:kern w:val="2"/>
          <w:sz w:val="21"/>
          <w:szCs w:val="24"/>
          <w:highlight w:val="none"/>
          <w:lang w:val="en-US" w:eastAsia="zh-CN" w:bidi="ar-SA"/>
        </w:rPr>
        <w:t>，则</w:t>
      </w:r>
      <w:r>
        <w:rPr>
          <w:rFonts w:hint="eastAsia" w:ascii="宋体" w:hAnsi="宋体" w:eastAsia="宋体" w:cs="Times New Roman"/>
          <w:b w:val="0"/>
          <w:bCs/>
          <w:color w:val="auto"/>
          <w:kern w:val="2"/>
          <w:sz w:val="21"/>
          <w:szCs w:val="24"/>
          <w:highlight w:val="none"/>
          <w:lang w:val="en-US" w:eastAsia="zh-CN" w:bidi="ar-SA"/>
        </w:rPr>
        <w:t>同分跟进增加</w:t>
      </w:r>
      <w:r>
        <w:rPr>
          <w:rFonts w:hint="eastAsia" w:ascii="宋体" w:hAnsi="宋体" w:cs="Times New Roman"/>
          <w:b w:val="0"/>
          <w:bCs/>
          <w:color w:val="auto"/>
          <w:kern w:val="2"/>
          <w:sz w:val="21"/>
          <w:szCs w:val="24"/>
          <w:highlight w:val="none"/>
          <w:lang w:val="en-US" w:eastAsia="zh-CN" w:bidi="ar-SA"/>
        </w:rPr>
        <w:t>进入</w:t>
      </w:r>
      <w:r>
        <w:rPr>
          <w:rFonts w:ascii="宋体" w:hAnsi="宋体" w:cs="宋体"/>
          <w:color w:val="auto"/>
          <w:szCs w:val="21"/>
          <w:highlight w:val="none"/>
        </w:rPr>
        <w:t>第二阶段</w:t>
      </w:r>
      <w:r>
        <w:rPr>
          <w:rFonts w:hint="eastAsia" w:ascii="宋体" w:hAnsi="宋体" w:cs="宋体"/>
          <w:color w:val="auto"/>
          <w:szCs w:val="21"/>
          <w:highlight w:val="none"/>
        </w:rPr>
        <w:t>评标</w:t>
      </w:r>
      <w:r>
        <w:rPr>
          <w:rFonts w:hint="eastAsia" w:ascii="宋体" w:hAnsi="宋体" w:cs="宋体"/>
          <w:color w:val="auto"/>
          <w:szCs w:val="21"/>
          <w:highlight w:val="none"/>
          <w:lang w:val="en-US" w:eastAsia="zh-CN"/>
        </w:rPr>
        <w:t>的投标人数量</w:t>
      </w:r>
      <w:r>
        <w:rPr>
          <w:rFonts w:ascii="宋体" w:hAnsi="宋体" w:cs="宋体"/>
          <w:color w:val="auto"/>
          <w:szCs w:val="21"/>
          <w:highlight w:val="none"/>
        </w:rPr>
        <w:t>），才能进入第二阶段</w:t>
      </w:r>
      <w:r>
        <w:rPr>
          <w:rFonts w:hint="eastAsia" w:ascii="宋体" w:hAnsi="宋体" w:cs="宋体"/>
          <w:color w:val="auto"/>
          <w:szCs w:val="21"/>
          <w:highlight w:val="none"/>
        </w:rPr>
        <w:t>评标</w:t>
      </w:r>
      <w:r>
        <w:rPr>
          <w:rFonts w:hint="eastAsia" w:ascii="宋体" w:hAnsi="宋体" w:cs="宋体"/>
          <w:color w:val="auto"/>
          <w:szCs w:val="21"/>
          <w:highlight w:val="none"/>
          <w:lang w:eastAsia="zh-CN"/>
        </w:rPr>
        <w:t>，</w:t>
      </w:r>
      <w:r>
        <w:rPr>
          <w:rFonts w:hint="eastAsia" w:ascii="宋体" w:hAnsi="宋体" w:cs="宋体"/>
          <w:color w:val="auto"/>
          <w:szCs w:val="21"/>
          <w:highlight w:val="none"/>
        </w:rPr>
        <w:t>设计文件评审合格的投标人少于</w:t>
      </w:r>
      <w:r>
        <w:rPr>
          <w:rFonts w:ascii="宋体" w:hAnsi="宋体" w:cs="宋体"/>
          <w:color w:val="auto"/>
          <w:szCs w:val="21"/>
          <w:highlight w:val="none"/>
        </w:rPr>
        <w:t>5</w:t>
      </w:r>
      <w:r>
        <w:rPr>
          <w:rFonts w:hint="eastAsia" w:ascii="宋体" w:hAnsi="宋体" w:cs="宋体"/>
          <w:color w:val="auto"/>
          <w:szCs w:val="21"/>
          <w:highlight w:val="none"/>
          <w:lang w:val="en-US" w:eastAsia="zh-CN"/>
        </w:rPr>
        <w:t>家</w:t>
      </w:r>
      <w:r>
        <w:rPr>
          <w:rFonts w:ascii="宋体" w:hAnsi="宋体" w:cs="宋体"/>
          <w:color w:val="auto"/>
          <w:szCs w:val="21"/>
          <w:highlight w:val="none"/>
        </w:rPr>
        <w:t>的，全部进入第二阶段</w:t>
      </w:r>
      <w:r>
        <w:rPr>
          <w:rFonts w:hint="eastAsia" w:ascii="宋体" w:hAnsi="宋体" w:cs="宋体"/>
          <w:color w:val="auto"/>
          <w:szCs w:val="21"/>
          <w:highlight w:val="none"/>
        </w:rPr>
        <w:t>评标。</w:t>
      </w:r>
    </w:p>
    <w:tbl>
      <w:tblPr>
        <w:tblStyle w:val="44"/>
        <w:tblW w:w="8455" w:type="dxa"/>
        <w:tblInd w:w="0" w:type="dxa"/>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Layout w:type="fixed"/>
        <w:tblCellMar>
          <w:top w:w="0" w:type="dxa"/>
          <w:left w:w="0" w:type="dxa"/>
          <w:bottom w:w="0" w:type="dxa"/>
          <w:right w:w="0" w:type="dxa"/>
        </w:tblCellMar>
      </w:tblPr>
      <w:tblGrid>
        <w:gridCol w:w="781"/>
        <w:gridCol w:w="1459"/>
        <w:gridCol w:w="2073"/>
        <w:gridCol w:w="4142"/>
      </w:tblGrid>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资格评审（实行资格后审的）</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224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条款号</w:t>
            </w: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评审因素</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1.1.2</w:t>
            </w:r>
          </w:p>
        </w:tc>
        <w:tc>
          <w:tcPr>
            <w:tcW w:w="1459"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资格评审标准</w:t>
            </w: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营业执照</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具备有效的营业执照</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安全生产许可证</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具备有效的安全生产许可证（设计单位无须提供）</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ascii="宋体" w:hAnsi="宋体" w:eastAsia="宋体" w:cs="宋体"/>
                <w:color w:val="auto"/>
                <w:kern w:val="0"/>
                <w:szCs w:val="21"/>
                <w:highlight w:val="none"/>
              </w:rPr>
              <w:t>企业基本存款账户开户许可证或基本存款账户证明材料</w:t>
            </w:r>
            <w:r>
              <w:rPr>
                <w:rFonts w:hint="eastAsia" w:ascii="宋体" w:hAnsi="宋体" w:eastAsia="宋体" w:cs="宋体"/>
                <w:color w:val="auto"/>
                <w:kern w:val="0"/>
                <w:szCs w:val="21"/>
                <w:highlight w:val="none"/>
                <w:lang w:eastAsia="zh-CN"/>
              </w:rPr>
              <w:t>（</w:t>
            </w:r>
            <w:r>
              <w:rPr>
                <w:rFonts w:hint="eastAsia" w:ascii="宋体" w:hAnsi="宋体" w:eastAsia="宋体" w:cs="宋体"/>
                <w:color w:val="auto"/>
                <w:kern w:val="0"/>
                <w:szCs w:val="21"/>
                <w:highlight w:val="none"/>
                <w:lang w:val="en-US" w:eastAsia="zh-CN"/>
              </w:rPr>
              <w:t>如</w:t>
            </w:r>
            <w:r>
              <w:rPr>
                <w:rFonts w:hint="eastAsia" w:ascii="宋体" w:hAnsi="宋体" w:cs="宋体"/>
                <w:color w:val="auto"/>
                <w:kern w:val="0"/>
                <w:szCs w:val="21"/>
                <w:highlight w:val="none"/>
                <w:lang w:val="en-US" w:eastAsia="zh-CN"/>
              </w:rPr>
              <w:t>有</w:t>
            </w:r>
            <w:r>
              <w:rPr>
                <w:rFonts w:hint="eastAsia" w:ascii="宋体" w:hAnsi="宋体" w:eastAsia="宋体" w:cs="宋体"/>
                <w:color w:val="auto"/>
                <w:kern w:val="0"/>
                <w:szCs w:val="21"/>
                <w:highlight w:val="none"/>
                <w:lang w:eastAsia="zh-CN"/>
              </w:rPr>
              <w:t>）</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cs="宋体"/>
                <w:color w:val="auto"/>
                <w:highlight w:val="none"/>
              </w:rPr>
            </w:pPr>
            <w:r>
              <w:rPr>
                <w:rFonts w:hint="eastAsia" w:ascii="宋体" w:hAnsi="宋体" w:eastAsia="宋体" w:cs="宋体"/>
                <w:color w:val="auto"/>
                <w:highlight w:val="none"/>
              </w:rPr>
              <w:t>具备</w:t>
            </w:r>
            <w:r>
              <w:rPr>
                <w:rFonts w:hint="eastAsia" w:ascii="宋体" w:hAnsi="宋体" w:eastAsia="宋体" w:cs="宋体"/>
                <w:color w:val="auto"/>
                <w:kern w:val="0"/>
                <w:szCs w:val="21"/>
                <w:highlight w:val="none"/>
              </w:rPr>
              <w:t>企业基本存款账户开户许可证或基本存款账户证明材料</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资质证书</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具备有效的资质证书</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资质等级</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财务要求</w:t>
            </w:r>
            <w:r>
              <w:rPr>
                <w:rFonts w:hint="eastAsia"/>
                <w:color w:val="auto"/>
                <w:highlight w:val="none"/>
              </w:rPr>
              <w:t>（如有）</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业绩要求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拟派工程总承包项目经理</w:t>
            </w:r>
            <w:r>
              <w:rPr>
                <w:rFonts w:hint="eastAsia" w:ascii="宋体" w:hAnsi="宋体" w:cs="宋体"/>
                <w:color w:val="auto"/>
                <w:highlight w:val="none"/>
                <w:lang w:eastAsia="zh-CN"/>
              </w:rPr>
              <w:t>、</w:t>
            </w:r>
            <w:r>
              <w:rPr>
                <w:rFonts w:hint="eastAsia" w:ascii="宋体" w:hAnsi="宋体" w:cs="宋体"/>
                <w:color w:val="auto"/>
                <w:highlight w:val="none"/>
                <w:lang w:val="en-US" w:eastAsia="zh-CN"/>
              </w:rPr>
              <w:t>施工项目负责人、设计负责人</w:t>
            </w:r>
            <w:r>
              <w:rPr>
                <w:rFonts w:hint="eastAsia" w:ascii="宋体" w:hAnsi="宋体" w:cs="宋体"/>
                <w:color w:val="auto"/>
                <w:highlight w:val="none"/>
              </w:rPr>
              <w:t>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58"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ascii="宋体" w:hAnsi="宋体" w:cs="宋体"/>
                <w:color w:val="auto"/>
                <w:kern w:val="0"/>
                <w:szCs w:val="21"/>
                <w:highlight w:val="none"/>
              </w:rPr>
              <w:t>信誉要求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58"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kern w:val="0"/>
                <w:szCs w:val="21"/>
                <w:highlight w:val="none"/>
              </w:rPr>
            </w:pPr>
            <w:r>
              <w:rPr>
                <w:rFonts w:hint="eastAsia"/>
                <w:color w:val="auto"/>
                <w:highlight w:val="none"/>
              </w:rPr>
              <w:t>联合体投标人</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cs="宋体"/>
                <w:color w:val="auto"/>
                <w:highlight w:val="none"/>
              </w:rPr>
            </w:pPr>
            <w:r>
              <w:rPr>
                <w:rFonts w:hint="eastAsia"/>
                <w:color w:val="auto"/>
                <w:highlight w:val="none"/>
              </w:rPr>
              <w:t>符合第二章“投标人须知”第</w:t>
            </w:r>
            <w:r>
              <w:rPr>
                <w:color w:val="auto"/>
                <w:highlight w:val="none"/>
              </w:rPr>
              <w:t xml:space="preserve"> 1.4.2</w:t>
            </w:r>
            <w:r>
              <w:rPr>
                <w:rFonts w:hint="eastAsia"/>
                <w:color w:val="auto"/>
                <w:highlight w:val="none"/>
              </w:rPr>
              <w:t>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58"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color w:val="auto"/>
                <w:highlight w:val="none"/>
              </w:rPr>
            </w:pPr>
            <w:r>
              <w:rPr>
                <w:rFonts w:ascii="宋体" w:hAnsi="宋体" w:cs="宋体"/>
                <w:color w:val="auto"/>
                <w:szCs w:val="21"/>
                <w:highlight w:val="none"/>
              </w:rPr>
              <w:t>不存在禁止投标的情形</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color w:val="auto"/>
                <w:highlight w:val="none"/>
              </w:rPr>
            </w:pPr>
            <w:r>
              <w:rPr>
                <w:rFonts w:ascii="宋体" w:hAnsi="宋体" w:cs="宋体"/>
                <w:color w:val="auto"/>
                <w:szCs w:val="21"/>
                <w:highlight w:val="none"/>
              </w:rPr>
              <w:t>不存在第二章</w:t>
            </w:r>
            <w:r>
              <w:rPr>
                <w:rFonts w:eastAsia="Times New Roman"/>
                <w:color w:val="auto"/>
                <w:szCs w:val="21"/>
                <w:highlight w:val="none"/>
              </w:rPr>
              <w:t>“</w:t>
            </w:r>
            <w:r>
              <w:rPr>
                <w:rFonts w:ascii="宋体" w:hAnsi="宋体" w:cs="宋体"/>
                <w:color w:val="auto"/>
                <w:szCs w:val="21"/>
                <w:highlight w:val="none"/>
              </w:rPr>
              <w:t>投标人须知</w:t>
            </w:r>
            <w:r>
              <w:rPr>
                <w:rFonts w:eastAsia="Times New Roman"/>
                <w:color w:val="auto"/>
                <w:szCs w:val="21"/>
                <w:highlight w:val="none"/>
              </w:rPr>
              <w:t>”</w:t>
            </w:r>
            <w:r>
              <w:rPr>
                <w:rFonts w:ascii="宋体" w:hAnsi="宋体" w:cs="宋体"/>
                <w:color w:val="auto"/>
                <w:szCs w:val="21"/>
                <w:highlight w:val="none"/>
              </w:rPr>
              <w:t>第</w:t>
            </w:r>
            <w:r>
              <w:rPr>
                <w:rFonts w:eastAsia="Times New Roman"/>
                <w:color w:val="auto"/>
                <w:szCs w:val="21"/>
                <w:highlight w:val="none"/>
              </w:rPr>
              <w:t>1.4.3</w:t>
            </w:r>
            <w:r>
              <w:rPr>
                <w:rFonts w:ascii="宋体" w:hAnsi="宋体" w:cs="宋体"/>
                <w:color w:val="auto"/>
                <w:szCs w:val="21"/>
                <w:highlight w:val="none"/>
              </w:rPr>
              <w:t>项规定的任何一种情形</w:t>
            </w: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其他要求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符合第二章“投标人须知”第1.4.1项规定的其他要求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ascii="黑体" w:hAnsi="黑体" w:eastAsia="黑体"/>
                <w:color w:val="auto"/>
                <w:sz w:val="24"/>
                <w:highlight w:val="none"/>
              </w:rPr>
              <w:t>设计文件评审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条款号</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评审因素</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rPr>
              <w:t>2.</w:t>
            </w:r>
            <w:r>
              <w:rPr>
                <w:rFonts w:hint="eastAsia" w:ascii="宋体" w:hAnsi="宋体" w:cs="宋体"/>
                <w:color w:val="auto"/>
                <w:highlight w:val="none"/>
                <w:lang w:val="en-US" w:eastAsia="zh-CN"/>
              </w:rPr>
              <w:t>1.6</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设计文件合格性评审</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合格分：</w:t>
            </w:r>
            <w:r>
              <w:rPr>
                <w:rFonts w:hint="eastAsia" w:ascii="宋体" w:hAnsi="宋体" w:cs="宋体"/>
                <w:color w:val="auto"/>
                <w:highlight w:val="none"/>
                <w:u w:val="single"/>
              </w:rPr>
              <w:t xml:space="preserve">   </w:t>
            </w:r>
            <w:r>
              <w:rPr>
                <w:rFonts w:hint="eastAsia" w:ascii="宋体" w:hAnsi="宋体" w:cs="宋体"/>
                <w:color w:val="auto"/>
                <w:highlight w:val="none"/>
              </w:rPr>
              <w:t>（不少于60%）</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rPr>
              <w:t>2.</w:t>
            </w:r>
            <w:r>
              <w:rPr>
                <w:rFonts w:hint="eastAsia" w:ascii="宋体" w:hAnsi="宋体" w:cs="宋体"/>
                <w:color w:val="auto"/>
                <w:highlight w:val="none"/>
                <w:lang w:val="en-US" w:eastAsia="zh-CN"/>
              </w:rPr>
              <w:t>1.6</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择优进入第二阶段评审</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设计文件合格且排名前</w:t>
            </w:r>
            <w:r>
              <w:rPr>
                <w:rFonts w:hint="eastAsia" w:ascii="宋体" w:hAnsi="宋体" w:cs="宋体"/>
                <w:color w:val="auto"/>
                <w:highlight w:val="none"/>
                <w:u w:val="single"/>
              </w:rPr>
              <w:t xml:space="preserve">  </w:t>
            </w:r>
            <w:r>
              <w:rPr>
                <w:rFonts w:hint="eastAsia" w:ascii="宋体" w:hAnsi="宋体" w:cs="宋体"/>
                <w:color w:val="auto"/>
                <w:highlight w:val="none"/>
                <w:lang w:val="en-US" w:eastAsia="zh-CN"/>
              </w:rPr>
              <w:t>家</w:t>
            </w:r>
            <w:r>
              <w:rPr>
                <w:rFonts w:hint="eastAsia" w:ascii="宋体" w:hAnsi="宋体" w:cs="宋体"/>
                <w:color w:val="auto"/>
                <w:highlight w:val="none"/>
              </w:rPr>
              <w:t>（不少于5</w:t>
            </w:r>
            <w:r>
              <w:rPr>
                <w:rFonts w:hint="eastAsia" w:ascii="宋体" w:hAnsi="宋体" w:cs="宋体"/>
                <w:color w:val="auto"/>
                <w:highlight w:val="none"/>
                <w:lang w:val="en-US" w:eastAsia="zh-CN"/>
              </w:rPr>
              <w:t>家；</w:t>
            </w:r>
            <w:r>
              <w:rPr>
                <w:rFonts w:hint="eastAsia" w:ascii="宋体" w:hAnsi="宋体" w:cs="宋体"/>
                <w:color w:val="auto"/>
                <w:szCs w:val="21"/>
                <w:highlight w:val="none"/>
                <w:lang w:val="en-US" w:eastAsia="zh-CN"/>
              </w:rPr>
              <w:t>末位出现得分相同</w:t>
            </w:r>
            <w:r>
              <w:rPr>
                <w:rFonts w:hint="eastAsia" w:ascii="宋体" w:hAnsi="宋体" w:eastAsia="宋体" w:cs="Times New Roman"/>
                <w:b w:val="0"/>
                <w:bCs/>
                <w:color w:val="auto"/>
                <w:kern w:val="2"/>
                <w:sz w:val="21"/>
                <w:szCs w:val="24"/>
                <w:highlight w:val="none"/>
                <w:lang w:val="en-US" w:eastAsia="zh-CN" w:bidi="ar-SA"/>
              </w:rPr>
              <w:t>的情况除外</w:t>
            </w:r>
            <w:r>
              <w:rPr>
                <w:rFonts w:hint="eastAsia" w:ascii="宋体" w:hAnsi="宋体" w:cs="宋体"/>
                <w:color w:val="auto"/>
                <w:szCs w:val="21"/>
                <w:highlight w:val="none"/>
                <w:lang w:val="en-US" w:eastAsia="zh-CN"/>
              </w:rPr>
              <w:t>，若末位出现得分相同</w:t>
            </w:r>
            <w:r>
              <w:rPr>
                <w:rFonts w:hint="eastAsia" w:ascii="宋体" w:hAnsi="宋体" w:eastAsia="宋体" w:cs="Times New Roman"/>
                <w:b w:val="0"/>
                <w:bCs/>
                <w:color w:val="auto"/>
                <w:kern w:val="2"/>
                <w:sz w:val="21"/>
                <w:szCs w:val="24"/>
                <w:highlight w:val="none"/>
                <w:lang w:val="en-US" w:eastAsia="zh-CN" w:bidi="ar-SA"/>
              </w:rPr>
              <w:t>的情况</w:t>
            </w:r>
            <w:r>
              <w:rPr>
                <w:rFonts w:hint="eastAsia" w:ascii="宋体" w:hAnsi="宋体" w:cs="Times New Roman"/>
                <w:b w:val="0"/>
                <w:bCs/>
                <w:color w:val="auto"/>
                <w:kern w:val="2"/>
                <w:sz w:val="21"/>
                <w:szCs w:val="24"/>
                <w:highlight w:val="none"/>
                <w:lang w:val="en-US" w:eastAsia="zh-CN" w:bidi="ar-SA"/>
              </w:rPr>
              <w:t>，则</w:t>
            </w:r>
            <w:r>
              <w:rPr>
                <w:rFonts w:hint="eastAsia" w:ascii="宋体" w:hAnsi="宋体" w:eastAsia="宋体" w:cs="Times New Roman"/>
                <w:b w:val="0"/>
                <w:bCs/>
                <w:color w:val="auto"/>
                <w:kern w:val="2"/>
                <w:sz w:val="21"/>
                <w:szCs w:val="24"/>
                <w:highlight w:val="none"/>
                <w:lang w:val="en-US" w:eastAsia="zh-CN" w:bidi="ar-SA"/>
              </w:rPr>
              <w:t>同分跟进增加</w:t>
            </w:r>
            <w:r>
              <w:rPr>
                <w:rFonts w:hint="eastAsia" w:ascii="宋体" w:hAnsi="宋体" w:cs="Times New Roman"/>
                <w:b w:val="0"/>
                <w:bCs/>
                <w:color w:val="auto"/>
                <w:kern w:val="2"/>
                <w:sz w:val="21"/>
                <w:szCs w:val="24"/>
                <w:highlight w:val="none"/>
                <w:lang w:val="en-US" w:eastAsia="zh-CN" w:bidi="ar-SA"/>
              </w:rPr>
              <w:t>进入</w:t>
            </w:r>
            <w:r>
              <w:rPr>
                <w:rFonts w:ascii="宋体" w:hAnsi="宋体" w:cs="宋体"/>
                <w:color w:val="auto"/>
                <w:szCs w:val="21"/>
                <w:highlight w:val="none"/>
              </w:rPr>
              <w:t>第二阶段</w:t>
            </w:r>
            <w:r>
              <w:rPr>
                <w:rFonts w:hint="eastAsia" w:ascii="宋体" w:hAnsi="宋体" w:cs="宋体"/>
                <w:color w:val="auto"/>
                <w:szCs w:val="21"/>
                <w:highlight w:val="none"/>
              </w:rPr>
              <w:t>评标</w:t>
            </w:r>
            <w:r>
              <w:rPr>
                <w:rFonts w:hint="eastAsia" w:ascii="宋体" w:hAnsi="宋体" w:cs="宋体"/>
                <w:color w:val="auto"/>
                <w:szCs w:val="21"/>
                <w:highlight w:val="none"/>
                <w:lang w:val="en-US" w:eastAsia="zh-CN"/>
              </w:rPr>
              <w:t>的投标人数量</w:t>
            </w:r>
            <w:r>
              <w:rPr>
                <w:rFonts w:hint="eastAsia" w:ascii="宋体" w:hAnsi="宋体" w:cs="宋体"/>
                <w:color w:val="auto"/>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rPr>
              <w:t>2.</w:t>
            </w:r>
            <w:r>
              <w:rPr>
                <w:rFonts w:hint="eastAsia" w:ascii="宋体" w:hAnsi="宋体" w:cs="宋体"/>
                <w:color w:val="auto"/>
                <w:highlight w:val="none"/>
                <w:lang w:val="en-US" w:eastAsia="zh-CN"/>
              </w:rPr>
              <w:t>1.7</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设计文件得分是否带入第二阶段</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□带入</w:t>
            </w:r>
            <w:r>
              <w:rPr>
                <w:rFonts w:hint="eastAsia" w:ascii="宋体" w:hAnsi="宋体" w:cs="宋体"/>
                <w:color w:val="auto"/>
                <w:highlight w:val="none"/>
                <w:lang w:val="en-US" w:eastAsia="zh-CN"/>
              </w:rPr>
              <w:t xml:space="preserve"> </w:t>
            </w:r>
            <w:r>
              <w:rPr>
                <w:rFonts w:hint="eastAsia" w:ascii="宋体" w:hAnsi="宋体" w:cs="宋体"/>
                <w:color w:val="auto"/>
                <w:highlight w:val="none"/>
              </w:rPr>
              <w:t>□不带入</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szCs w:val="21"/>
                <w:highlight w:val="none"/>
              </w:rPr>
              <w:t>……</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szCs w:val="21"/>
                <w:highlight w:val="none"/>
              </w:rPr>
              <w:t>……</w:t>
            </w:r>
          </w:p>
        </w:tc>
      </w:tr>
    </w:tbl>
    <w:p>
      <w:pPr>
        <w:spacing w:line="360" w:lineRule="auto"/>
        <w:rPr>
          <w:rFonts w:ascii="宋体" w:hAnsi="宋体" w:cs="宋体"/>
          <w:color w:val="auto"/>
          <w:szCs w:val="21"/>
          <w:highlight w:val="none"/>
        </w:rPr>
      </w:pP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第二阶段：评标委员会按照招标文件规定的评标方法对商务技术标进行评审。设计文件得分是否带入第二阶段，由招标人根据招标项目的实际情况在招标文件中明确。</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szCs w:val="21"/>
          <w:highlight w:val="none"/>
        </w:rPr>
        <w:t>在初步设计完成后进行招标的工程总承包项目，可以不采用两阶段评标。如果采用，则第一阶段评审“资格审查材料、项目管理组织方案”，第二阶段评审“工程总承包报价以及工程业绩”等。</w:t>
      </w:r>
    </w:p>
    <w:tbl>
      <w:tblPr>
        <w:tblStyle w:val="44"/>
        <w:tblW w:w="8455" w:type="dxa"/>
        <w:tblInd w:w="0" w:type="dxa"/>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Layout w:type="fixed"/>
        <w:tblCellMar>
          <w:top w:w="0" w:type="dxa"/>
          <w:left w:w="0" w:type="dxa"/>
          <w:bottom w:w="0" w:type="dxa"/>
          <w:right w:w="0" w:type="dxa"/>
        </w:tblCellMar>
      </w:tblPr>
      <w:tblGrid>
        <w:gridCol w:w="808"/>
        <w:gridCol w:w="1754"/>
        <w:gridCol w:w="1696"/>
        <w:gridCol w:w="4197"/>
      </w:tblGrid>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初步评审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256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条款号</w:t>
            </w: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评审因素</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1.1.1</w:t>
            </w:r>
          </w:p>
        </w:tc>
        <w:tc>
          <w:tcPr>
            <w:tcW w:w="1754"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形式性评审标准</w:t>
            </w: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投标人名称</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与营业执照、资质证书、安全生产许可证一致；</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w:t>
            </w:r>
            <w:r>
              <w:rPr>
                <w:rFonts w:hint="eastAsia" w:ascii="宋体" w:hAnsi="宋体" w:cs="宋体"/>
                <w:color w:val="auto"/>
                <w:highlight w:val="none"/>
                <w:lang w:val="en-US" w:eastAsia="zh-CN"/>
              </w:rPr>
              <w:t>文件</w:t>
            </w:r>
            <w:r>
              <w:rPr>
                <w:rFonts w:hint="eastAsia" w:ascii="宋体" w:hAnsi="宋体" w:cs="宋体"/>
                <w:color w:val="auto"/>
                <w:highlight w:val="none"/>
              </w:rPr>
              <w:t>签字盖章</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lang w:val="en-US" w:eastAsia="zh-CN"/>
              </w:rPr>
              <w:t>符合第二章投标人须知3.7.6签字、盖章要求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报价唯一</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只能有一个有效报价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暗标</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textAlignment w:val="center"/>
              <w:rPr>
                <w:rFonts w:ascii="宋体" w:hAnsi="宋体" w:cs="宋体"/>
                <w:color w:val="auto"/>
                <w:szCs w:val="21"/>
                <w:highlight w:val="none"/>
              </w:rPr>
            </w:pPr>
            <w:r>
              <w:rPr>
                <w:rFonts w:hint="eastAsia" w:ascii="宋体" w:hAnsi="宋体" w:cs="宋体"/>
                <w:color w:val="auto"/>
                <w:szCs w:val="21"/>
                <w:highlight w:val="none"/>
              </w:rPr>
              <w:t>符合招标文件有关暗标的要求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center"/>
              <w:textAlignment w:val="center"/>
              <w:rPr>
                <w:rFonts w:ascii="宋体" w:hAnsi="宋体" w:cs="宋体"/>
                <w:color w:val="auto"/>
                <w:szCs w:val="21"/>
                <w:highlight w:val="none"/>
              </w:rPr>
            </w:pP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restart"/>
            <w:tcBorders>
              <w:top w:val="outset" w:color="auto" w:sz="6" w:space="0"/>
              <w:left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1.1.3</w:t>
            </w:r>
          </w:p>
        </w:tc>
        <w:tc>
          <w:tcPr>
            <w:tcW w:w="1754" w:type="dxa"/>
            <w:vMerge w:val="restart"/>
            <w:tcBorders>
              <w:top w:val="outset" w:color="auto" w:sz="6" w:space="0"/>
              <w:left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响应性评审标准</w:t>
            </w: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投标内容</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1020"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工期</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符合第二章“投标人须知”第1.3.2项规定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工程质量</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符合第二章“投标人须知”第1.3.3项规定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投标有效期</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投标函附录中承诺的投标有效期符合第二章“投标人须知”第3.3.1项规定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投标保证金</w:t>
            </w:r>
            <w:r>
              <w:rPr>
                <w:rFonts w:hint="eastAsia"/>
                <w:color w:val="auto"/>
                <w:highlight w:val="none"/>
              </w:rPr>
              <w:t>（如有）</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eastAsia="宋体" w:cs="宋体"/>
                <w:color w:val="auto"/>
                <w:highlight w:val="none"/>
                <w:lang w:eastAsia="zh-CN"/>
              </w:rPr>
            </w:pPr>
            <w:r>
              <w:rPr>
                <w:rFonts w:hint="eastAsia" w:ascii="宋体" w:hAnsi="宋体" w:cs="宋体"/>
                <w:color w:val="auto"/>
                <w:highlight w:val="none"/>
              </w:rPr>
              <w:t>符合第二章“投标人须知”第3.4.1项规定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color w:val="auto"/>
                <w:highlight w:val="none"/>
              </w:rPr>
              <w:t>投标价格</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default" w:ascii="宋体" w:hAnsi="宋体" w:eastAsia="宋体" w:cs="宋体"/>
                <w:color w:val="auto"/>
                <w:highlight w:val="none"/>
                <w:lang w:val="en-US" w:eastAsia="zh-CN"/>
              </w:rPr>
            </w:pPr>
            <w:r>
              <w:rPr>
                <w:rFonts w:hint="eastAsia"/>
                <w:color w:val="auto"/>
                <w:highlight w:val="none"/>
                <w:lang w:val="en-US" w:eastAsia="zh-CN"/>
              </w:rPr>
              <w:t>不高于</w:t>
            </w:r>
            <w:r>
              <w:rPr>
                <w:rFonts w:hint="eastAsia"/>
                <w:color w:val="auto"/>
                <w:highlight w:val="none"/>
              </w:rPr>
              <w:t>第二章</w:t>
            </w:r>
            <w:r>
              <w:rPr>
                <w:color w:val="auto"/>
                <w:highlight w:val="none"/>
              </w:rPr>
              <w:fldChar w:fldCharType="begin"/>
            </w:r>
            <w:r>
              <w:rPr>
                <w:color w:val="auto"/>
                <w:highlight w:val="none"/>
              </w:rPr>
              <w:instrText xml:space="preserve">HYPERLINK "file:///H:\\泰州招标文件范本\\泰州市房屋建筑和市政工程施工2016.4.docx" \l "_10.2"</w:instrText>
            </w:r>
            <w:r>
              <w:rPr>
                <w:color w:val="auto"/>
                <w:highlight w:val="none"/>
              </w:rPr>
              <w:fldChar w:fldCharType="separate"/>
            </w:r>
            <w:r>
              <w:rPr>
                <w:rFonts w:hint="eastAsia"/>
                <w:color w:val="auto"/>
                <w:highlight w:val="none"/>
              </w:rPr>
              <w:t>投标人须知前附表第2.4项</w:t>
            </w:r>
            <w:r>
              <w:rPr>
                <w:color w:val="auto"/>
                <w:highlight w:val="none"/>
              </w:rPr>
              <w:fldChar w:fldCharType="end"/>
            </w:r>
            <w:r>
              <w:rPr>
                <w:rFonts w:hint="eastAsia"/>
                <w:color w:val="auto"/>
                <w:highlight w:val="none"/>
              </w:rPr>
              <w:t>载明</w:t>
            </w:r>
            <w:r>
              <w:rPr>
                <w:rFonts w:hint="eastAsia"/>
                <w:color w:val="auto"/>
                <w:highlight w:val="none"/>
                <w:lang w:val="en-US" w:eastAsia="zh-CN"/>
              </w:rPr>
              <w:t>的最高投标限价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highlight w:val="none"/>
                <w:lang w:val="en-US" w:eastAsia="zh-CN"/>
              </w:rPr>
            </w:pPr>
            <w:r>
              <w:rPr>
                <w:rFonts w:hint="eastAsia" w:ascii="宋体" w:hAnsi="宋体" w:cs="宋体"/>
                <w:color w:val="auto"/>
                <w:highlight w:val="none"/>
                <w:lang w:val="en-US" w:eastAsia="zh-CN"/>
              </w:rPr>
              <w:t>诚信投标承诺书</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符合招标文件要求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highlight w:val="none"/>
              </w:rPr>
              <w:t>其他要求</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highlight w:val="none"/>
              </w:rPr>
              <w:t>无评标办法第2.2.1.5 条所列情形</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1754" w:type="dxa"/>
            <w:vMerge w:val="continue"/>
            <w:tcBorders>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color w:val="auto"/>
                <w:highlight w:val="none"/>
              </w:rPr>
              <w:t>……</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color w:val="auto"/>
                <w:highlight w:val="none"/>
              </w:rPr>
            </w:pPr>
            <w:r>
              <w:rPr>
                <w:rFonts w:hint="eastAsia"/>
                <w:color w:val="auto"/>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详细评审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条款号</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评审因素</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分值</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1.2.1</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商务标</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firstLine="1260" w:firstLineChars="600"/>
              <w:jc w:val="left"/>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1.2.2</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经济标</w:t>
            </w:r>
          </w:p>
        </w:tc>
        <w:tc>
          <w:tcPr>
            <w:tcW w:w="4197" w:type="dxa"/>
            <w:tcBorders>
              <w:top w:val="outset" w:color="auto" w:sz="6" w:space="0"/>
              <w:left w:val="outset" w:color="auto" w:sz="6" w:space="0"/>
              <w:bottom w:val="outset" w:color="auto" w:sz="6" w:space="0"/>
              <w:right w:val="outset" w:color="auto" w:sz="6" w:space="0"/>
            </w:tcBorders>
          </w:tcPr>
          <w:p>
            <w:pPr>
              <w:ind w:firstLine="1260" w:firstLineChars="600"/>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1.2.3</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技术标</w:t>
            </w:r>
          </w:p>
        </w:tc>
        <w:tc>
          <w:tcPr>
            <w:tcW w:w="4197" w:type="dxa"/>
            <w:tcBorders>
              <w:top w:val="outset" w:color="auto" w:sz="6" w:space="0"/>
              <w:left w:val="outset" w:color="auto" w:sz="6" w:space="0"/>
              <w:bottom w:val="outset" w:color="auto" w:sz="6" w:space="0"/>
              <w:right w:val="outset" w:color="auto" w:sz="6" w:space="0"/>
            </w:tcBorders>
          </w:tcPr>
          <w:p>
            <w:pPr>
              <w:ind w:firstLine="1260" w:firstLineChars="600"/>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ascii="宋体" w:hAnsi="宋体"/>
                <w:color w:val="auto"/>
                <w:szCs w:val="21"/>
                <w:highlight w:val="none"/>
              </w:rPr>
              <w:t>……</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ascii="宋体" w:hAnsi="宋体"/>
                <w:color w:val="auto"/>
                <w:szCs w:val="21"/>
                <w:highlight w:val="none"/>
              </w:rPr>
              <w:t>……</w:t>
            </w:r>
          </w:p>
        </w:tc>
      </w:tr>
    </w:tbl>
    <w:p>
      <w:pPr>
        <w:widowControl/>
        <w:jc w:val="left"/>
        <w:rPr>
          <w:b/>
          <w:bCs/>
          <w:color w:val="auto"/>
          <w:kern w:val="44"/>
          <w:sz w:val="32"/>
          <w:szCs w:val="32"/>
          <w:highlight w:val="none"/>
        </w:rPr>
      </w:pPr>
      <w:r>
        <w:rPr>
          <w:b/>
          <w:bCs/>
          <w:color w:val="auto"/>
          <w:kern w:val="44"/>
          <w:sz w:val="32"/>
          <w:szCs w:val="32"/>
          <w:highlight w:val="none"/>
        </w:rPr>
        <w:br w:type="page"/>
      </w:r>
    </w:p>
    <w:p>
      <w:pPr>
        <w:pStyle w:val="5"/>
        <w:rPr>
          <w:rFonts w:ascii="黑体" w:hAnsi="黑体" w:eastAsia="黑体" w:cs="黑体"/>
          <w:b w:val="0"/>
          <w:bCs w:val="0"/>
          <w:color w:val="auto"/>
          <w:sz w:val="32"/>
          <w:highlight w:val="none"/>
        </w:rPr>
      </w:pPr>
      <w:bookmarkStart w:id="532" w:name="_Toc20819"/>
      <w:bookmarkStart w:id="533" w:name="_Toc22311"/>
      <w:bookmarkStart w:id="534" w:name="_Toc6387"/>
      <w:bookmarkStart w:id="535" w:name="_Toc2054"/>
      <w:bookmarkStart w:id="536" w:name="_Toc17975"/>
      <w:bookmarkStart w:id="537" w:name="_Toc4578"/>
      <w:r>
        <w:rPr>
          <w:rFonts w:hint="eastAsia" w:ascii="黑体" w:hAnsi="黑体" w:eastAsia="黑体" w:cs="黑体"/>
          <w:b w:val="0"/>
          <w:bCs w:val="0"/>
          <w:color w:val="auto"/>
          <w:sz w:val="32"/>
          <w:highlight w:val="none"/>
        </w:rPr>
        <w:t>综合评估法一：适用于可行性研究完成阶段工程总承包招标</w:t>
      </w:r>
      <w:bookmarkEnd w:id="532"/>
      <w:bookmarkEnd w:id="533"/>
      <w:bookmarkEnd w:id="534"/>
      <w:bookmarkEnd w:id="535"/>
      <w:bookmarkEnd w:id="536"/>
      <w:bookmarkEnd w:id="537"/>
    </w:p>
    <w:tbl>
      <w:tblPr>
        <w:tblStyle w:val="44"/>
        <w:tblW w:w="8483"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09"/>
        <w:gridCol w:w="1315"/>
        <w:gridCol w:w="2371"/>
        <w:gridCol w:w="408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color w:val="auto"/>
                <w:szCs w:val="21"/>
                <w:highlight w:val="none"/>
              </w:rPr>
            </w:pPr>
            <w:r>
              <w:rPr>
                <w:rFonts w:hint="eastAsia" w:ascii="宋体" w:hAnsi="宋体" w:cs="宋体"/>
                <w:color w:val="auto"/>
                <w:szCs w:val="21"/>
                <w:highlight w:val="none"/>
              </w:rPr>
              <w:t>(总分100分)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技术标：方案设计文件：</w:t>
            </w:r>
            <w:r>
              <w:rPr>
                <w:rFonts w:hint="eastAsia" w:ascii="宋体" w:hAnsi="宋体" w:cs="宋体"/>
                <w:color w:val="auto"/>
                <w:szCs w:val="21"/>
                <w:highlight w:val="none"/>
                <w:u w:val="single"/>
              </w:rPr>
              <w:t>≤3</w:t>
            </w:r>
            <w:r>
              <w:rPr>
                <w:rFonts w:hint="eastAsia" w:ascii="宋体" w:hAnsi="宋体" w:cs="宋体"/>
                <w:color w:val="auto"/>
                <w:szCs w:val="21"/>
                <w:highlight w:val="none"/>
                <w:u w:val="single"/>
                <w:lang w:val="en-US" w:eastAsia="zh-CN"/>
              </w:rPr>
              <w:t>5</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项目管理组织方案：</w:t>
            </w:r>
            <w:r>
              <w:rPr>
                <w:rFonts w:hint="eastAsia" w:ascii="宋体" w:hAnsi="宋体" w:cs="宋体"/>
                <w:color w:val="auto"/>
                <w:szCs w:val="21"/>
                <w:highlight w:val="none"/>
                <w:u w:val="single"/>
              </w:rPr>
              <w:t>≤9</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≥50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≤3</w:t>
            </w:r>
            <w:r>
              <w:rPr>
                <w:rFonts w:hint="eastAsia" w:ascii="宋体" w:hAnsi="宋体" w:cs="宋体"/>
                <w:color w:val="auto"/>
                <w:szCs w:val="21"/>
                <w:highlight w:val="none"/>
              </w:rPr>
              <w:t>分</w:t>
            </w:r>
          </w:p>
          <w:p>
            <w:pPr>
              <w:spacing w:line="440" w:lineRule="exact"/>
              <w:rPr>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≤3</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315"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评审项</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1</w:t>
            </w:r>
          </w:p>
        </w:tc>
        <w:tc>
          <w:tcPr>
            <w:tcW w:w="1315" w:type="dxa"/>
            <w:vMerge w:val="restart"/>
            <w:tcBorders>
              <w:left w:val="single" w:color="000000" w:sz="4" w:space="0"/>
              <w:right w:val="single" w:color="auto"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1.1方案设计文件（≤3</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分、适用于房屋建筑工程）</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1．设计说明（2－4分）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1．设计说明能对项目解读充分，理解深刻，分析准确，构思新颖。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2．项目规划设计各项指标满足任务书及规划设计要点并科学、合理。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3．技术指标满足任务书要求，符合规划要求。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4．各专业设计说明。</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5、投资估算与经济评价。</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070"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2．总平面布局（6－8分）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1．功能介绍、规划构思与布局新颖、合理。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2．是否合理利用土地;与周边环境协调。</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3．是否满足交通流线及开口要求。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4．停车位布局合理可行。</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5．是否满足消防间距要求、是否满足日照间距要求。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6．总平面布局、竖向设计符合规划要求。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3．建筑功能（7－9分）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1．项目功能要求是否满足设计任务书要求。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2．工艺系统流程设计符合设计任务书要求，且先进合理。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3.对项目的设计思路把握准确、设计合理。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938"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4．建筑造型（2－4分）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1．建筑创意、空间处理是否合理。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2．立面造型、比例尺度和谐美观，建筑的功能和形式统一。</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3．功能与形式统一，与周围环境相协调，能够很好的体现建筑风格。</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4．对设计的规划分析图、鸟瞰图、透视图、平立剖面图、交通分析图、模型等进行评比。</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07"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5．结构方案（1－3分）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1．结构方案的选型合理可行、满足设计任务书要求。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2．结构方案的设计依据符合规范及标准要求。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99"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1"/>
                <w:highlight w:val="none"/>
              </w:rPr>
              <w:t>6．设备方案（1－2分）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1．设备方案的选型合理可行、满足设计任务书要求。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2．设备方案的设计依据符合规范及标准要求。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7．绿色建筑（含建筑节能）与装配式建筑设计（1－3分）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1．采用科学合理的绿色建筑（建筑节能）措施。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2．提出切实可行的生态建筑理念与措施。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3．是否符合国家及地方的有关绿色建筑标准。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4、工程采用装配式技术。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Calibri" w:hAnsi="Calibri"/>
                <w:color w:val="auto"/>
                <w:szCs w:val="22"/>
                <w:highlight w:val="none"/>
              </w:rPr>
            </w:pPr>
            <w:r>
              <w:rPr>
                <w:rFonts w:hint="eastAsia" w:ascii="宋体" w:hAnsi="宋体" w:cs="宋体"/>
                <w:color w:val="auto"/>
                <w:szCs w:val="22"/>
                <w:highlight w:val="none"/>
              </w:rPr>
              <w:t>8.设计深度（</w:t>
            </w:r>
            <w:r>
              <w:rPr>
                <w:rFonts w:hint="eastAsia" w:ascii="宋体" w:hAnsi="宋体" w:cs="宋体"/>
                <w:color w:val="auto"/>
                <w:szCs w:val="22"/>
                <w:highlight w:val="none"/>
                <w:lang w:val="en-US" w:eastAsia="zh-CN"/>
              </w:rPr>
              <w:t>1</w:t>
            </w:r>
            <w:r>
              <w:rPr>
                <w:rFonts w:hint="eastAsia" w:ascii="宋体" w:hAnsi="宋体" w:cs="宋体"/>
                <w:color w:val="auto"/>
                <w:szCs w:val="22"/>
                <w:highlight w:val="none"/>
              </w:rPr>
              <w:t>－</w:t>
            </w:r>
            <w:r>
              <w:rPr>
                <w:rFonts w:hint="eastAsia" w:ascii="宋体" w:hAnsi="宋体" w:cs="宋体"/>
                <w:color w:val="auto"/>
                <w:szCs w:val="22"/>
                <w:highlight w:val="none"/>
                <w:lang w:val="en-US" w:eastAsia="zh-CN"/>
              </w:rPr>
              <w:t>2</w:t>
            </w:r>
            <w:r>
              <w:rPr>
                <w:rFonts w:hint="eastAsia" w:ascii="宋体" w:hAnsi="宋体" w:cs="宋体"/>
                <w:color w:val="auto"/>
                <w:szCs w:val="22"/>
                <w:highlight w:val="none"/>
              </w:rPr>
              <w:t>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2．是否符合国家规定的《建筑工程设计文件编制深度规定》。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w:t>
            </w:r>
            <w:r>
              <w:rPr>
                <w:rFonts w:hint="eastAsia" w:ascii="宋体" w:hAnsi="宋体" w:cs="宋体"/>
                <w:color w:val="auto"/>
                <w:szCs w:val="21"/>
                <w:highlight w:val="none"/>
                <w:lang w:val="en-US" w:eastAsia="zh-CN"/>
              </w:rPr>
              <w:t>0</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45"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tcPr>
          <w:p>
            <w:pPr>
              <w:spacing w:line="440" w:lineRule="exact"/>
              <w:rPr>
                <w:color w:val="auto"/>
                <w:szCs w:val="21"/>
                <w:highlight w:val="none"/>
              </w:rPr>
            </w:pPr>
            <w:r>
              <w:rPr>
                <w:rFonts w:hint="eastAsia"/>
                <w:color w:val="auto"/>
                <w:szCs w:val="21"/>
                <w:highlight w:val="none"/>
              </w:rPr>
              <w:t>注：招标人可以根据项目具体情况适当选择增减评标因素，但“评审项”分值不得调整；招标人也可以在招标文件中细化明确评分标准的内容，但一般不得突破各评分因素的规定分值。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color w:val="auto"/>
                <w:szCs w:val="21"/>
                <w:highlight w:val="none"/>
              </w:rPr>
            </w:pPr>
          </w:p>
        </w:tc>
        <w:tc>
          <w:tcPr>
            <w:tcW w:w="1315" w:type="dxa"/>
            <w:vMerge w:val="restart"/>
            <w:tcBorders>
              <w:left w:val="single" w:color="000000"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1.2方案设计文件（≤35分，适用于园林和景观等市政工程）</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1.设计说明（4-7分）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1．设计说明能对项目解读充分，理解深刻，分析准确，构思新颖。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2．项目规划设计各项指标满足任务书及规划设计要点并科学、合理。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3．技术指标满足任务书要求，符合规划要求。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4．设计理念、各专业（附属）工程设计说明。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2.技术方案（10-15分）</w:t>
            </w:r>
          </w:p>
        </w:tc>
        <w:tc>
          <w:tcPr>
            <w:tcW w:w="4088" w:type="dxa"/>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1．总体布置方案、节点方案。</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2．专业（附属）工程设计方案。</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3．设计依据的技术标准、采用的设计指标等。</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4．环境影响分析。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266"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3.设计深度（3-5分）</w:t>
            </w:r>
          </w:p>
        </w:tc>
        <w:tc>
          <w:tcPr>
            <w:tcW w:w="4088" w:type="dxa"/>
            <w:tcBorders>
              <w:top w:val="single" w:color="auto" w:sz="4" w:space="0"/>
              <w:left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2．是否符合国家规定的《市政公用工程设计文件编制深度规定》。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注：本项可视设计深度符合程度在0~5分之间酌情打分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214"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4.绿色设计与新技术应用（1-3分）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1．提出切实可行的生态理念与措施。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2．是否符合国家及地方的有关绿色标准。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3．采用的新技术、新材料、新工艺等。</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29"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5.经济分析（3-5分）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1．估算文件编制内容完整、合理。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2．是否符合设计说明书要求。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3．是否符合国家法律法规及规范标准的规定。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4．是否符合地方政府有关的政策文件规定。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57"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tcPr>
          <w:p>
            <w:pPr>
              <w:spacing w:line="440" w:lineRule="exact"/>
              <w:rPr>
                <w:color w:val="auto"/>
                <w:szCs w:val="21"/>
                <w:highlight w:val="none"/>
              </w:rPr>
            </w:pPr>
            <w:r>
              <w:rPr>
                <w:rFonts w:hint="eastAsia"/>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83" w:hRule="atLeast"/>
        </w:trPr>
        <w:tc>
          <w:tcPr>
            <w:tcW w:w="709" w:type="dxa"/>
            <w:vMerge w:val="restart"/>
            <w:tcBorders>
              <w:top w:val="single" w:color="auto" w:sz="4" w:space="0"/>
              <w:right w:val="single" w:color="000000" w:sz="4" w:space="0"/>
            </w:tcBorders>
            <w:vAlign w:val="center"/>
          </w:tcPr>
          <w:p>
            <w:pPr>
              <w:spacing w:line="440" w:lineRule="exact"/>
              <w:ind w:firstLine="210" w:firstLineChars="100"/>
              <w:rPr>
                <w:color w:val="auto"/>
                <w:szCs w:val="21"/>
                <w:highlight w:val="none"/>
              </w:rPr>
            </w:pPr>
            <w:r>
              <w:rPr>
                <w:rFonts w:hint="eastAsia" w:ascii="宋体" w:hAnsi="宋体" w:cs="宋体"/>
                <w:color w:val="auto"/>
                <w:szCs w:val="21"/>
                <w:highlight w:val="none"/>
              </w:rPr>
              <w:t>2</w:t>
            </w:r>
          </w:p>
        </w:tc>
        <w:tc>
          <w:tcPr>
            <w:tcW w:w="1315" w:type="dxa"/>
            <w:vMerge w:val="restart"/>
            <w:tcBorders>
              <w:top w:val="single" w:color="auto" w:sz="4" w:space="0"/>
              <w:left w:val="single" w:color="000000" w:sz="4" w:space="0"/>
              <w:right w:val="single" w:color="auto"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工程总承包报价（≥50分）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报价评审（工程总承包范围内的所有费用）（≥46分）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方法一：</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以有效投标文件的最低评标价为评标基准价。投标报价等于评标基准价的得满分，每高1%的扣</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方法二：</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评标价进行算术平均，该平均值下浮3%-7%（具体数值由招标人在3%、3.5%、4%、4.5%、5%、5.5%、6%、6.5%、7%中确定四个及以上数值，开标时随机抽取）为评标基准价。评标价等于评标基准价的得满分；每低于评标基准价1%扣0.1分；每高于评标基准价1%扣0.6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21"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2．工程总承包报价是否与投标方案设计文件相匹配；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20" w:hRule="atLeast"/>
        </w:trPr>
        <w:tc>
          <w:tcPr>
            <w:tcW w:w="709" w:type="dxa"/>
            <w:vMerge w:val="continue"/>
            <w:tcBorders>
              <w:bottom w:val="single" w:color="000000"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top w:val="single" w:color="000000" w:sz="4" w:space="0"/>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3</w:t>
            </w:r>
          </w:p>
        </w:tc>
        <w:tc>
          <w:tcPr>
            <w:tcW w:w="1315"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项目管理组织方案（≤9分）</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1．总体概述（1-2分）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2．设计管理方案（≤1分）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对设计执行计划、设计组织实施方案、设计控制措施、设计收尾等内容进行评分。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3．施工管理方案（1-2分）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对施工执行计划、施工进度控制、施工费用控制、施工质量控制、施工安全管理、施工现场管理、施工变更管理等内容进行评分。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155"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4．</w:t>
            </w:r>
            <w:r>
              <w:rPr>
                <w:rFonts w:hint="eastAsia" w:ascii="宋体" w:hAnsi="宋体" w:cs="宋体"/>
                <w:color w:val="auto"/>
                <w:szCs w:val="21"/>
                <w:highlight w:val="none"/>
              </w:rPr>
              <w:t>采购管理方案（</w:t>
            </w:r>
            <w:r>
              <w:rPr>
                <w:rFonts w:hint="eastAsia" w:ascii="宋体" w:hAnsi="宋体" w:cs="宋体"/>
                <w:color w:val="auto"/>
                <w:szCs w:val="22"/>
                <w:highlight w:val="none"/>
              </w:rPr>
              <w:t>≤1分</w:t>
            </w:r>
            <w:r>
              <w:rPr>
                <w:rFonts w:hint="eastAsia" w:ascii="宋体" w:hAnsi="宋体" w:cs="宋体"/>
                <w:color w:val="auto"/>
                <w:szCs w:val="21"/>
                <w:highlight w:val="none"/>
              </w:rPr>
              <w:t>）</w:t>
            </w:r>
          </w:p>
          <w:p>
            <w:pPr>
              <w:rPr>
                <w:rFonts w:ascii="宋体" w:hAnsi="宋体" w:cs="宋体"/>
                <w:color w:val="auto"/>
                <w:szCs w:val="22"/>
                <w:highlight w:val="none"/>
              </w:rPr>
            </w:pP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对采购工作程序、采购执行计划、采买、催交与检验、运输与交付、采购变更管理、仓储管理等内容进行评分。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5．建筑信息模型（BIM）技术（≤1分）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对建筑信息模型（BIM）技术的使用等内容进行评分。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6．工程总承包项目经理陈述及答辩（≤2分）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2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4</w:t>
            </w:r>
          </w:p>
        </w:tc>
        <w:tc>
          <w:tcPr>
            <w:tcW w:w="1315" w:type="dxa"/>
            <w:tcBorders>
              <w:left w:val="single" w:color="000000" w:sz="4" w:space="0"/>
              <w:bottom w:val="single" w:color="auto" w:sz="4" w:space="0"/>
              <w:right w:val="single" w:color="auto" w:sz="4" w:space="0"/>
            </w:tcBorders>
            <w:vAlign w:val="center"/>
          </w:tcPr>
          <w:p>
            <w:pPr>
              <w:spacing w:line="440" w:lineRule="exact"/>
              <w:jc w:val="center"/>
              <w:rPr>
                <w:color w:val="auto"/>
                <w:szCs w:val="21"/>
                <w:highlight w:val="none"/>
              </w:rPr>
            </w:pPr>
            <w:r>
              <w:rPr>
                <w:rFonts w:hint="eastAsia"/>
                <w:color w:val="auto"/>
                <w:szCs w:val="21"/>
                <w:highlight w:val="none"/>
              </w:rPr>
              <w:t>项目管理机构（≤3分）</w:t>
            </w:r>
          </w:p>
        </w:tc>
        <w:tc>
          <w:tcPr>
            <w:tcW w:w="645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709" w:type="dxa"/>
            <w:vMerge w:val="restart"/>
            <w:tcBorders>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5</w:t>
            </w:r>
          </w:p>
        </w:tc>
        <w:tc>
          <w:tcPr>
            <w:tcW w:w="1315" w:type="dxa"/>
            <w:vMerge w:val="restart"/>
            <w:tcBorders>
              <w:left w:val="single" w:color="000000"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工程业绩（≤3分）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1．投标人类似工程业绩（≤1分）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0" w:firstLineChars="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ind w:firstLine="0" w:firstLineChars="0"/>
              <w:rPr>
                <w:rFonts w:hint="default" w:cs="宋体"/>
                <w:color w:val="auto"/>
                <w:szCs w:val="21"/>
                <w:highlight w:val="none"/>
                <w:lang w:val="en-US" w:eastAsia="zh-CN"/>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2．工程总承包项目经理类似工程业绩（≤2分）</w:t>
            </w:r>
          </w:p>
        </w:tc>
        <w:tc>
          <w:tcPr>
            <w:tcW w:w="408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的工程总承包业绩加分，累计不超过2分</w:t>
            </w:r>
            <w:r>
              <w:rPr>
                <w:rFonts w:hint="eastAsia" w:ascii="宋体" w:hAnsi="宋体" w:cs="宋体"/>
                <w:color w:val="auto"/>
                <w:szCs w:val="21"/>
                <w:highlight w:val="none"/>
                <w:lang w:eastAsia="zh-CN"/>
              </w:rPr>
              <w:t>；</w:t>
            </w:r>
          </w:p>
          <w:p>
            <w:pPr>
              <w:adjustRightInd w:val="0"/>
              <w:snapToGrid w:val="0"/>
              <w:ind w:firstLine="0" w:firstLineChars="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hint="eastAsia"/>
                <w:color w:val="auto"/>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cs="宋体"/>
                <w:color w:val="auto"/>
                <w:szCs w:val="21"/>
                <w:highlight w:val="none"/>
              </w:rPr>
            </w:pPr>
            <w:r>
              <w:rPr>
                <w:rFonts w:hint="eastAsia" w:ascii="宋体" w:hAnsi="宋体" w:cs="宋体"/>
                <w:color w:val="auto"/>
                <w:szCs w:val="21"/>
                <w:highlight w:val="none"/>
              </w:rPr>
              <w:t>注：1.类似工程执行苏建规字〔2017〕1号文的相应规定，招标文件中应当明确投标人和项目经理承担过单个类似及以上工程的分值。</w:t>
            </w:r>
          </w:p>
          <w:p>
            <w:pPr>
              <w:spacing w:line="360" w:lineRule="auto"/>
              <w:rPr>
                <w:rFonts w:ascii="宋体" w:hAnsi="宋体" w:cs="宋体"/>
                <w:color w:val="auto"/>
                <w:szCs w:val="21"/>
                <w:highlight w:val="none"/>
              </w:rPr>
            </w:pPr>
          </w:p>
        </w:tc>
      </w:tr>
    </w:tbl>
    <w:p>
      <w:pPr>
        <w:pStyle w:val="5"/>
        <w:jc w:val="center"/>
        <w:rPr>
          <w:color w:val="auto"/>
          <w:kern w:val="44"/>
          <w:sz w:val="32"/>
          <w:highlight w:val="none"/>
        </w:rPr>
      </w:pPr>
      <w:r>
        <w:rPr>
          <w:rFonts w:ascii="Calibri" w:hAnsi="Calibri"/>
          <w:color w:val="auto"/>
          <w:szCs w:val="22"/>
          <w:highlight w:val="none"/>
        </w:rPr>
        <w:br w:type="page"/>
      </w:r>
      <w:bookmarkStart w:id="538" w:name="_Toc3339"/>
      <w:bookmarkStart w:id="539" w:name="_Toc3798"/>
      <w:bookmarkStart w:id="540" w:name="_Toc26178"/>
      <w:bookmarkStart w:id="541" w:name="_Toc5451"/>
      <w:bookmarkStart w:id="542" w:name="_Toc25455"/>
      <w:bookmarkStart w:id="543" w:name="_Toc10413"/>
      <w:r>
        <w:rPr>
          <w:rStyle w:val="56"/>
          <w:rFonts w:hint="eastAsia" w:ascii="黑体" w:hAnsi="黑体" w:eastAsia="黑体" w:cs="黑体"/>
          <w:b w:val="0"/>
          <w:bCs w:val="0"/>
          <w:color w:val="auto"/>
          <w:sz w:val="32"/>
          <w:highlight w:val="none"/>
        </w:rPr>
        <w:t>综合评估法二：适用于方案设计完成之后的工程总承包招标</w:t>
      </w:r>
      <w:bookmarkEnd w:id="538"/>
      <w:bookmarkEnd w:id="539"/>
      <w:bookmarkEnd w:id="540"/>
      <w:bookmarkEnd w:id="541"/>
      <w:bookmarkEnd w:id="542"/>
      <w:bookmarkEnd w:id="543"/>
    </w:p>
    <w:tbl>
      <w:tblPr>
        <w:tblStyle w:val="44"/>
        <w:tblW w:w="8483"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09"/>
        <w:gridCol w:w="1315"/>
        <w:gridCol w:w="2371"/>
        <w:gridCol w:w="89"/>
        <w:gridCol w:w="16"/>
        <w:gridCol w:w="3983"/>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(总分100分)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技术标：初步设计文件：</w:t>
            </w:r>
            <w:r>
              <w:rPr>
                <w:rFonts w:hint="eastAsia" w:ascii="宋体" w:hAnsi="宋体" w:cs="宋体"/>
                <w:color w:val="auto"/>
                <w:szCs w:val="21"/>
                <w:highlight w:val="none"/>
                <w:u w:val="single"/>
              </w:rPr>
              <w:t>≤25</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项目管理组织方案：</w:t>
            </w:r>
            <w:r>
              <w:rPr>
                <w:rFonts w:hint="eastAsia" w:ascii="宋体" w:hAnsi="宋体" w:cs="宋体"/>
                <w:color w:val="auto"/>
                <w:szCs w:val="21"/>
                <w:highlight w:val="none"/>
                <w:u w:val="single"/>
              </w:rPr>
              <w:t>≤10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≥60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≤3</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315"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评分项</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w:t>
            </w:r>
          </w:p>
        </w:tc>
        <w:tc>
          <w:tcPr>
            <w:tcW w:w="1315" w:type="dxa"/>
            <w:vMerge w:val="restart"/>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1.1初步设计文件（≤25分、适用于房屋建筑工程）</w:t>
            </w:r>
          </w:p>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 xml:space="preserve">1．设计说明书（2-4分） </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1．设计说明能对项目的设计方案解读准确，构思新颖。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2．简述各专业的设计特点和系统组成。</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3．项目设计的各项主要技术经济指标是否满足招标人功能需求。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4．项目设计是否符合国家规范标准及地方规划要求。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16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2．总平面设计（2-4分）</w:t>
            </w:r>
          </w:p>
        </w:tc>
        <w:tc>
          <w:tcPr>
            <w:tcW w:w="4088" w:type="dxa"/>
            <w:gridSpan w:val="3"/>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1．总平面设计构思及指导思想。</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2．总平面设计结合自然环境和地域文脉，综合考虑地形、地质、日照、通风、防火、卫生、交通及环境保护等要求进行总体布局，使其满足使用功能、城市规划要求。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3．总平面设计技术安全、经济合理性、节能、节地、节水、节材等。</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3．建筑设计（2-4分）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1．建筑设计各项内容完整合理并满足设计任务书要求。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2．建筑设计是否符合国家规范标准及地方规划要求。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3．各项经济技术指标是否满足招标人功能需求。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4．结构设计（2-3分）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1．结构设计各项内容完整合理并符合计任务书要求。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2．结构设计是否符合国家规范标准要求。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3．结构布置图和计算书是否符合国家法律法规及规范标准要求。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5．</w:t>
            </w:r>
            <w:r>
              <w:rPr>
                <w:rFonts w:hint="eastAsia" w:ascii="宋体" w:hAnsi="宋体" w:cs="宋体"/>
                <w:color w:val="auto"/>
                <w:szCs w:val="22"/>
                <w:highlight w:val="none"/>
              </w:rPr>
              <w:t>设备设计（建筑电气、给水排水、供暖通风与空气调节、热能动力等专项设计，总分2-4分）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1．各专业设计内容完整合理并满足设计任务书要求。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2．各专业设计是否符合国家规范标准及地方规划要求。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3．各专业设计的经济技术指标是否满足招标人功能需求。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6. 新技术、新材料、新设备和新结构应用（1-2分）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1．对采用新技术、新材料、新设备和新结构的情况进行评分。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7．绿色建筑与建筑产业化设计（1-2分）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1.采用科学合理的绿色建筑（建筑节能）措施。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2.提出切实可行的生态建筑理念与措施。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3.是否符合国家及地方的有关绿色建筑标准。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4．工程采用装配式技术。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8、经济分析（≤1分）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1．概算文件编制内容完整、合理。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2．是否符合设计说明书要求。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3．是否符合国家法律法规及规范标准的规定。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4．是否符合地方政府有关的政策文件规定。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9、设计深度（≤1分）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2．是否符合国家规定的《建筑工程设计文件编制深度规定》。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注：本项可视设计深度符合程度在0~1分之间酌情打分。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00"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p>
          <w:p>
            <w:pPr>
              <w:spacing w:line="440" w:lineRule="exact"/>
              <w:jc w:val="center"/>
              <w:rPr>
                <w:rFonts w:ascii="宋体" w:hAnsi="宋体" w:cs="宋体"/>
                <w:color w:val="auto"/>
                <w:szCs w:val="21"/>
                <w:highlight w:val="none"/>
              </w:rPr>
            </w:pPr>
          </w:p>
        </w:tc>
        <w:tc>
          <w:tcPr>
            <w:tcW w:w="1315" w:type="dxa"/>
            <w:vMerge w:val="restart"/>
            <w:tcBorders>
              <w:left w:val="single" w:color="000000"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1.2初步设计文件（≤25分、适用于市政工程）</w:t>
            </w:r>
          </w:p>
          <w:p>
            <w:pPr>
              <w:spacing w:line="440" w:lineRule="exact"/>
              <w:rPr>
                <w:rFonts w:ascii="宋体" w:hAnsi="宋体" w:cs="宋体"/>
                <w:color w:val="auto"/>
                <w:szCs w:val="21"/>
                <w:highlight w:val="none"/>
              </w:rPr>
            </w:pPr>
          </w:p>
        </w:tc>
        <w:tc>
          <w:tcPr>
            <w:tcW w:w="2460"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1．设计说明书（2-4分）</w:t>
            </w:r>
          </w:p>
        </w:tc>
        <w:tc>
          <w:tcPr>
            <w:tcW w:w="399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1.设计说明能对项目的设计方案解读准确，构思新颖。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2.简述各专业（附属）工程的设计特点。</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3.项目设计的各项主要技术指标是否满足招标人功能需求。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4.项目设计是否符合国家规范标准及地方规划要求。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2．技术方案（6-12分）</w:t>
            </w:r>
          </w:p>
        </w:tc>
        <w:tc>
          <w:tcPr>
            <w:tcW w:w="3999" w:type="dxa"/>
            <w:gridSpan w:val="2"/>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1．总体布置（总平面设计）。</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2．设计原则。</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3．设计依据。</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4．各专项（附属）工程设计方案。</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3．设计深度（2-4分）</w:t>
            </w:r>
          </w:p>
        </w:tc>
        <w:tc>
          <w:tcPr>
            <w:tcW w:w="3999" w:type="dxa"/>
            <w:gridSpan w:val="2"/>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2．是否符合国家规定的《市政公用工程设计文件编制深度规定》。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注：本项可视设计深度符合程度在0~4分之间酌情打分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04"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4．绿色设计与新技术应用（2－3分）</w:t>
            </w:r>
          </w:p>
        </w:tc>
        <w:tc>
          <w:tcPr>
            <w:tcW w:w="3999" w:type="dxa"/>
            <w:gridSpan w:val="2"/>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1．提出切实可行的生态理念与措施。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2．是否符合国家及地方的有关绿色标准。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3．采用的新技术、新材料、新设备、新工艺等。</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18"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5．</w:t>
            </w:r>
            <w:r>
              <w:rPr>
                <w:rFonts w:hint="eastAsia" w:ascii="宋体" w:hAnsi="宋体" w:cs="宋体"/>
                <w:color w:val="auto"/>
                <w:szCs w:val="22"/>
                <w:highlight w:val="none"/>
              </w:rPr>
              <w:t>经济分析（1-2分）</w:t>
            </w:r>
          </w:p>
        </w:tc>
        <w:tc>
          <w:tcPr>
            <w:tcW w:w="3999" w:type="dxa"/>
            <w:gridSpan w:val="2"/>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1．概算文件编制内容完整、合理。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2．是否符合设计说明书。</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3．是否符合国家法律法规及规范标准。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4．是否符合地方政府有关的政策文件规定。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25"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83" w:hRule="atLeast"/>
        </w:trPr>
        <w:tc>
          <w:tcPr>
            <w:tcW w:w="709" w:type="dxa"/>
            <w:vMerge w:val="restart"/>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w:t>
            </w:r>
          </w:p>
        </w:tc>
        <w:tc>
          <w:tcPr>
            <w:tcW w:w="1315" w:type="dxa"/>
            <w:vMerge w:val="restart"/>
            <w:tcBorders>
              <w:top w:val="single" w:color="auto" w:sz="4" w:space="0"/>
              <w:left w:val="single" w:color="000000" w:sz="4" w:space="0"/>
              <w:right w:val="single" w:color="auto" w:sz="4" w:space="0"/>
            </w:tcBorders>
            <w:vAlign w:val="center"/>
          </w:tcPr>
          <w:p>
            <w:pPr>
              <w:spacing w:line="440" w:lineRule="exact"/>
              <w:jc w:val="both"/>
              <w:rPr>
                <w:rFonts w:ascii="宋体" w:hAnsi="宋体" w:cs="宋体"/>
                <w:color w:val="auto"/>
                <w:szCs w:val="21"/>
                <w:highlight w:val="none"/>
              </w:rPr>
            </w:pPr>
            <w:r>
              <w:rPr>
                <w:rFonts w:hint="eastAsia" w:ascii="宋体" w:hAnsi="宋体" w:cs="宋体"/>
                <w:color w:val="auto"/>
                <w:szCs w:val="21"/>
                <w:highlight w:val="none"/>
              </w:rPr>
              <w:t>工程总承包报价（≥60分）</w:t>
            </w:r>
          </w:p>
        </w:tc>
        <w:tc>
          <w:tcPr>
            <w:tcW w:w="2476"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报价评审（工程总承包范围内的所有费用）（≥58分）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方法一：</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以有效投标文件的最低评标价为评标基准价。投标报价等于评标基准价的得满分，每高1%的扣</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方法二：</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评标价进行算术平均，该平均值下浮3%-7%（具体数值由招标人在3%、3.5%、4%、4.5%、5%、5.5%、6%、6.5%、7%中确定四个及以上数值，开标时随机抽取）为评标基准价。评标价等于评标基准价的得满分；每低于评标基准价1%扣0.1分；每高于评标基准价1%扣0.6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68" w:hRule="atLeast"/>
        </w:trPr>
        <w:tc>
          <w:tcPr>
            <w:tcW w:w="709" w:type="dxa"/>
            <w:vMerge w:val="continue"/>
            <w:tcBorders>
              <w:top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top w:val="single" w:color="auto" w:sz="4" w:space="0"/>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vMerge w:val="restart"/>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该项评审因素是否设立，由招标人自主确定，本项指标用于对工程总承包报价中不合理报价的评价，以下评审方法供参考：</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2．工程总承包报价是否与投标初步设计文件相匹配；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55" w:hRule="atLeast"/>
        </w:trPr>
        <w:tc>
          <w:tcPr>
            <w:tcW w:w="709" w:type="dxa"/>
            <w:vMerge w:val="continue"/>
            <w:tcBorders>
              <w:bottom w:val="single" w:color="000000"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vMerge w:val="continue"/>
            <w:tcBorders>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3983"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top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w:t>
            </w:r>
          </w:p>
        </w:tc>
        <w:tc>
          <w:tcPr>
            <w:tcW w:w="1315"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项目管理组织方案（≤10分）</w:t>
            </w:r>
          </w:p>
        </w:tc>
        <w:tc>
          <w:tcPr>
            <w:tcW w:w="2476"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1．总体概述（1-2分）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对工程总承包的总体设想、组织形式、各项管理目标及控制措施、设计、施工实施计划、设计与施工的协调措施等内容进行评分。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2．</w:t>
            </w:r>
            <w:r>
              <w:rPr>
                <w:rFonts w:hint="eastAsia" w:ascii="宋体" w:hAnsi="宋体" w:cs="宋体"/>
                <w:color w:val="auto"/>
                <w:szCs w:val="21"/>
                <w:highlight w:val="none"/>
              </w:rPr>
              <w:t>采购管理方案（≤1分）</w:t>
            </w:r>
          </w:p>
        </w:tc>
        <w:tc>
          <w:tcPr>
            <w:tcW w:w="3983" w:type="dxa"/>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1"/>
                <w:highlight w:val="none"/>
              </w:rPr>
              <w:t>对采购工作程序、采购执行计划、采买、催交与检验、运输与交付、采购变更管理、仓储管理等内容进行评分。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41"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11"/>
              </w:numPr>
              <w:kinsoku/>
              <w:wordWrap/>
              <w:overflowPunct/>
              <w:topLinePunct w:val="0"/>
              <w:autoSpaceDE/>
              <w:autoSpaceDN/>
              <w:bidi w:val="0"/>
              <w:adjustRightInd/>
              <w:snapToGrid/>
              <w:spacing w:line="440" w:lineRule="exact"/>
              <w:textAlignment w:val="auto"/>
              <w:outlineLvl w:val="9"/>
              <w:rPr>
                <w:rFonts w:ascii="宋体" w:hAnsi="宋体" w:cs="宋体"/>
                <w:color w:val="auto"/>
                <w:szCs w:val="21"/>
                <w:highlight w:val="none"/>
              </w:rPr>
            </w:pPr>
            <w:r>
              <w:rPr>
                <w:rFonts w:hint="eastAsia" w:ascii="宋体" w:hAnsi="宋体" w:cs="宋体"/>
                <w:color w:val="auto"/>
                <w:szCs w:val="21"/>
                <w:highlight w:val="none"/>
              </w:rPr>
              <w:t>施工平面布置规划（≤1分）</w:t>
            </w:r>
          </w:p>
        </w:tc>
        <w:tc>
          <w:tcPr>
            <w:tcW w:w="398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对施工现场平面布置和临时设施、临时道路布置等内容进行评分。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20"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4．施工的重点难点（1-2分）</w:t>
            </w:r>
          </w:p>
        </w:tc>
        <w:tc>
          <w:tcPr>
            <w:tcW w:w="398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对关键施工技术、工艺及工程项目实施的重点、难点和解决方案等内容进行评分。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86"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5．施工资源投入计划（≤1分）</w:t>
            </w:r>
          </w:p>
        </w:tc>
        <w:tc>
          <w:tcPr>
            <w:tcW w:w="3983"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对劳动力、机械设备和材料投入计划进行评分。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6</w:t>
            </w:r>
            <w:r>
              <w:rPr>
                <w:rFonts w:hint="eastAsia" w:ascii="宋体" w:hAnsi="宋体" w:cs="宋体"/>
                <w:color w:val="auto"/>
                <w:szCs w:val="21"/>
                <w:highlight w:val="none"/>
              </w:rPr>
              <w:t>．</w:t>
            </w:r>
            <w:r>
              <w:rPr>
                <w:rFonts w:hint="eastAsia" w:ascii="宋体" w:hAnsi="宋体" w:cs="宋体"/>
                <w:color w:val="auto"/>
                <w:szCs w:val="22"/>
                <w:highlight w:val="none"/>
              </w:rPr>
              <w:t>新技术、新产品、新工艺、新材料（≤1分）</w:t>
            </w:r>
          </w:p>
        </w:tc>
        <w:tc>
          <w:tcPr>
            <w:tcW w:w="3983" w:type="dxa"/>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对采用新技术、新产品、新工艺、新材料的情况进行评分。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42"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7．建筑信息模型（BIM）技术（≤1分）</w:t>
            </w:r>
          </w:p>
        </w:tc>
        <w:tc>
          <w:tcPr>
            <w:tcW w:w="398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对建筑信息模型（BIM）技术的使用等内容进行评分。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8．工程总承包项目经理陈述及答辩（≤1分）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1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vAlign w:val="center"/>
          </w:tcPr>
          <w:p>
            <w:pPr>
              <w:spacing w:line="440" w:lineRule="exact"/>
              <w:jc w:val="center"/>
              <w:rPr>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w:t>
            </w:r>
          </w:p>
        </w:tc>
        <w:tc>
          <w:tcPr>
            <w:tcW w:w="1315" w:type="dxa"/>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项目管理机构（≤2分）</w:t>
            </w:r>
          </w:p>
        </w:tc>
        <w:tc>
          <w:tcPr>
            <w:tcW w:w="6459" w:type="dxa"/>
            <w:gridSpan w:val="4"/>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5</w:t>
            </w:r>
          </w:p>
        </w:tc>
        <w:tc>
          <w:tcPr>
            <w:tcW w:w="1315" w:type="dxa"/>
            <w:vMerge w:val="restart"/>
            <w:tcBorders>
              <w:left w:val="single" w:color="000000"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工程业绩（≤3分）</w:t>
            </w:r>
          </w:p>
        </w:tc>
        <w:tc>
          <w:tcPr>
            <w:tcW w:w="2476"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1．投标人类似工程业绩（≤1分）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0" w:firstLineChars="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rPr>
                <w:rFonts w:ascii="宋体" w:hAnsi="宋体" w:cs="宋体"/>
                <w:color w:val="auto"/>
                <w:szCs w:val="21"/>
                <w:highlight w:val="none"/>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2．工程总承包项目经理类似工程业绩（≤2分）</w:t>
            </w:r>
          </w:p>
        </w:tc>
        <w:tc>
          <w:tcPr>
            <w:tcW w:w="398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的工程总承包业绩加分，累计不超过2分</w:t>
            </w:r>
            <w:r>
              <w:rPr>
                <w:rFonts w:hint="eastAsia" w:ascii="宋体" w:hAnsi="宋体" w:cs="宋体"/>
                <w:color w:val="auto"/>
                <w:szCs w:val="21"/>
                <w:highlight w:val="none"/>
                <w:lang w:eastAsia="zh-CN"/>
              </w:rPr>
              <w:t>；</w:t>
            </w:r>
          </w:p>
          <w:p>
            <w:pPr>
              <w:adjustRightInd w:val="0"/>
              <w:snapToGrid w:val="0"/>
              <w:ind w:firstLine="210" w:firstLineChars="10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ascii="宋体" w:hAnsi="宋体" w:cs="宋体"/>
                <w:color w:val="auto"/>
                <w:szCs w:val="21"/>
                <w:highlight w:val="none"/>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注：1.类似工程执行苏建规字〔2017〕1号文的相应规定，招标文件中应当明确投标人和项目经理承担过单个类似及以上工程的分值。</w:t>
            </w:r>
          </w:p>
          <w:p>
            <w:pPr>
              <w:spacing w:line="360" w:lineRule="auto"/>
              <w:ind w:firstLine="420" w:firstLineChars="200"/>
              <w:rPr>
                <w:rFonts w:ascii="宋体" w:hAnsi="宋体" w:cs="宋体"/>
                <w:color w:val="auto"/>
                <w:szCs w:val="21"/>
                <w:highlight w:val="none"/>
              </w:rPr>
            </w:pPr>
          </w:p>
        </w:tc>
      </w:tr>
    </w:tbl>
    <w:p>
      <w:pPr>
        <w:pStyle w:val="5"/>
        <w:jc w:val="center"/>
        <w:rPr>
          <w:color w:val="auto"/>
          <w:kern w:val="44"/>
          <w:sz w:val="28"/>
          <w:szCs w:val="28"/>
          <w:highlight w:val="none"/>
        </w:rPr>
      </w:pPr>
      <w:r>
        <w:rPr>
          <w:color w:val="auto"/>
          <w:kern w:val="44"/>
          <w:sz w:val="32"/>
          <w:highlight w:val="none"/>
        </w:rPr>
        <w:br w:type="page"/>
      </w:r>
      <w:bookmarkStart w:id="544" w:name="_Toc22525"/>
      <w:bookmarkStart w:id="545" w:name="_Toc28770"/>
      <w:bookmarkStart w:id="546" w:name="_Toc5670"/>
      <w:bookmarkStart w:id="547" w:name="_Toc25702"/>
      <w:bookmarkStart w:id="548" w:name="_Toc24278"/>
      <w:bookmarkStart w:id="549" w:name="_Toc19206"/>
      <w:r>
        <w:rPr>
          <w:rStyle w:val="56"/>
          <w:rFonts w:hint="eastAsia" w:ascii="黑体" w:hAnsi="黑体" w:eastAsia="黑体" w:cs="黑体"/>
          <w:b w:val="0"/>
          <w:bCs w:val="0"/>
          <w:color w:val="auto"/>
          <w:sz w:val="32"/>
          <w:highlight w:val="none"/>
        </w:rPr>
        <w:t>综合评估法四：适用于专业工程工程总承包招标</w:t>
      </w:r>
      <w:bookmarkEnd w:id="544"/>
      <w:bookmarkEnd w:id="545"/>
      <w:bookmarkEnd w:id="546"/>
      <w:bookmarkEnd w:id="547"/>
      <w:bookmarkEnd w:id="548"/>
      <w:bookmarkEnd w:id="549"/>
    </w:p>
    <w:tbl>
      <w:tblPr>
        <w:tblStyle w:val="44"/>
        <w:tblW w:w="8496"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09"/>
        <w:gridCol w:w="1134"/>
        <w:gridCol w:w="2552"/>
        <w:gridCol w:w="105"/>
        <w:gridCol w:w="399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(总分100分)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技术标：专业工程设计文件：</w:t>
            </w:r>
            <w:r>
              <w:rPr>
                <w:rFonts w:hint="eastAsia" w:ascii="宋体" w:hAnsi="宋体" w:cs="宋体"/>
                <w:color w:val="auto"/>
                <w:szCs w:val="21"/>
                <w:highlight w:val="none"/>
                <w:u w:val="single"/>
              </w:rPr>
              <w:t>≤20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项目管理组织方案：</w:t>
            </w:r>
            <w:r>
              <w:rPr>
                <w:rFonts w:hint="eastAsia" w:ascii="宋体" w:hAnsi="宋体" w:cs="宋体"/>
                <w:color w:val="auto"/>
                <w:szCs w:val="21"/>
                <w:highlight w:val="none"/>
                <w:u w:val="single"/>
              </w:rPr>
              <w:t>≤8</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≥68</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134"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评分项</w:t>
            </w:r>
          </w:p>
        </w:tc>
        <w:tc>
          <w:tcPr>
            <w:tcW w:w="2552"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w:t>
            </w:r>
          </w:p>
        </w:tc>
        <w:tc>
          <w:tcPr>
            <w:tcW w:w="1134" w:type="dxa"/>
            <w:vMerge w:val="restart"/>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专业工程设计文件（≤20分）</w:t>
            </w: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1．设计说明（2-5分）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1．设计说明能对项目的设计方案解读准确，构思新颖。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2．项目设计的各项主要技术经济指标是否满足招标人功能需求。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3．项目设计是否国家规范标准及地方规划要求。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2．专业工程设计文件（5-10分）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1．设计文件是否满足设计任务书要求。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2．设计文件是否符合国家规范标准及地方规划要求。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3．工程设计文件的先进性、完整性、实用性以及工程造价等方面进行评分。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4、与建筑的协调性。</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 新技术、新材料、新设备和新结构应用（1-2分）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1.对采用新技术、新材料、新设备和新结构的内容进行评分。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4．绿色设计和装配化（</w:t>
            </w:r>
            <w:r>
              <w:rPr>
                <w:rFonts w:hint="eastAsia" w:ascii="宋体" w:hAnsi="宋体" w:cs="宋体"/>
                <w:color w:val="auto"/>
                <w:szCs w:val="21"/>
                <w:highlight w:val="none"/>
                <w:u w:val="none"/>
              </w:rPr>
              <w:t>≤1</w:t>
            </w:r>
            <w:r>
              <w:rPr>
                <w:rFonts w:hint="eastAsia" w:ascii="宋体" w:hAnsi="宋体" w:cs="宋体"/>
                <w:color w:val="auto"/>
                <w:szCs w:val="21"/>
                <w:highlight w:val="none"/>
              </w:rPr>
              <w:t>分</w:t>
            </w:r>
            <w:r>
              <w:rPr>
                <w:rFonts w:hint="eastAsia" w:ascii="宋体" w:hAnsi="宋体" w:cs="宋体"/>
                <w:color w:val="auto"/>
                <w:szCs w:val="22"/>
                <w:highlight w:val="none"/>
              </w:rPr>
              <w:t>）</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1.采用科学合理的绿色建筑（建筑节能）措施。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2.提出切实可行的生态建筑理念与措施，符合国家及地方的有关绿色建筑标准。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3.对装配式建筑设计先进性、合理性、规范符合性进行评分。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5. 设计深度（0-2分）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2．是否符合国家规定的《建筑工程设计文件编制深度规定》。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注：本项可视设计深度符合程度在0~2分之间酌情打分。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653" w:type="dxa"/>
            <w:gridSpan w:val="3"/>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709" w:type="dxa"/>
            <w:vMerge w:val="restart"/>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w:t>
            </w:r>
          </w:p>
        </w:tc>
        <w:tc>
          <w:tcPr>
            <w:tcW w:w="1134" w:type="dxa"/>
            <w:vMerge w:val="restart"/>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工程总承包报价（≥68分）</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报价评审（工程总承包范围内的所有费用）（≥66分）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方法一：</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以有效投标文件的最低评标价为评标基准价。投标报价等于评标基准价的得满分，每高1%的扣</w:t>
            </w:r>
            <w:r>
              <w:rPr>
                <w:rFonts w:hint="eastAsia" w:ascii="宋体" w:hAnsi="宋体" w:cs="宋体"/>
                <w:color w:val="auto"/>
                <w:szCs w:val="21"/>
                <w:highlight w:val="none"/>
                <w:lang w:val="en-US" w:eastAsia="zh-CN"/>
              </w:rPr>
              <w:t xml:space="preserve">       </w:t>
            </w:r>
            <w:r>
              <w:rPr>
                <w:rFonts w:hint="eastAsia" w:ascii="宋体" w:hAnsi="宋体" w:cs="宋体"/>
                <w:color w:val="auto"/>
                <w:szCs w:val="21"/>
                <w:highlight w:val="none"/>
              </w:rPr>
              <w:t>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方法二：</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评标价进行算术平均，该平均值下浮3%-7%（具体数值由招标人在3%、3.5%、4%、4.5%、5%、5.5%、6%、6.5%、7%中确定四个及以上数值，开标时随机抽取）为评标基准价。评标价等于评标基准价的得满分；每低于评标基准价1%扣0.1分；每高于评标基准价1%扣0.6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highlight w:val="none"/>
              </w:rPr>
              <w:t>2.</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12" w:hRule="atLeast"/>
        </w:trPr>
        <w:tc>
          <w:tcPr>
            <w:tcW w:w="709" w:type="dxa"/>
            <w:vMerge w:val="continue"/>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vMerge w:val="restart"/>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2．工程总承包报价是否与投标专业工程设计文件相匹配；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30" w:hRule="atLeast"/>
        </w:trPr>
        <w:tc>
          <w:tcPr>
            <w:tcW w:w="709" w:type="dxa"/>
            <w:vMerge w:val="continue"/>
            <w:tcBorders>
              <w:bottom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bottom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vMerge w:val="continue"/>
            <w:tcBorders>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3996"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top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w:t>
            </w:r>
          </w:p>
        </w:tc>
        <w:tc>
          <w:tcPr>
            <w:tcW w:w="1134"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项目管理组织方案（≤8分）</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1．总体概述（1-2分）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对工程总承包的总体设想、组织形式、各项管理目标及控制措施、设计、施工实施计划、设计与施工的协调措施等内容进行评分。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2．施工的重点难点（1-2分）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对关键施工技术、工艺及工程项目实施的重点、难点和解决方案等内容进行评分。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3. 施工资源投入计划（≤1分）</w:t>
            </w:r>
          </w:p>
        </w:tc>
        <w:tc>
          <w:tcPr>
            <w:tcW w:w="3996"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对劳动力、机械设备和材料投入计划进行评分。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4.新技术、新产品、新工艺、新材料应用（≤1分）</w:t>
            </w:r>
          </w:p>
        </w:tc>
        <w:tc>
          <w:tcPr>
            <w:tcW w:w="3996" w:type="dxa"/>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对采用新技术、新产品、新工艺、新材料的情况进行评分。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321"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5．工程总承包项目经理陈述及答辩（≤2分）</w:t>
            </w:r>
          </w:p>
          <w:p>
            <w:pPr>
              <w:rPr>
                <w:rFonts w:ascii="宋体" w:hAnsi="宋体" w:cs="宋体"/>
                <w:color w:val="auto"/>
                <w:szCs w:val="21"/>
                <w:highlight w:val="none"/>
              </w:rPr>
            </w:pPr>
          </w:p>
        </w:tc>
        <w:tc>
          <w:tcPr>
            <w:tcW w:w="3996"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2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6653"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w:t>
            </w:r>
          </w:p>
        </w:tc>
        <w:tc>
          <w:tcPr>
            <w:tcW w:w="1134" w:type="dxa"/>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项目管理机构（≤</w:t>
            </w:r>
            <w:r>
              <w:rPr>
                <w:rFonts w:hint="eastAsia" w:ascii="宋体" w:hAnsi="宋体" w:cs="宋体"/>
                <w:color w:val="auto"/>
                <w:szCs w:val="22"/>
                <w:highlight w:val="none"/>
              </w:rPr>
              <w:t>2</w:t>
            </w:r>
            <w:r>
              <w:rPr>
                <w:rFonts w:hint="eastAsia" w:ascii="宋体" w:hAnsi="宋体" w:cs="宋体"/>
                <w:color w:val="auto"/>
                <w:szCs w:val="21"/>
                <w:highlight w:val="none"/>
              </w:rPr>
              <w:t>分）</w:t>
            </w:r>
          </w:p>
        </w:tc>
        <w:tc>
          <w:tcPr>
            <w:tcW w:w="6653"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5</w:t>
            </w:r>
          </w:p>
        </w:tc>
        <w:tc>
          <w:tcPr>
            <w:tcW w:w="1134" w:type="dxa"/>
            <w:vMerge w:val="restart"/>
            <w:tcBorders>
              <w:left w:val="single" w:color="000000"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工程业绩（≤2分）</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1．投标人类似工程业绩（≤1分）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0" w:firstLineChars="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ind w:firstLine="0" w:firstLineChars="0"/>
              <w:rPr>
                <w:rFonts w:ascii="宋体" w:hAnsi="宋体" w:cs="宋体"/>
                <w:color w:val="auto"/>
                <w:szCs w:val="21"/>
                <w:highlight w:val="none"/>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2．工程总承包项目经理类似工程业绩（≤1分）</w:t>
            </w:r>
          </w:p>
        </w:tc>
        <w:tc>
          <w:tcPr>
            <w:tcW w:w="399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w:t>
            </w:r>
            <w:r>
              <w:rPr>
                <w:rFonts w:hint="eastAsia" w:ascii="宋体" w:hAnsi="宋体" w:cs="宋体"/>
                <w:color w:val="auto"/>
                <w:szCs w:val="21"/>
                <w:highlight w:val="none"/>
                <w:lang w:val="en-US" w:eastAsia="zh-CN"/>
              </w:rPr>
              <w:t>1</w:t>
            </w:r>
            <w:r>
              <w:rPr>
                <w:rFonts w:hint="eastAsia" w:ascii="宋体" w:hAnsi="宋体" w:eastAsia="宋体" w:cs="宋体"/>
                <w:color w:val="auto"/>
                <w:szCs w:val="21"/>
                <w:highlight w:val="none"/>
              </w:rPr>
              <w:t>分</w:t>
            </w:r>
            <w:r>
              <w:rPr>
                <w:rFonts w:hint="eastAsia" w:ascii="宋体" w:hAnsi="宋体" w:cs="宋体"/>
                <w:color w:val="auto"/>
                <w:szCs w:val="21"/>
                <w:highlight w:val="none"/>
                <w:lang w:eastAsia="zh-CN"/>
              </w:rPr>
              <w:t>；</w:t>
            </w:r>
          </w:p>
          <w:p>
            <w:pPr>
              <w:adjustRightInd w:val="0"/>
              <w:snapToGrid w:val="0"/>
              <w:ind w:firstLine="210" w:firstLineChars="10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ascii="宋体" w:hAnsi="宋体" w:cs="宋体"/>
                <w:color w:val="auto"/>
                <w:szCs w:val="21"/>
                <w:highlight w:val="none"/>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653"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注：1.类似工程执行苏建规字</w:t>
            </w:r>
            <w:r>
              <w:rPr>
                <w:rFonts w:hint="eastAsia" w:ascii="仿宋" w:hAnsi="仿宋" w:eastAsia="仿宋" w:cs="仿宋"/>
                <w:color w:val="auto"/>
                <w:szCs w:val="21"/>
                <w:highlight w:val="none"/>
              </w:rPr>
              <w:t>〔</w:t>
            </w:r>
            <w:r>
              <w:rPr>
                <w:rFonts w:hint="eastAsia" w:ascii="宋体" w:hAnsi="宋体" w:cs="宋体"/>
                <w:color w:val="auto"/>
                <w:szCs w:val="21"/>
                <w:highlight w:val="none"/>
              </w:rPr>
              <w:t>2017</w:t>
            </w:r>
            <w:r>
              <w:rPr>
                <w:rFonts w:hint="eastAsia" w:ascii="仿宋" w:hAnsi="仿宋" w:eastAsia="仿宋" w:cs="仿宋"/>
                <w:color w:val="auto"/>
                <w:szCs w:val="21"/>
                <w:highlight w:val="none"/>
              </w:rPr>
              <w:t>〕</w:t>
            </w:r>
            <w:r>
              <w:rPr>
                <w:rFonts w:hint="eastAsia" w:ascii="宋体" w:hAnsi="宋体" w:cs="宋体"/>
                <w:color w:val="auto"/>
                <w:szCs w:val="21"/>
                <w:highlight w:val="none"/>
              </w:rPr>
              <w:t>1号文的相应规定，招标文件中应当明确投标人和项目经理承担过单个类似及以上工程的分值。</w:t>
            </w:r>
          </w:p>
        </w:tc>
      </w:tr>
    </w:tbl>
    <w:p>
      <w:pPr>
        <w:widowControl/>
        <w:jc w:val="left"/>
        <w:rPr>
          <w:color w:val="auto"/>
          <w:highlight w:val="none"/>
        </w:rPr>
      </w:pPr>
    </w:p>
    <w:p>
      <w:pPr>
        <w:pStyle w:val="5"/>
        <w:spacing w:line="360" w:lineRule="auto"/>
        <w:rPr>
          <w:rFonts w:ascii="宋体" w:hAnsi="宋体" w:cs="宋体"/>
          <w:color w:val="auto"/>
          <w:highlight w:val="none"/>
        </w:rPr>
      </w:pPr>
      <w:bookmarkStart w:id="550" w:name="_Toc9136"/>
      <w:bookmarkStart w:id="551" w:name="_Toc31259"/>
      <w:bookmarkStart w:id="552" w:name="_Toc508282858"/>
      <w:bookmarkStart w:id="553" w:name="_Toc598"/>
      <w:bookmarkStart w:id="554" w:name="_Toc365"/>
      <w:bookmarkStart w:id="555" w:name="_Toc30726"/>
      <w:bookmarkStart w:id="556" w:name="_Toc12291"/>
      <w:bookmarkStart w:id="557" w:name="_Toc246996243"/>
      <w:bookmarkStart w:id="558" w:name="_Toc179632618"/>
      <w:bookmarkStart w:id="559" w:name="_Toc152045600"/>
      <w:bookmarkStart w:id="560" w:name="_Toc475027990"/>
      <w:bookmarkStart w:id="561" w:name="_Toc144974567"/>
      <w:bookmarkStart w:id="562" w:name="_Toc247085758"/>
      <w:bookmarkStart w:id="563" w:name="_Toc508286123"/>
      <w:bookmarkStart w:id="564" w:name="_Toc152042377"/>
      <w:bookmarkStart w:id="565" w:name="_Toc354417665"/>
      <w:bookmarkStart w:id="566" w:name="_Toc246996986"/>
      <w:r>
        <w:rPr>
          <w:rFonts w:hint="eastAsia" w:ascii="宋体" w:hAnsi="宋体" w:cs="宋体"/>
          <w:color w:val="auto"/>
          <w:highlight w:val="none"/>
        </w:rPr>
        <w:t>1. 评审标准</w:t>
      </w:r>
      <w:bookmarkEnd w:id="550"/>
      <w:bookmarkEnd w:id="551"/>
      <w:bookmarkEnd w:id="552"/>
      <w:bookmarkEnd w:id="553"/>
      <w:bookmarkEnd w:id="554"/>
      <w:bookmarkEnd w:id="555"/>
      <w:bookmarkEnd w:id="556"/>
    </w:p>
    <w:p>
      <w:pPr>
        <w:pStyle w:val="6"/>
        <w:rPr>
          <w:rFonts w:ascii="宋体" w:hAnsi="宋体" w:cs="宋体"/>
          <w:color w:val="auto"/>
          <w:highlight w:val="none"/>
        </w:rPr>
      </w:pPr>
      <w:bookmarkStart w:id="567" w:name="_Toc24805"/>
      <w:bookmarkStart w:id="568" w:name="_Toc19428"/>
      <w:bookmarkStart w:id="569" w:name="_Toc508282859"/>
      <w:bookmarkStart w:id="570" w:name="_Toc23122"/>
      <w:bookmarkStart w:id="571" w:name="_Toc22655"/>
      <w:bookmarkStart w:id="572" w:name="_Toc12758"/>
      <w:bookmarkStart w:id="573" w:name="_Toc8003"/>
      <w:r>
        <w:rPr>
          <w:rFonts w:hint="eastAsia" w:ascii="宋体" w:hAnsi="宋体" w:cs="宋体"/>
          <w:color w:val="auto"/>
          <w:highlight w:val="none"/>
        </w:rPr>
        <w:t>1.1初步评审标准</w:t>
      </w:r>
      <w:bookmarkEnd w:id="567"/>
      <w:bookmarkEnd w:id="568"/>
      <w:bookmarkEnd w:id="569"/>
      <w:bookmarkEnd w:id="570"/>
      <w:bookmarkEnd w:id="571"/>
      <w:bookmarkEnd w:id="572"/>
      <w:bookmarkEnd w:id="573"/>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1.1.1 形式性评审标准：见评标办法前附表。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1.1.2 资格评审标准：见评标办法前附表。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1.1.3 响应性评审标准：见评标办法前附表。</w:t>
      </w:r>
    </w:p>
    <w:p>
      <w:pPr>
        <w:pStyle w:val="6"/>
        <w:rPr>
          <w:rFonts w:ascii="宋体" w:hAnsi="宋体" w:cs="宋体"/>
          <w:color w:val="auto"/>
          <w:highlight w:val="none"/>
        </w:rPr>
      </w:pPr>
      <w:bookmarkStart w:id="574" w:name="_Toc508282860"/>
      <w:bookmarkStart w:id="575" w:name="_Toc11305"/>
      <w:bookmarkStart w:id="576" w:name="_Toc19930"/>
      <w:bookmarkStart w:id="577" w:name="_Toc19060"/>
      <w:bookmarkStart w:id="578" w:name="_Toc13643"/>
      <w:bookmarkStart w:id="579" w:name="_Toc15574"/>
      <w:bookmarkStart w:id="580" w:name="_Toc790"/>
      <w:r>
        <w:rPr>
          <w:rFonts w:hint="eastAsia" w:ascii="宋体" w:hAnsi="宋体" w:cs="宋体"/>
          <w:color w:val="auto"/>
          <w:highlight w:val="none"/>
        </w:rPr>
        <w:t>1.2详细评审</w:t>
      </w:r>
      <w:bookmarkEnd w:id="574"/>
      <w:r>
        <w:rPr>
          <w:rFonts w:hint="eastAsia" w:ascii="宋体" w:hAnsi="宋体" w:cs="宋体"/>
          <w:color w:val="auto"/>
          <w:highlight w:val="none"/>
        </w:rPr>
        <w:t>标准</w:t>
      </w:r>
      <w:bookmarkEnd w:id="575"/>
      <w:bookmarkEnd w:id="576"/>
      <w:bookmarkEnd w:id="577"/>
      <w:bookmarkEnd w:id="578"/>
      <w:bookmarkEnd w:id="579"/>
      <w:bookmarkEnd w:id="580"/>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1.2.1 商务标主要由项目管理机构、投标人类似工程业绩、工程总承包项目经理类似工程业绩等组成，具体评审标准见评标办法。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1.2.2 经济标主要由投标报价组成，具体评审标准见评标办法。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1.2.3技术标主要由设计文件、项目管理组织方案组成，具体评审标准见评标办法。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1.2.4 各评审因素的具体分值由招标人参照综合评估法的评分细则制订。</w:t>
      </w:r>
    </w:p>
    <w:p>
      <w:pPr>
        <w:pStyle w:val="5"/>
        <w:spacing w:line="360" w:lineRule="auto"/>
        <w:rPr>
          <w:rFonts w:ascii="宋体" w:hAnsi="宋体" w:cs="宋体"/>
          <w:color w:val="auto"/>
          <w:highlight w:val="none"/>
        </w:rPr>
      </w:pPr>
      <w:bookmarkStart w:id="581" w:name="_Toc15479"/>
      <w:bookmarkStart w:id="582" w:name="_Toc4172"/>
      <w:bookmarkStart w:id="583" w:name="_Toc12678"/>
      <w:bookmarkStart w:id="584" w:name="_Toc18981"/>
      <w:bookmarkStart w:id="585" w:name="_Toc6084"/>
      <w:bookmarkStart w:id="586" w:name="_Toc18381"/>
      <w:bookmarkStart w:id="587" w:name="_Toc508282861"/>
      <w:r>
        <w:rPr>
          <w:rFonts w:hint="eastAsia" w:ascii="宋体" w:hAnsi="宋体" w:cs="宋体"/>
          <w:color w:val="auto"/>
          <w:highlight w:val="none"/>
        </w:rPr>
        <w:t>2. 评标程序</w:t>
      </w:r>
      <w:bookmarkEnd w:id="581"/>
      <w:bookmarkEnd w:id="582"/>
      <w:bookmarkEnd w:id="583"/>
      <w:bookmarkEnd w:id="584"/>
      <w:bookmarkEnd w:id="585"/>
      <w:bookmarkEnd w:id="586"/>
      <w:bookmarkEnd w:id="587"/>
    </w:p>
    <w:p>
      <w:pPr>
        <w:pStyle w:val="6"/>
        <w:rPr>
          <w:rFonts w:ascii="宋体" w:hAnsi="宋体" w:cs="宋体"/>
          <w:color w:val="auto"/>
          <w:highlight w:val="none"/>
        </w:rPr>
      </w:pPr>
      <w:bookmarkStart w:id="588" w:name="_Toc24732"/>
      <w:bookmarkStart w:id="589" w:name="_Toc23379"/>
      <w:bookmarkStart w:id="590" w:name="_Toc7436"/>
      <w:bookmarkStart w:id="591" w:name="_Toc23833"/>
      <w:bookmarkStart w:id="592" w:name="_Toc6356"/>
      <w:bookmarkStart w:id="593" w:name="_Toc14007"/>
      <w:bookmarkStart w:id="594" w:name="_Toc530564459"/>
      <w:bookmarkStart w:id="595" w:name="_Toc508282864"/>
      <w:r>
        <w:rPr>
          <w:rFonts w:hint="eastAsia" w:ascii="宋体" w:hAnsi="宋体" w:cs="宋体"/>
          <w:color w:val="auto"/>
          <w:highlight w:val="none"/>
        </w:rPr>
        <w:t>2.1第一阶段评审</w:t>
      </w:r>
      <w:bookmarkEnd w:id="588"/>
      <w:bookmarkEnd w:id="589"/>
      <w:bookmarkEnd w:id="590"/>
      <w:bookmarkEnd w:id="591"/>
      <w:bookmarkEnd w:id="592"/>
      <w:bookmarkEnd w:id="593"/>
      <w:bookmarkEnd w:id="594"/>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2.1.1评标前，招标人应当组织进行下列评标准备工作，并向评标委员会提供相关信息；采用电子招标投标的，应当使用电子交易系统自动开展评标准备工作：包括根据招标文件，编制评标使用的相应表格等；</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评标准备工作结束后,评标委员会开始评标；</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2.1.2 评标委员会成员到达评标现场时应在签到表上签到以证明其出席。</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2.1.3 评标委员会成员首先推选一名评标委员会负责人，负责评标活动的组织领导工作。</w:t>
      </w:r>
    </w:p>
    <w:p>
      <w:pPr>
        <w:autoSpaceDE w:val="0"/>
        <w:autoSpaceDN w:val="0"/>
        <w:spacing w:line="360" w:lineRule="auto"/>
        <w:ind w:firstLine="420" w:firstLineChars="200"/>
        <w:jc w:val="left"/>
        <w:rPr>
          <w:rFonts w:ascii="宋体" w:hAnsi="宋体" w:cs="宋体"/>
          <w:color w:val="auto"/>
          <w:kern w:val="0"/>
          <w:highlight w:val="none"/>
        </w:rPr>
      </w:pPr>
      <w:r>
        <w:rPr>
          <w:rFonts w:hint="eastAsia" w:ascii="宋体" w:hAnsi="宋体" w:cs="宋体"/>
          <w:color w:val="auto"/>
          <w:highlight w:val="none"/>
        </w:rPr>
        <w:t>2.1.4 招标人或招标代理机构应向评标委员会提供评标所需的信息和数据。评标委员会负责人应组织评标委员会成员认真研究招标文件，未在招标文件中规定的标准和方法不得作为评标的依据。</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2.1.5 评标委员会应当根据招标文件规定，全面、独立评审所有投标文件。</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 xml:space="preserve">2.1.6 </w:t>
      </w:r>
      <w:r>
        <w:rPr>
          <w:rFonts w:hint="eastAsia" w:ascii="宋体" w:hAnsi="宋体" w:cs="宋体"/>
          <w:color w:val="auto"/>
          <w:szCs w:val="21"/>
          <w:highlight w:val="none"/>
        </w:rPr>
        <w:t>先对设计文件及资格审查资料（实行资格后审的）进行评审。在设计文件评审及资格审查（实行资格后审的）合格（得分</w:t>
      </w:r>
      <w:r>
        <w:rPr>
          <w:rFonts w:ascii="宋体" w:hAnsi="宋体" w:cs="宋体"/>
          <w:color w:val="auto"/>
          <w:szCs w:val="21"/>
          <w:highlight w:val="none"/>
        </w:rPr>
        <w:t>60%以上，具体合格分在招标文件中明确）的投标人中，只有设计文件得分汇总排在前若干</w:t>
      </w:r>
      <w:r>
        <w:rPr>
          <w:rFonts w:hint="eastAsia" w:ascii="宋体" w:hAnsi="宋体" w:cs="宋体"/>
          <w:color w:val="auto"/>
          <w:szCs w:val="21"/>
          <w:highlight w:val="none"/>
          <w:lang w:val="en-US" w:eastAsia="zh-CN"/>
        </w:rPr>
        <w:t>家</w:t>
      </w:r>
      <w:r>
        <w:rPr>
          <w:rFonts w:ascii="宋体" w:hAnsi="宋体" w:cs="宋体"/>
          <w:color w:val="auto"/>
          <w:szCs w:val="21"/>
          <w:highlight w:val="none"/>
        </w:rPr>
        <w:t>的（不少于5</w:t>
      </w:r>
      <w:r>
        <w:rPr>
          <w:rFonts w:hint="eastAsia" w:ascii="宋体" w:hAnsi="宋体" w:cs="宋体"/>
          <w:color w:val="auto"/>
          <w:szCs w:val="21"/>
          <w:highlight w:val="none"/>
          <w:lang w:val="en-US" w:eastAsia="zh-CN"/>
        </w:rPr>
        <w:t>家</w:t>
      </w:r>
      <w:r>
        <w:rPr>
          <w:rFonts w:ascii="宋体" w:hAnsi="宋体" w:cs="宋体"/>
          <w:color w:val="auto"/>
          <w:szCs w:val="21"/>
          <w:highlight w:val="none"/>
        </w:rPr>
        <w:t>，具体数量在招标文件中明确</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末位出现得分相同</w:t>
      </w:r>
      <w:r>
        <w:rPr>
          <w:rFonts w:hint="eastAsia" w:ascii="宋体" w:hAnsi="宋体" w:eastAsia="宋体" w:cs="Times New Roman"/>
          <w:b w:val="0"/>
          <w:bCs/>
          <w:color w:val="auto"/>
          <w:kern w:val="2"/>
          <w:sz w:val="21"/>
          <w:szCs w:val="24"/>
          <w:highlight w:val="none"/>
          <w:lang w:val="en-US" w:eastAsia="zh-CN" w:bidi="ar-SA"/>
        </w:rPr>
        <w:t>的情况除外</w:t>
      </w:r>
      <w:r>
        <w:rPr>
          <w:rFonts w:hint="eastAsia" w:ascii="宋体" w:hAnsi="宋体" w:cs="宋体"/>
          <w:color w:val="auto"/>
          <w:szCs w:val="21"/>
          <w:highlight w:val="none"/>
          <w:lang w:val="en-US" w:eastAsia="zh-CN"/>
        </w:rPr>
        <w:t>，若末位出现得分相同</w:t>
      </w:r>
      <w:r>
        <w:rPr>
          <w:rFonts w:hint="eastAsia" w:ascii="宋体" w:hAnsi="宋体" w:eastAsia="宋体" w:cs="Times New Roman"/>
          <w:b w:val="0"/>
          <w:bCs/>
          <w:color w:val="auto"/>
          <w:kern w:val="2"/>
          <w:sz w:val="21"/>
          <w:szCs w:val="24"/>
          <w:highlight w:val="none"/>
          <w:lang w:val="en-US" w:eastAsia="zh-CN" w:bidi="ar-SA"/>
        </w:rPr>
        <w:t>的情况</w:t>
      </w:r>
      <w:r>
        <w:rPr>
          <w:rFonts w:hint="eastAsia" w:ascii="宋体" w:hAnsi="宋体" w:cs="Times New Roman"/>
          <w:b w:val="0"/>
          <w:bCs/>
          <w:color w:val="auto"/>
          <w:kern w:val="2"/>
          <w:sz w:val="21"/>
          <w:szCs w:val="24"/>
          <w:highlight w:val="none"/>
          <w:lang w:val="en-US" w:eastAsia="zh-CN" w:bidi="ar-SA"/>
        </w:rPr>
        <w:t>，则</w:t>
      </w:r>
      <w:r>
        <w:rPr>
          <w:rFonts w:hint="eastAsia" w:ascii="宋体" w:hAnsi="宋体" w:eastAsia="宋体" w:cs="Times New Roman"/>
          <w:b w:val="0"/>
          <w:bCs/>
          <w:color w:val="auto"/>
          <w:kern w:val="2"/>
          <w:sz w:val="21"/>
          <w:szCs w:val="24"/>
          <w:highlight w:val="none"/>
          <w:lang w:val="en-US" w:eastAsia="zh-CN" w:bidi="ar-SA"/>
        </w:rPr>
        <w:t>同分跟进增加</w:t>
      </w:r>
      <w:r>
        <w:rPr>
          <w:rFonts w:hint="eastAsia" w:ascii="宋体" w:hAnsi="宋体" w:cs="Times New Roman"/>
          <w:b w:val="0"/>
          <w:bCs/>
          <w:color w:val="auto"/>
          <w:kern w:val="2"/>
          <w:sz w:val="21"/>
          <w:szCs w:val="24"/>
          <w:highlight w:val="none"/>
          <w:lang w:val="en-US" w:eastAsia="zh-CN" w:bidi="ar-SA"/>
        </w:rPr>
        <w:t>进入</w:t>
      </w:r>
      <w:r>
        <w:rPr>
          <w:rFonts w:ascii="宋体" w:hAnsi="宋体" w:cs="宋体"/>
          <w:color w:val="auto"/>
          <w:szCs w:val="21"/>
          <w:highlight w:val="none"/>
        </w:rPr>
        <w:t>第二阶段</w:t>
      </w:r>
      <w:r>
        <w:rPr>
          <w:rFonts w:hint="eastAsia" w:ascii="宋体" w:hAnsi="宋体" w:cs="宋体"/>
          <w:color w:val="auto"/>
          <w:szCs w:val="21"/>
          <w:highlight w:val="none"/>
        </w:rPr>
        <w:t>评标</w:t>
      </w:r>
      <w:r>
        <w:rPr>
          <w:rFonts w:hint="eastAsia" w:ascii="宋体" w:hAnsi="宋体" w:cs="宋体"/>
          <w:color w:val="auto"/>
          <w:szCs w:val="21"/>
          <w:highlight w:val="none"/>
          <w:lang w:val="en-US" w:eastAsia="zh-CN"/>
        </w:rPr>
        <w:t>的投标人数量</w:t>
      </w:r>
      <w:r>
        <w:rPr>
          <w:rFonts w:ascii="宋体" w:hAnsi="宋体" w:cs="宋体"/>
          <w:color w:val="auto"/>
          <w:szCs w:val="21"/>
          <w:highlight w:val="none"/>
        </w:rPr>
        <w:t>），才能进入第二阶段</w:t>
      </w:r>
      <w:r>
        <w:rPr>
          <w:rFonts w:hint="eastAsia" w:ascii="宋体" w:hAnsi="宋体" w:cs="宋体"/>
          <w:color w:val="auto"/>
          <w:szCs w:val="21"/>
          <w:highlight w:val="none"/>
        </w:rPr>
        <w:t>评标</w:t>
      </w:r>
      <w:r>
        <w:rPr>
          <w:rFonts w:hint="eastAsia" w:ascii="宋体" w:hAnsi="宋体" w:cs="宋体"/>
          <w:color w:val="auto"/>
          <w:szCs w:val="21"/>
          <w:highlight w:val="none"/>
          <w:lang w:eastAsia="zh-CN"/>
        </w:rPr>
        <w:t>，</w:t>
      </w:r>
      <w:r>
        <w:rPr>
          <w:rFonts w:hint="eastAsia" w:ascii="宋体" w:hAnsi="宋体" w:cs="宋体"/>
          <w:color w:val="auto"/>
          <w:szCs w:val="21"/>
          <w:highlight w:val="none"/>
        </w:rPr>
        <w:t>设计文件评审合格的投标人少于</w:t>
      </w:r>
      <w:r>
        <w:rPr>
          <w:rFonts w:ascii="宋体" w:hAnsi="宋体" w:cs="宋体"/>
          <w:color w:val="auto"/>
          <w:szCs w:val="21"/>
          <w:highlight w:val="none"/>
        </w:rPr>
        <w:t>5</w:t>
      </w:r>
      <w:r>
        <w:rPr>
          <w:rFonts w:hint="eastAsia" w:ascii="宋体" w:hAnsi="宋体" w:cs="宋体"/>
          <w:color w:val="auto"/>
          <w:szCs w:val="21"/>
          <w:highlight w:val="none"/>
          <w:lang w:val="en-US" w:eastAsia="zh-CN"/>
        </w:rPr>
        <w:t>家</w:t>
      </w:r>
      <w:r>
        <w:rPr>
          <w:rFonts w:ascii="宋体" w:hAnsi="宋体" w:cs="宋体"/>
          <w:color w:val="auto"/>
          <w:szCs w:val="21"/>
          <w:highlight w:val="none"/>
        </w:rPr>
        <w:t>的，全部进入第二阶段</w:t>
      </w:r>
      <w:r>
        <w:rPr>
          <w:rFonts w:hint="eastAsia" w:ascii="宋体" w:hAnsi="宋体" w:cs="宋体"/>
          <w:color w:val="auto"/>
          <w:szCs w:val="21"/>
          <w:highlight w:val="none"/>
        </w:rPr>
        <w:t>评标。</w:t>
      </w:r>
      <w:r>
        <w:rPr>
          <w:rFonts w:hint="eastAsia" w:ascii="宋体" w:hAnsi="宋体" w:cs="宋体"/>
          <w:color w:val="auto"/>
          <w:highlight w:val="none"/>
        </w:rPr>
        <w:t>设计文件评审合格分及择优数量见本章前附表。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2.1.7设计文件得分是否带入第二阶段按照本章前附表规定执行。</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2.1.8评分分值计算保留小数点后两位，第三位“四舍五入”。</w:t>
      </w:r>
    </w:p>
    <w:p>
      <w:pPr>
        <w:pStyle w:val="6"/>
        <w:rPr>
          <w:rFonts w:ascii="宋体" w:hAnsi="宋体" w:cs="宋体"/>
          <w:color w:val="auto"/>
          <w:highlight w:val="none"/>
        </w:rPr>
      </w:pPr>
      <w:bookmarkStart w:id="596" w:name="_Toc530564460"/>
      <w:bookmarkStart w:id="597" w:name="_Toc32340"/>
      <w:bookmarkStart w:id="598" w:name="_Toc354"/>
      <w:bookmarkStart w:id="599" w:name="_Toc3885"/>
      <w:bookmarkStart w:id="600" w:name="_Toc1077"/>
      <w:bookmarkStart w:id="601" w:name="_Toc32493"/>
      <w:bookmarkStart w:id="602" w:name="_Toc5100"/>
      <w:r>
        <w:rPr>
          <w:rFonts w:hint="eastAsia" w:ascii="宋体" w:hAnsi="宋体" w:cs="宋体"/>
          <w:color w:val="auto"/>
          <w:highlight w:val="none"/>
        </w:rPr>
        <w:t>2.2第二阶段评审</w:t>
      </w:r>
      <w:bookmarkEnd w:id="596"/>
      <w:bookmarkEnd w:id="597"/>
      <w:bookmarkEnd w:id="598"/>
      <w:bookmarkEnd w:id="599"/>
      <w:bookmarkEnd w:id="600"/>
      <w:bookmarkEnd w:id="601"/>
      <w:bookmarkEnd w:id="602"/>
    </w:p>
    <w:p>
      <w:pPr>
        <w:spacing w:line="360" w:lineRule="auto"/>
        <w:ind w:firstLine="420" w:firstLineChars="200"/>
        <w:rPr>
          <w:color w:val="auto"/>
          <w:highlight w:val="none"/>
        </w:rPr>
      </w:pPr>
      <w:r>
        <w:rPr>
          <w:rFonts w:hint="eastAsia"/>
          <w:color w:val="auto"/>
          <w:highlight w:val="none"/>
        </w:rPr>
        <w:t>评标前，招标人应当组织进行下列评标准备工作，并向评标委员会提供相关信息；采用电子招标投标的，应当使用电子交易系统自动开展评标准备工作：</w:t>
      </w:r>
      <w:r>
        <w:rPr>
          <w:rFonts w:hint="eastAsia" w:ascii="宋体" w:hAnsi="宋体" w:cs="宋体"/>
          <w:color w:val="auto"/>
          <w:highlight w:val="none"/>
        </w:rPr>
        <w:t>包括根据招标文件，编制评标使用的相应表格等；</w:t>
      </w:r>
    </w:p>
    <w:p>
      <w:pPr>
        <w:autoSpaceDE w:val="0"/>
        <w:autoSpaceDN w:val="0"/>
        <w:spacing w:line="360" w:lineRule="auto"/>
        <w:ind w:firstLine="420" w:firstLineChars="200"/>
        <w:jc w:val="left"/>
        <w:rPr>
          <w:color w:val="auto"/>
          <w:highlight w:val="none"/>
        </w:rPr>
      </w:pPr>
      <w:r>
        <w:rPr>
          <w:rFonts w:hint="eastAsia"/>
          <w:color w:val="auto"/>
          <w:highlight w:val="none"/>
        </w:rPr>
        <w:t>评标委员会应当根据招标文件规定，全面、独立评审所有投标文件。</w:t>
      </w:r>
    </w:p>
    <w:p>
      <w:pPr>
        <w:spacing w:line="360" w:lineRule="auto"/>
        <w:ind w:firstLine="420" w:firstLineChars="200"/>
        <w:rPr>
          <w:color w:val="auto"/>
          <w:highlight w:val="none"/>
        </w:rPr>
      </w:pPr>
      <w:r>
        <w:rPr>
          <w:rFonts w:hint="eastAsia"/>
          <w:color w:val="auto"/>
          <w:highlight w:val="none"/>
        </w:rPr>
        <w:t>评标准备工作结束后,评标委员会开始评标；评标委员会仅针对进入第二阶段的投标文件进行评审。</w:t>
      </w:r>
    </w:p>
    <w:p>
      <w:pPr>
        <w:spacing w:after="124" w:afterLines="40"/>
        <w:rPr>
          <w:rFonts w:ascii="宋体" w:hAnsi="宋体" w:cs="宋体"/>
          <w:b/>
          <w:bCs/>
          <w:color w:val="auto"/>
          <w:highlight w:val="none"/>
        </w:rPr>
      </w:pPr>
      <w:bookmarkStart w:id="603" w:name="_Toc530564461"/>
      <w:r>
        <w:rPr>
          <w:rFonts w:hint="eastAsia" w:ascii="宋体" w:hAnsi="宋体" w:cs="宋体"/>
          <w:b/>
          <w:bCs/>
          <w:color w:val="auto"/>
          <w:highlight w:val="none"/>
        </w:rPr>
        <w:t>2.2.1初步评审</w:t>
      </w:r>
      <w:bookmarkEnd w:id="595"/>
      <w:bookmarkEnd w:id="603"/>
    </w:p>
    <w:p>
      <w:pPr>
        <w:adjustRightInd w:val="0"/>
        <w:snapToGrid w:val="0"/>
        <w:spacing w:after="62" w:afterLines="20" w:line="360" w:lineRule="auto"/>
        <w:ind w:firstLine="420" w:firstLineChars="200"/>
        <w:rPr>
          <w:rFonts w:ascii="宋体" w:hAnsi="宋体" w:cs="宋体"/>
          <w:color w:val="auto"/>
          <w:highlight w:val="none"/>
        </w:rPr>
      </w:pPr>
      <w:r>
        <w:rPr>
          <w:rFonts w:hint="eastAsia" w:ascii="宋体" w:hAnsi="宋体" w:cs="宋体"/>
          <w:color w:val="auto"/>
          <w:highlight w:val="none"/>
        </w:rPr>
        <w:t>2.2.1.1形式性评审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2.2.1.2响应性评审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2.2.1.3投标报价有算术错误的，评标委员会按以下原则对投标报价进行修正，修正的价格经投标人书面确认后具有约束力。投标人不接受修正价格的，评标委员会应当否决其投标。</w:t>
      </w:r>
      <w:r>
        <w:rPr>
          <w:rFonts w:hint="eastAsia" w:ascii="宋体" w:hAnsi="宋体" w:cs="仿宋_GB2312"/>
          <w:color w:val="auto"/>
          <w:kern w:val="0"/>
          <w:szCs w:val="21"/>
          <w:highlight w:val="none"/>
        </w:rPr>
        <w:t>修正后的投标报价高于招标人设置的</w:t>
      </w:r>
      <w:r>
        <w:rPr>
          <w:rFonts w:hint="eastAsia" w:ascii="宋体" w:hAnsi="宋体" w:cs="宋体"/>
          <w:color w:val="auto"/>
          <w:szCs w:val="32"/>
          <w:highlight w:val="none"/>
          <w:lang w:val="en-US" w:eastAsia="zh-CN"/>
        </w:rPr>
        <w:t>最高投标限价</w:t>
      </w:r>
      <w:r>
        <w:rPr>
          <w:rFonts w:hint="eastAsia" w:ascii="宋体" w:hAnsi="宋体" w:cs="仿宋_GB2312"/>
          <w:color w:val="auto"/>
          <w:kern w:val="0"/>
          <w:szCs w:val="21"/>
          <w:highlight w:val="none"/>
        </w:rPr>
        <w:t>，</w:t>
      </w:r>
      <w:r>
        <w:rPr>
          <w:rFonts w:hint="eastAsia"/>
          <w:color w:val="auto"/>
          <w:highlight w:val="none"/>
        </w:rPr>
        <w:t>评标委员会应当否决其投标。</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（1）投标文件中的大写金额与小写金额不一致的，以大写金额为准；</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（2）总价金额与依据单价计算出的结果不一致的，以单价金额为准修正总价，但单价金额小数点有明显错误、四舍五入原因的除外；</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2.2.1.4澄清、说明或补正</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在初步评审过程中，评标委员会应当就投标文件中不明确的内容要求投标人进行澄清、说明或补正，澄清、说明或补正按照本章第2.</w:t>
      </w:r>
      <w:r>
        <w:rPr>
          <w:rFonts w:hint="eastAsia" w:ascii="宋体" w:hAnsi="宋体" w:cs="宋体"/>
          <w:color w:val="auto"/>
          <w:highlight w:val="none"/>
          <w:lang w:val="en-US" w:eastAsia="zh-CN"/>
        </w:rPr>
        <w:t>3</w:t>
      </w:r>
      <w:r>
        <w:rPr>
          <w:rFonts w:hint="eastAsia" w:ascii="宋体" w:hAnsi="宋体" w:cs="宋体"/>
          <w:color w:val="auto"/>
          <w:highlight w:val="none"/>
        </w:rPr>
        <w:t>款的规定进行。</w:t>
      </w:r>
    </w:p>
    <w:p>
      <w:pPr>
        <w:spacing w:line="360" w:lineRule="auto"/>
        <w:rPr>
          <w:rFonts w:ascii="宋体" w:hAnsi="宋体" w:cs="宋体"/>
          <w:color w:val="auto"/>
          <w:highlight w:val="none"/>
        </w:rPr>
      </w:pPr>
      <w:r>
        <w:rPr>
          <w:rFonts w:hint="eastAsia" w:ascii="宋体" w:hAnsi="宋体" w:cs="宋体"/>
          <w:color w:val="auto"/>
          <w:highlight w:val="none"/>
        </w:rPr>
        <w:t xml:space="preserve">    2.2.1.5投标文件有下列情况之一的，属于重大偏差，视为未能对招标文件作出实质性响应，应当作为无效投标予以否决：</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（1）投标文件中的投标函未加盖投标人的公章；</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（2）投标文件中的投标函未加盖企业法定代表人（或企业法定代表人委托代理人）印章（或签字）的；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（3）投标函加盖企业法定代表人委托代理人印章（或签字），企业法定代表人委托代理人没有合法、有效的委托书（原件）的；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（4）投标人资质条件不符合国家有关规定，或不满足招标文件规定的资格条件的；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（5）投标人名称或组织结构与资格预审时不一致的；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（6）除在投标截止时间前经招标人书面同意外，</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（7）组成联合体投标未提供联合体各方共同投标协议的；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（8）在同一招标项目中，联合体成员以自己名义单独投标或者参加其他联合体投标的；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（9）联合体成员与资格预审确定的结果不一致的；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（10）投标报价低于工程成本或者高于招标文件设定的最高投标限价的；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（11）同一投标人提交两个及以上不同的投标文件或者投标报价，但招标文件要求提交备选投标的除外；</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（12）投标文件的报价清单与招标文件明确列出的不可竞争费用项目或费率或计算基础不一致的；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（13）未按招标文件要求提供投标保证金的；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（14）投标文件载明的招标项目完成期限超过招标文件规定的期限的；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（15）明显不符合技术规范、技术标准的要求的；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（16）投标文件载明的货物包装方式、检验标准和方法等不符合招标文件的要求的；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（17）投标文件提出了不能满足招标文件要求或招标人不能接受的工程验收、计量、价款结算和支付办法的；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（18）未按招标文件要求提供电子投标文件，或者投标文件未能解密且按照招标文件明确的投标文件解密失败的补救方案补救不成功的；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（19）不同投标人的投标文件以及投标文件制作过程出现了评标委员会认为不应当雷同的情况的；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（20）以他人的名义投标、串通投标、以行贿手段谋取中标或者以其他弄虚作假方式投标的；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（21）设计方案（或项目管理组织方案）不符合招标文件有关暗标要求的；</w:t>
      </w:r>
    </w:p>
    <w:p>
      <w:pPr>
        <w:spacing w:line="360" w:lineRule="auto"/>
        <w:ind w:firstLine="420" w:firstLineChars="200"/>
        <w:rPr>
          <w:rFonts w:hint="eastAsia" w:ascii="宋体" w:hAnsi="宋体" w:cs="宋体"/>
          <w:color w:val="auto"/>
          <w:highlight w:val="none"/>
          <w:lang w:eastAsia="zh-CN"/>
        </w:rPr>
      </w:pPr>
      <w:r>
        <w:rPr>
          <w:rFonts w:hint="eastAsia" w:ascii="宋体" w:hAnsi="宋体" w:cs="宋体"/>
          <w:color w:val="auto"/>
          <w:highlight w:val="none"/>
        </w:rPr>
        <w:t>（22）投标文件关键内容模糊、无法辩认的</w:t>
      </w:r>
      <w:r>
        <w:rPr>
          <w:rFonts w:hint="eastAsia" w:ascii="宋体" w:hAnsi="宋体" w:cs="宋体"/>
          <w:color w:val="auto"/>
          <w:highlight w:val="none"/>
          <w:lang w:eastAsia="zh-CN"/>
        </w:rPr>
        <w:t>；</w:t>
      </w:r>
    </w:p>
    <w:p>
      <w:pPr>
        <w:pStyle w:val="190"/>
        <w:spacing w:line="360" w:lineRule="auto"/>
        <w:ind w:firstLine="420" w:firstLineChars="200"/>
        <w:rPr>
          <w:bCs/>
          <w:color w:val="auto"/>
          <w:highlight w:val="none"/>
        </w:rPr>
      </w:pPr>
      <w:r>
        <w:rPr>
          <w:rFonts w:hint="eastAsia"/>
          <w:bCs/>
          <w:color w:val="auto"/>
          <w:highlight w:val="none"/>
        </w:rPr>
        <w:t>（2</w:t>
      </w:r>
      <w:r>
        <w:rPr>
          <w:rFonts w:hint="eastAsia"/>
          <w:bCs/>
          <w:color w:val="auto"/>
          <w:highlight w:val="none"/>
          <w:lang w:val="en-US" w:eastAsia="zh-CN"/>
        </w:rPr>
        <w:t>3</w:t>
      </w:r>
      <w:r>
        <w:rPr>
          <w:rFonts w:hint="eastAsia"/>
          <w:bCs/>
          <w:color w:val="auto"/>
          <w:highlight w:val="none"/>
        </w:rPr>
        <w:t>）未按招标文件要求提供诚信投标承诺书的；</w:t>
      </w:r>
    </w:p>
    <w:p>
      <w:pPr>
        <w:pStyle w:val="190"/>
        <w:spacing w:line="360" w:lineRule="auto"/>
        <w:ind w:firstLine="420" w:firstLineChars="200"/>
        <w:rPr>
          <w:rFonts w:hint="eastAsia" w:eastAsia="宋体"/>
          <w:color w:val="auto"/>
          <w:highlight w:val="none"/>
          <w:lang w:eastAsia="zh-CN"/>
        </w:rPr>
      </w:pPr>
      <w:r>
        <w:rPr>
          <w:rFonts w:hint="eastAsia"/>
          <w:color w:val="auto"/>
          <w:highlight w:val="none"/>
        </w:rPr>
        <w:t>（2</w:t>
      </w:r>
      <w:r>
        <w:rPr>
          <w:rFonts w:hint="eastAsia"/>
          <w:color w:val="auto"/>
          <w:highlight w:val="none"/>
          <w:lang w:val="en-US" w:eastAsia="zh-CN"/>
        </w:rPr>
        <w:t>4</w:t>
      </w:r>
      <w:r>
        <w:rPr>
          <w:rFonts w:hint="eastAsia"/>
          <w:color w:val="auto"/>
          <w:highlight w:val="none"/>
        </w:rPr>
        <w:t>）不按评标委员会要求澄清、说明或补正的</w:t>
      </w:r>
      <w:r>
        <w:rPr>
          <w:rFonts w:hint="eastAsia"/>
          <w:color w:val="auto"/>
          <w:highlight w:val="none"/>
          <w:lang w:eastAsia="zh-CN"/>
        </w:rPr>
        <w:t>。</w:t>
      </w:r>
    </w:p>
    <w:p>
      <w:pPr>
        <w:rPr>
          <w:rFonts w:ascii="宋体" w:hAnsi="宋体" w:cs="宋体"/>
          <w:b/>
          <w:bCs/>
          <w:color w:val="auto"/>
          <w:highlight w:val="none"/>
        </w:rPr>
      </w:pPr>
      <w:bookmarkStart w:id="604" w:name="_Toc530564462"/>
      <w:bookmarkStart w:id="605" w:name="_Toc508282865"/>
      <w:r>
        <w:rPr>
          <w:rFonts w:hint="eastAsia" w:ascii="宋体" w:hAnsi="宋体" w:cs="宋体"/>
          <w:b/>
          <w:bCs/>
          <w:color w:val="auto"/>
          <w:highlight w:val="none"/>
        </w:rPr>
        <w:t>2.2.2详细评审</w:t>
      </w:r>
      <w:bookmarkEnd w:id="604"/>
      <w:bookmarkEnd w:id="605"/>
    </w:p>
    <w:p>
      <w:pPr>
        <w:spacing w:line="360" w:lineRule="auto"/>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2.2.2.1</w:t>
      </w:r>
      <w:r>
        <w:rPr>
          <w:rFonts w:hint="eastAsia" w:ascii="宋体" w:hAnsi="宋体" w:eastAsia="宋体" w:cs="宋体"/>
          <w:color w:val="auto"/>
          <w:szCs w:val="21"/>
          <w:highlight w:val="none"/>
        </w:rPr>
        <w:t>评标委员会对进入第二阶段投标人的商务技术文件，按照本章前附表规定的评分标准进行打分，并按最终得分由高到低顺序推荐投标人须知前附表第7.1.1款规定数量的中标候选人。综合评分相等时，以投标报价低的优先；投标报价也相等的，由招标人自行确定。</w:t>
      </w:r>
    </w:p>
    <w:p>
      <w:pPr>
        <w:spacing w:line="360" w:lineRule="auto"/>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2.2.2.2评分分值计算保留小数点后两位，第三位“四舍五入”。</w:t>
      </w:r>
    </w:p>
    <w:p>
      <w:pPr>
        <w:pStyle w:val="6"/>
        <w:rPr>
          <w:rFonts w:ascii="宋体" w:hAnsi="宋体" w:cs="宋体"/>
          <w:color w:val="auto"/>
          <w:highlight w:val="none"/>
        </w:rPr>
      </w:pPr>
      <w:bookmarkStart w:id="606" w:name="_Toc3263"/>
      <w:bookmarkStart w:id="607" w:name="_Toc508282866"/>
      <w:bookmarkStart w:id="608" w:name="_Toc15797"/>
      <w:bookmarkStart w:id="609" w:name="_Toc2271"/>
      <w:bookmarkStart w:id="610" w:name="_Toc26689"/>
      <w:bookmarkStart w:id="611" w:name="_Toc11539"/>
      <w:bookmarkStart w:id="612" w:name="_Toc6172"/>
      <w:r>
        <w:rPr>
          <w:rFonts w:hint="eastAsia" w:ascii="宋体" w:hAnsi="宋体" w:cs="宋体"/>
          <w:color w:val="auto"/>
          <w:highlight w:val="none"/>
        </w:rPr>
        <w:t>2.3投标文件的澄清和补正</w:t>
      </w:r>
      <w:bookmarkEnd w:id="606"/>
      <w:bookmarkEnd w:id="607"/>
      <w:bookmarkEnd w:id="608"/>
      <w:bookmarkEnd w:id="609"/>
      <w:bookmarkEnd w:id="610"/>
      <w:bookmarkEnd w:id="611"/>
      <w:bookmarkEnd w:id="612"/>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2.3.1在评标过程中，评标委员会可以书面形式要求投标人对所提交的投标文件中不明确的内容进行书面澄清或说明。评标委员会不接受投标人主动提出的澄清、说明或补正。</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2.3.2 澄清、说明和补正不得改变投标文件的实质性内容。投标人的书面澄清、说明和补正属于投标文件的组成部分。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2.3.3 评标委员会对投标人提交的澄清、说明或补正有疑问的，可以要求投标人进一步澄清、说明或补正，直至满足评标委员会的要求。</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2.3.4 在评标过程中，评标委员会发现投标人的报价明显低于其他投标报价，使得其投标报价可能低于其个别成本的，</w:t>
      </w:r>
      <w:r>
        <w:rPr>
          <w:rFonts w:hint="eastAsia" w:ascii="宋体" w:hAnsi="宋体" w:cs="宋体"/>
          <w:color w:val="auto"/>
          <w:szCs w:val="22"/>
          <w:highlight w:val="none"/>
        </w:rPr>
        <w:t>有可能影响质量或者不能诚信履约的，应当要求其在评标现场合理的时间内提供书面说明</w:t>
      </w:r>
      <w:r>
        <w:rPr>
          <w:rFonts w:hint="eastAsia" w:ascii="宋体" w:hAnsi="宋体" w:cs="宋体"/>
          <w:color w:val="auto"/>
          <w:highlight w:val="none"/>
        </w:rPr>
        <w:t>并提供相关证明材料。投标人不能合理说明或者不能提供相关证明材料的，评标委员会应当否决其投标。</w:t>
      </w:r>
    </w:p>
    <w:p>
      <w:pPr>
        <w:pStyle w:val="6"/>
        <w:rPr>
          <w:rFonts w:ascii="宋体" w:hAnsi="宋体" w:cs="宋体"/>
          <w:color w:val="auto"/>
          <w:highlight w:val="none"/>
        </w:rPr>
      </w:pPr>
      <w:bookmarkStart w:id="613" w:name="_Toc20610"/>
      <w:bookmarkStart w:id="614" w:name="_Toc11650"/>
      <w:bookmarkStart w:id="615" w:name="_Toc17108"/>
      <w:bookmarkStart w:id="616" w:name="_Toc24646"/>
      <w:bookmarkStart w:id="617" w:name="_Toc9478"/>
      <w:bookmarkStart w:id="618" w:name="_Toc508282867"/>
      <w:bookmarkStart w:id="619" w:name="_Toc16554"/>
      <w:r>
        <w:rPr>
          <w:rFonts w:hint="eastAsia" w:ascii="宋体" w:hAnsi="宋体" w:cs="宋体"/>
          <w:color w:val="auto"/>
          <w:highlight w:val="none"/>
        </w:rPr>
        <w:t>2.4推荐中标候选人</w:t>
      </w:r>
      <w:bookmarkEnd w:id="613"/>
      <w:bookmarkEnd w:id="614"/>
      <w:bookmarkEnd w:id="615"/>
      <w:bookmarkEnd w:id="616"/>
      <w:bookmarkEnd w:id="617"/>
      <w:bookmarkEnd w:id="618"/>
      <w:bookmarkEnd w:id="619"/>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评标委员会在推荐中标候选人时，应遵照以下原则:</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宋体" w:hAnsi="宋体" w:cs="宋体"/>
          <w:color w:val="auto"/>
          <w:highlight w:val="none"/>
        </w:rPr>
      </w:pPr>
      <w:r>
        <w:rPr>
          <w:rFonts w:hint="eastAsia" w:ascii="宋体" w:hAnsi="宋体" w:cs="宋体"/>
          <w:color w:val="auto"/>
          <w:highlight w:val="none"/>
        </w:rPr>
        <w:t>2.4.1评标委员会应当按照投标人须知前附表7.1.1款规定，推荐相应数量的中标候选人。</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2.4.2</w:t>
      </w:r>
      <w:r>
        <w:rPr>
          <w:rFonts w:hint="eastAsia" w:ascii="宋体" w:hAnsi="宋体" w:eastAsia="宋体" w:cs="宋体"/>
          <w:color w:val="auto"/>
          <w:highlight w:val="none"/>
        </w:rPr>
        <w:t>如果评标委员会根据本章的规定作无效标处理后，有效投标不足三个，</w:t>
      </w:r>
      <w:r>
        <w:rPr>
          <w:rFonts w:hint="eastAsia" w:ascii="宋体" w:hAnsi="宋体" w:eastAsia="宋体" w:cs="宋体"/>
          <w:color w:val="auto"/>
          <w:kern w:val="2"/>
          <w:sz w:val="21"/>
          <w:szCs w:val="24"/>
          <w:highlight w:val="none"/>
        </w:rPr>
        <w:t>评标委员会应当对有效投标是否仍具有竞争性进行评审</w:t>
      </w:r>
      <w:r>
        <w:rPr>
          <w:rFonts w:hint="eastAsia" w:ascii="宋体" w:hAnsi="宋体" w:eastAsia="宋体" w:cs="宋体"/>
          <w:color w:val="auto"/>
          <w:highlight w:val="none"/>
          <w:lang w:eastAsia="zh-CN"/>
        </w:rPr>
        <w:t>；</w:t>
      </w:r>
      <w:r>
        <w:rPr>
          <w:rFonts w:hint="eastAsia" w:ascii="宋体" w:hAnsi="宋体" w:eastAsia="宋体" w:cs="宋体"/>
          <w:color w:val="auto"/>
          <w:kern w:val="2"/>
          <w:sz w:val="21"/>
          <w:szCs w:val="24"/>
          <w:highlight w:val="none"/>
        </w:rPr>
        <w:t>评标委员会一致认为有效投标仍具有竞争性的</w:t>
      </w: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应当继续</w:t>
      </w:r>
      <w:r>
        <w:rPr>
          <w:rFonts w:hint="eastAsia" w:ascii="宋体" w:hAnsi="宋体" w:eastAsia="宋体" w:cs="宋体"/>
          <w:color w:val="auto"/>
          <w:highlight w:val="none"/>
        </w:rPr>
        <w:t>按</w:t>
      </w:r>
      <w:r>
        <w:rPr>
          <w:rFonts w:hint="eastAsia" w:ascii="宋体" w:hAnsi="宋体" w:eastAsia="宋体" w:cs="宋体"/>
          <w:color w:val="auto"/>
          <w:highlight w:val="none"/>
          <w:lang w:val="en-US" w:eastAsia="zh-CN"/>
        </w:rPr>
        <w:t>本章</w:t>
      </w:r>
      <w:r>
        <w:rPr>
          <w:rFonts w:hint="eastAsia"/>
          <w:color w:val="auto"/>
          <w:spacing w:val="-2"/>
          <w:sz w:val="21"/>
          <w:highlight w:val="none"/>
          <w:lang w:val="en-US" w:eastAsia="zh-CN"/>
        </w:rPr>
        <w:t>2.4.1款</w:t>
      </w:r>
      <w:r>
        <w:rPr>
          <w:rFonts w:hint="eastAsia"/>
          <w:color w:val="auto"/>
          <w:spacing w:val="-2"/>
          <w:sz w:val="21"/>
          <w:highlight w:val="none"/>
          <w:lang w:eastAsia="zh-CN"/>
        </w:rPr>
        <w:t>推荐中标候选人</w:t>
      </w:r>
      <w:r>
        <w:rPr>
          <w:rFonts w:hint="eastAsia" w:ascii="宋体" w:hAnsi="宋体" w:eastAsia="宋体" w:cs="宋体"/>
          <w:color w:val="auto"/>
          <w:highlight w:val="none"/>
        </w:rPr>
        <w:t>；</w:t>
      </w:r>
      <w:r>
        <w:rPr>
          <w:rFonts w:hint="eastAsia" w:ascii="宋体" w:hAnsi="宋体" w:eastAsia="宋体" w:cs="宋体"/>
          <w:color w:val="auto"/>
          <w:kern w:val="2"/>
          <w:sz w:val="21"/>
          <w:szCs w:val="24"/>
          <w:highlight w:val="none"/>
        </w:rPr>
        <w:t>评标委员会一致认为有效投标</w:t>
      </w:r>
      <w:r>
        <w:rPr>
          <w:rFonts w:hint="eastAsia" w:ascii="宋体" w:hAnsi="宋体" w:eastAsia="宋体" w:cs="宋体"/>
          <w:color w:val="auto"/>
          <w:kern w:val="2"/>
          <w:sz w:val="21"/>
          <w:szCs w:val="24"/>
          <w:highlight w:val="none"/>
          <w:lang w:val="en-US" w:eastAsia="zh-CN"/>
        </w:rPr>
        <w:t>不</w:t>
      </w:r>
      <w:r>
        <w:rPr>
          <w:rFonts w:hint="eastAsia" w:ascii="宋体" w:hAnsi="宋体" w:eastAsia="宋体" w:cs="宋体"/>
          <w:color w:val="auto"/>
          <w:kern w:val="2"/>
          <w:sz w:val="21"/>
          <w:szCs w:val="24"/>
          <w:highlight w:val="none"/>
        </w:rPr>
        <w:t>具有竞争性的</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应当否决全部投标</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评标委员会对有效投标是否仍具有竞争性无法达成一致意见的，应当否决全部投标。</w:t>
      </w:r>
      <w:r>
        <w:rPr>
          <w:rFonts w:hint="eastAsia" w:ascii="宋体" w:hAnsi="宋体" w:eastAsia="宋体" w:cs="宋体"/>
          <w:color w:val="auto"/>
          <w:kern w:val="2"/>
          <w:sz w:val="21"/>
          <w:szCs w:val="24"/>
          <w:highlight w:val="none"/>
        </w:rPr>
        <w:t>评标委员会应当在评标报告中记载论证过程和结果。</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2.4.3评标委员会完成评标后，应当向招标人提交评标报告。</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br w:type="page"/>
      </w:r>
    </w:p>
    <w:p>
      <w:pPr>
        <w:pStyle w:val="4"/>
        <w:jc w:val="center"/>
        <w:rPr>
          <w:color w:val="auto"/>
          <w:highlight w:val="none"/>
        </w:rPr>
      </w:pPr>
      <w:bookmarkStart w:id="620" w:name="_Toc14577"/>
      <w:bookmarkStart w:id="621" w:name="_Toc11025"/>
      <w:bookmarkStart w:id="622" w:name="_Toc28928"/>
      <w:bookmarkStart w:id="623" w:name="_Toc19315"/>
      <w:bookmarkStart w:id="624" w:name="_Toc31277"/>
      <w:bookmarkStart w:id="625" w:name="_Toc530564465"/>
      <w:bookmarkStart w:id="626" w:name="_Toc14560"/>
      <w:r>
        <w:rPr>
          <w:rFonts w:hint="eastAsia"/>
          <w:color w:val="auto"/>
          <w:highlight w:val="none"/>
        </w:rPr>
        <w:t>第三章</w:t>
      </w:r>
      <w:r>
        <w:rPr>
          <w:color w:val="auto"/>
          <w:highlight w:val="none"/>
        </w:rPr>
        <w:t xml:space="preserve"> </w:t>
      </w:r>
      <w:r>
        <w:rPr>
          <w:rFonts w:hint="eastAsia"/>
          <w:color w:val="auto"/>
          <w:highlight w:val="none"/>
        </w:rPr>
        <w:t>评标办法（综合评估法：不采用两阶段开评标</w:t>
      </w:r>
      <w:r>
        <w:rPr>
          <w:rFonts w:hint="eastAsia"/>
          <w:color w:val="auto"/>
          <w:highlight w:val="none"/>
          <w:lang w:eastAsia="zh-CN"/>
        </w:rPr>
        <w:t>；</w:t>
      </w:r>
      <w:r>
        <w:rPr>
          <w:rFonts w:hint="eastAsia"/>
          <w:color w:val="auto"/>
          <w:highlight w:val="none"/>
          <w:lang w:val="en-US" w:eastAsia="zh-CN"/>
        </w:rPr>
        <w:t>适用非</w:t>
      </w:r>
      <w:r>
        <w:rPr>
          <w:rFonts w:hint="eastAsia"/>
          <w:snapToGrid w:val="0"/>
          <w:color w:val="auto"/>
          <w:kern w:val="32"/>
          <w:szCs w:val="20"/>
          <w:highlight w:val="none"/>
        </w:rPr>
        <w:t>“评定分离”方式招标的项目</w:t>
      </w:r>
      <w:r>
        <w:rPr>
          <w:rFonts w:hint="eastAsia"/>
          <w:color w:val="auto"/>
          <w:highlight w:val="none"/>
        </w:rPr>
        <w:t>）</w:t>
      </w:r>
      <w:bookmarkEnd w:id="620"/>
      <w:bookmarkEnd w:id="621"/>
      <w:bookmarkEnd w:id="622"/>
      <w:bookmarkEnd w:id="623"/>
      <w:bookmarkEnd w:id="624"/>
      <w:bookmarkEnd w:id="625"/>
      <w:bookmarkEnd w:id="626"/>
    </w:p>
    <w:p>
      <w:pPr>
        <w:pStyle w:val="5"/>
        <w:spacing w:after="0"/>
        <w:jc w:val="center"/>
        <w:rPr>
          <w:color w:val="auto"/>
          <w:highlight w:val="none"/>
        </w:rPr>
      </w:pPr>
      <w:bookmarkStart w:id="627" w:name="_Toc26942"/>
      <w:bookmarkStart w:id="628" w:name="_Toc6961"/>
      <w:bookmarkStart w:id="629" w:name="_Toc12295"/>
      <w:bookmarkStart w:id="630" w:name="_Toc530564466"/>
      <w:bookmarkStart w:id="631" w:name="_Toc32206"/>
      <w:bookmarkStart w:id="632" w:name="_Toc6329"/>
      <w:bookmarkStart w:id="633" w:name="_Toc7893"/>
      <w:r>
        <w:rPr>
          <w:rFonts w:hint="eastAsia" w:ascii="黑体" w:hAnsi="黑体" w:eastAsia="黑体" w:cs="黑体"/>
          <w:b w:val="0"/>
          <w:bCs w:val="0"/>
          <w:color w:val="auto"/>
          <w:sz w:val="32"/>
          <w:highlight w:val="none"/>
        </w:rPr>
        <w:t>评标办法前附表</w:t>
      </w:r>
      <w:bookmarkEnd w:id="627"/>
      <w:bookmarkEnd w:id="628"/>
      <w:bookmarkEnd w:id="629"/>
      <w:bookmarkEnd w:id="630"/>
      <w:bookmarkEnd w:id="631"/>
      <w:bookmarkEnd w:id="632"/>
      <w:bookmarkEnd w:id="633"/>
    </w:p>
    <w:tbl>
      <w:tblPr>
        <w:tblStyle w:val="44"/>
        <w:tblW w:w="8744" w:type="dxa"/>
        <w:tblInd w:w="0" w:type="dxa"/>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Layout w:type="fixed"/>
        <w:tblCellMar>
          <w:top w:w="0" w:type="dxa"/>
          <w:left w:w="0" w:type="dxa"/>
          <w:bottom w:w="0" w:type="dxa"/>
          <w:right w:w="0" w:type="dxa"/>
        </w:tblCellMar>
      </w:tblPr>
      <w:tblGrid>
        <w:gridCol w:w="795"/>
        <w:gridCol w:w="1767"/>
        <w:gridCol w:w="1841"/>
        <w:gridCol w:w="4341"/>
      </w:tblGrid>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744"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初步评审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256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条款号</w:t>
            </w: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评审因素</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1.1.1</w:t>
            </w:r>
          </w:p>
        </w:tc>
        <w:tc>
          <w:tcPr>
            <w:tcW w:w="1767"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形式性评审标准</w:t>
            </w: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投标人名称</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与营业执照、资质证书、安全生产许可证一致；</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w:t>
            </w:r>
            <w:r>
              <w:rPr>
                <w:rFonts w:hint="eastAsia" w:ascii="宋体" w:hAnsi="宋体" w:cs="宋体"/>
                <w:color w:val="auto"/>
                <w:highlight w:val="none"/>
                <w:lang w:val="en-US" w:eastAsia="zh-CN"/>
              </w:rPr>
              <w:t>文件</w:t>
            </w:r>
            <w:r>
              <w:rPr>
                <w:rFonts w:hint="eastAsia" w:ascii="宋体" w:hAnsi="宋体" w:cs="宋体"/>
                <w:color w:val="auto"/>
                <w:highlight w:val="none"/>
              </w:rPr>
              <w:t>签字盖章</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lang w:val="en-US" w:eastAsia="zh-CN"/>
              </w:rPr>
              <w:t>符合第二章投标人须知3.7.6签字、盖章要求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报价唯一</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只能有一个有效报价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暗标</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textAlignment w:val="center"/>
              <w:rPr>
                <w:rFonts w:ascii="宋体" w:hAnsi="宋体" w:cs="宋体"/>
                <w:color w:val="auto"/>
                <w:szCs w:val="21"/>
                <w:highlight w:val="none"/>
              </w:rPr>
            </w:pPr>
            <w:r>
              <w:rPr>
                <w:rFonts w:hint="eastAsia" w:ascii="宋体" w:hAnsi="宋体" w:cs="宋体"/>
                <w:color w:val="auto"/>
                <w:szCs w:val="21"/>
                <w:highlight w:val="none"/>
              </w:rPr>
              <w:t>符合招标文件有关暗标的要求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center"/>
              <w:textAlignment w:val="center"/>
              <w:rPr>
                <w:rFonts w:ascii="宋体" w:hAnsi="宋体" w:cs="宋体"/>
                <w:color w:val="auto"/>
                <w:szCs w:val="21"/>
                <w:highlight w:val="none"/>
              </w:rPr>
            </w:pP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57" w:hRule="atLeast"/>
        </w:trPr>
        <w:tc>
          <w:tcPr>
            <w:tcW w:w="795"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1.1.2</w:t>
            </w:r>
          </w:p>
        </w:tc>
        <w:tc>
          <w:tcPr>
            <w:tcW w:w="1767"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资格评审标准</w:t>
            </w: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营业执照</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具备有效的营业执照</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安全生产许可证</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具备有效的安全生产许可证（设计单位无须提供）</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szCs w:val="21"/>
                <w:highlight w:val="none"/>
              </w:rPr>
            </w:pPr>
            <w:r>
              <w:rPr>
                <w:rFonts w:hint="eastAsia" w:ascii="宋体" w:hAnsi="宋体" w:eastAsia="宋体" w:cs="宋体"/>
                <w:color w:val="auto"/>
                <w:kern w:val="0"/>
                <w:szCs w:val="21"/>
                <w:highlight w:val="none"/>
              </w:rPr>
              <w:t>企业基本存款账户开户许可证或基本存款账户证明材料</w:t>
            </w:r>
            <w:r>
              <w:rPr>
                <w:rFonts w:hint="eastAsia" w:ascii="宋体" w:hAnsi="宋体" w:eastAsia="宋体" w:cs="宋体"/>
                <w:color w:val="auto"/>
                <w:kern w:val="0"/>
                <w:szCs w:val="21"/>
                <w:highlight w:val="none"/>
                <w:lang w:eastAsia="zh-CN"/>
              </w:rPr>
              <w:t>（</w:t>
            </w:r>
            <w:r>
              <w:rPr>
                <w:rFonts w:hint="eastAsia" w:ascii="宋体" w:hAnsi="宋体" w:eastAsia="宋体" w:cs="宋体"/>
                <w:color w:val="auto"/>
                <w:kern w:val="0"/>
                <w:szCs w:val="21"/>
                <w:highlight w:val="none"/>
                <w:lang w:val="en-US" w:eastAsia="zh-CN"/>
              </w:rPr>
              <w:t>如</w:t>
            </w:r>
            <w:r>
              <w:rPr>
                <w:rFonts w:hint="eastAsia" w:ascii="宋体" w:hAnsi="宋体" w:cs="宋体"/>
                <w:color w:val="auto"/>
                <w:kern w:val="0"/>
                <w:szCs w:val="21"/>
                <w:highlight w:val="none"/>
                <w:lang w:val="en-US" w:eastAsia="zh-CN"/>
              </w:rPr>
              <w:t>有</w:t>
            </w:r>
            <w:r>
              <w:rPr>
                <w:rFonts w:hint="eastAsia" w:ascii="宋体" w:hAnsi="宋体" w:eastAsia="宋体" w:cs="宋体"/>
                <w:color w:val="auto"/>
                <w:kern w:val="0"/>
                <w:szCs w:val="21"/>
                <w:highlight w:val="none"/>
                <w:lang w:eastAsia="zh-CN"/>
              </w:rPr>
              <w:t>）</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szCs w:val="21"/>
                <w:highlight w:val="none"/>
              </w:rPr>
            </w:pPr>
            <w:r>
              <w:rPr>
                <w:rFonts w:hint="eastAsia" w:ascii="宋体" w:hAnsi="宋体" w:eastAsia="宋体" w:cs="宋体"/>
                <w:color w:val="auto"/>
                <w:highlight w:val="none"/>
              </w:rPr>
              <w:t>具备</w:t>
            </w:r>
            <w:r>
              <w:rPr>
                <w:rFonts w:hint="eastAsia" w:ascii="宋体" w:hAnsi="宋体" w:eastAsia="宋体" w:cs="宋体"/>
                <w:color w:val="auto"/>
                <w:kern w:val="0"/>
                <w:szCs w:val="21"/>
                <w:highlight w:val="none"/>
              </w:rPr>
              <w:t>企业基本存款账户开户许可证或基本存款账户证明材料</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资质证书</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具备有效的资质证书</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资质等级</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财务要求</w:t>
            </w:r>
            <w:r>
              <w:rPr>
                <w:rFonts w:hint="eastAsia"/>
                <w:color w:val="auto"/>
                <w:highlight w:val="none"/>
              </w:rPr>
              <w:t>（如有）</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业绩要求</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highlight w:val="none"/>
              </w:rPr>
              <w:t>拟派工程总承包项目经理</w:t>
            </w:r>
            <w:r>
              <w:rPr>
                <w:rFonts w:hint="eastAsia" w:ascii="宋体" w:hAnsi="宋体" w:cs="宋体"/>
                <w:color w:val="auto"/>
                <w:highlight w:val="none"/>
                <w:lang w:eastAsia="zh-CN"/>
              </w:rPr>
              <w:t>、</w:t>
            </w:r>
            <w:r>
              <w:rPr>
                <w:rFonts w:hint="eastAsia" w:ascii="宋体" w:hAnsi="宋体" w:cs="宋体"/>
                <w:color w:val="auto"/>
                <w:highlight w:val="none"/>
                <w:lang w:val="en-US" w:eastAsia="zh-CN"/>
              </w:rPr>
              <w:t>施工项目负责人、设计负责人</w:t>
            </w:r>
            <w:r>
              <w:rPr>
                <w:rFonts w:hint="eastAsia" w:ascii="宋体" w:hAnsi="宋体" w:cs="宋体"/>
                <w:color w:val="auto"/>
                <w:highlight w:val="none"/>
              </w:rPr>
              <w:t>要求</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szCs w:val="21"/>
                <w:highlight w:val="none"/>
              </w:rPr>
            </w:pPr>
            <w:r>
              <w:rPr>
                <w:rFonts w:hint="eastAsia" w:ascii="宋体" w:hAnsi="宋体" w:cs="宋体"/>
                <w:color w:val="auto"/>
                <w:kern w:val="0"/>
                <w:szCs w:val="21"/>
                <w:highlight w:val="none"/>
              </w:rPr>
              <w:t>信誉要求</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kern w:val="0"/>
                <w:szCs w:val="21"/>
                <w:highlight w:val="none"/>
              </w:rPr>
            </w:pPr>
            <w:r>
              <w:rPr>
                <w:rFonts w:hint="eastAsia"/>
                <w:color w:val="auto"/>
                <w:highlight w:val="none"/>
              </w:rPr>
              <w:t>联合体投标人</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szCs w:val="21"/>
                <w:highlight w:val="none"/>
              </w:rPr>
            </w:pPr>
            <w:r>
              <w:rPr>
                <w:rFonts w:hint="eastAsia"/>
                <w:color w:val="auto"/>
                <w:highlight w:val="none"/>
              </w:rPr>
              <w:t>符合第二章“投标人须知”第</w:t>
            </w:r>
            <w:r>
              <w:rPr>
                <w:color w:val="auto"/>
                <w:highlight w:val="none"/>
              </w:rPr>
              <w:t xml:space="preserve"> 1.4.2</w:t>
            </w:r>
            <w:r>
              <w:rPr>
                <w:rFonts w:hint="eastAsia"/>
                <w:color w:val="auto"/>
                <w:highlight w:val="none"/>
              </w:rPr>
              <w:t>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color w:val="auto"/>
                <w:highlight w:val="none"/>
              </w:rPr>
            </w:pPr>
            <w:r>
              <w:rPr>
                <w:rFonts w:ascii="宋体" w:hAnsi="宋体" w:cs="宋体"/>
                <w:color w:val="auto"/>
                <w:szCs w:val="21"/>
                <w:highlight w:val="none"/>
              </w:rPr>
              <w:t>不存在禁止投标的情形</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color w:val="auto"/>
                <w:highlight w:val="none"/>
              </w:rPr>
            </w:pPr>
            <w:r>
              <w:rPr>
                <w:rFonts w:ascii="宋体" w:hAnsi="宋体" w:cs="宋体"/>
                <w:color w:val="auto"/>
                <w:szCs w:val="21"/>
                <w:highlight w:val="none"/>
              </w:rPr>
              <w:t>不存在第二章</w:t>
            </w:r>
            <w:r>
              <w:rPr>
                <w:rFonts w:eastAsia="Times New Roman"/>
                <w:color w:val="auto"/>
                <w:szCs w:val="21"/>
                <w:highlight w:val="none"/>
              </w:rPr>
              <w:t>“</w:t>
            </w:r>
            <w:r>
              <w:rPr>
                <w:rFonts w:ascii="宋体" w:hAnsi="宋体" w:cs="宋体"/>
                <w:color w:val="auto"/>
                <w:szCs w:val="21"/>
                <w:highlight w:val="none"/>
              </w:rPr>
              <w:t>投标人须知</w:t>
            </w:r>
            <w:r>
              <w:rPr>
                <w:rFonts w:eastAsia="Times New Roman"/>
                <w:color w:val="auto"/>
                <w:szCs w:val="21"/>
                <w:highlight w:val="none"/>
              </w:rPr>
              <w:t>”</w:t>
            </w:r>
            <w:r>
              <w:rPr>
                <w:rFonts w:ascii="宋体" w:hAnsi="宋体" w:cs="宋体"/>
                <w:color w:val="auto"/>
                <w:szCs w:val="21"/>
                <w:highlight w:val="none"/>
              </w:rPr>
              <w:t>第</w:t>
            </w:r>
            <w:r>
              <w:rPr>
                <w:rFonts w:eastAsia="Times New Roman"/>
                <w:color w:val="auto"/>
                <w:szCs w:val="21"/>
                <w:highlight w:val="none"/>
              </w:rPr>
              <w:t>1.4.3</w:t>
            </w:r>
            <w:r>
              <w:rPr>
                <w:rFonts w:ascii="宋体" w:hAnsi="宋体" w:cs="宋体"/>
                <w:color w:val="auto"/>
                <w:szCs w:val="21"/>
                <w:highlight w:val="none"/>
              </w:rPr>
              <w:t>项规定的任何一种情形</w:t>
            </w: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其他要求</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符合第二章“投标人须知”第1.4.1项规定的其他要求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1.1.3</w:t>
            </w:r>
          </w:p>
        </w:tc>
        <w:tc>
          <w:tcPr>
            <w:tcW w:w="1767"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响应性评审标准</w:t>
            </w: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投标内容</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工期</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符合第二章“投标人须知”第1.3.2项规定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工程质量</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符合第二章“投标人须知”第1.3.3项规定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投标有效期</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投标函附录中承诺的投标有效期符合第二章“投标人须知”第3.3.1项规定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投标保证金</w:t>
            </w:r>
            <w:r>
              <w:rPr>
                <w:rFonts w:hint="eastAsia" w:ascii="宋体" w:hAnsi="宋体" w:cs="宋体"/>
                <w:color w:val="auto"/>
                <w:highlight w:val="none"/>
                <w:lang w:eastAsia="zh-CN"/>
              </w:rPr>
              <w:t>（</w:t>
            </w:r>
            <w:r>
              <w:rPr>
                <w:rFonts w:hint="eastAsia" w:ascii="宋体" w:hAnsi="宋体" w:cs="宋体"/>
                <w:color w:val="auto"/>
                <w:highlight w:val="none"/>
                <w:lang w:val="en-US" w:eastAsia="zh-CN"/>
              </w:rPr>
              <w:t>如有</w:t>
            </w:r>
            <w:r>
              <w:rPr>
                <w:rFonts w:hint="eastAsia" w:ascii="宋体" w:hAnsi="宋体" w:cs="宋体"/>
                <w:color w:val="auto"/>
                <w:highlight w:val="none"/>
                <w:lang w:eastAsia="zh-CN"/>
              </w:rPr>
              <w:t>）</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eastAsia="宋体" w:cs="宋体"/>
                <w:color w:val="auto"/>
                <w:highlight w:val="none"/>
                <w:lang w:eastAsia="zh-CN"/>
              </w:rPr>
            </w:pPr>
            <w:r>
              <w:rPr>
                <w:rFonts w:hint="eastAsia" w:ascii="宋体" w:hAnsi="宋体" w:cs="宋体"/>
                <w:color w:val="auto"/>
                <w:highlight w:val="none"/>
              </w:rPr>
              <w:t>符合第二章“投标人须知”第3.4.1项规定；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color w:val="auto"/>
                <w:highlight w:val="none"/>
              </w:rPr>
              <w:t>投标价格</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highlight w:val="none"/>
              </w:rPr>
            </w:pPr>
            <w:r>
              <w:rPr>
                <w:rFonts w:hint="eastAsia"/>
                <w:color w:val="auto"/>
                <w:highlight w:val="none"/>
                <w:lang w:val="en-US" w:eastAsia="zh-CN"/>
              </w:rPr>
              <w:t>不高于</w:t>
            </w:r>
            <w:r>
              <w:rPr>
                <w:rFonts w:hint="eastAsia"/>
                <w:color w:val="auto"/>
                <w:highlight w:val="none"/>
              </w:rPr>
              <w:t>第二章</w:t>
            </w:r>
            <w:r>
              <w:rPr>
                <w:color w:val="auto"/>
                <w:highlight w:val="none"/>
              </w:rPr>
              <w:fldChar w:fldCharType="begin"/>
            </w:r>
            <w:r>
              <w:rPr>
                <w:color w:val="auto"/>
                <w:highlight w:val="none"/>
              </w:rPr>
              <w:instrText xml:space="preserve">HYPERLINK "file:///H:\\泰州招标文件范本\\泰州市房屋建筑和市政工程施工2016.4.docx" \l "_10.2"</w:instrText>
            </w:r>
            <w:r>
              <w:rPr>
                <w:color w:val="auto"/>
                <w:highlight w:val="none"/>
              </w:rPr>
              <w:fldChar w:fldCharType="separate"/>
            </w:r>
            <w:r>
              <w:rPr>
                <w:rFonts w:hint="eastAsia"/>
                <w:color w:val="auto"/>
                <w:highlight w:val="none"/>
              </w:rPr>
              <w:t>投标人须知前附表第2.4项</w:t>
            </w:r>
            <w:r>
              <w:rPr>
                <w:color w:val="auto"/>
                <w:highlight w:val="none"/>
              </w:rPr>
              <w:fldChar w:fldCharType="end"/>
            </w:r>
            <w:r>
              <w:rPr>
                <w:rFonts w:hint="eastAsia"/>
                <w:color w:val="auto"/>
                <w:highlight w:val="none"/>
              </w:rPr>
              <w:t>载明</w:t>
            </w:r>
            <w:r>
              <w:rPr>
                <w:rFonts w:hint="eastAsia"/>
                <w:color w:val="auto"/>
                <w:highlight w:val="none"/>
                <w:lang w:val="en-US" w:eastAsia="zh-CN"/>
              </w:rPr>
              <w:t>的最高投标限价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40" w:lineRule="exact"/>
              <w:jc w:val="center"/>
              <w:textAlignment w:val="center"/>
              <w:rPr>
                <w:rFonts w:hint="eastAsia" w:ascii="宋体" w:hAnsi="宋体" w:cs="宋体"/>
                <w:color w:val="auto"/>
                <w:highlight w:val="none"/>
              </w:rPr>
            </w:pPr>
            <w:r>
              <w:rPr>
                <w:rFonts w:hint="eastAsia" w:ascii="宋体" w:hAnsi="宋体" w:eastAsia="宋体"/>
                <w:color w:val="auto"/>
                <w:sz w:val="21"/>
                <w:highlight w:val="none"/>
              </w:rPr>
              <w:t>诚信投标承诺书</w:t>
            </w:r>
          </w:p>
        </w:tc>
        <w:tc>
          <w:tcPr>
            <w:tcW w:w="4341" w:type="dxa"/>
            <w:tcBorders>
              <w:top w:val="outset" w:color="auto" w:sz="6" w:space="0"/>
              <w:left w:val="outset" w:color="auto" w:sz="6" w:space="0"/>
              <w:bottom w:val="outset" w:color="auto" w:sz="6" w:space="0"/>
              <w:right w:val="outset" w:color="auto" w:sz="6" w:space="0"/>
            </w:tcBorders>
            <w:vAlign w:val="center"/>
          </w:tcPr>
          <w:p>
            <w:pPr>
              <w:spacing w:line="320" w:lineRule="exact"/>
              <w:ind w:left="84" w:leftChars="40"/>
              <w:textAlignment w:val="center"/>
              <w:rPr>
                <w:rFonts w:hint="eastAsia" w:ascii="宋体" w:hAnsi="宋体" w:cs="宋体"/>
                <w:color w:val="auto"/>
                <w:highlight w:val="none"/>
              </w:rPr>
            </w:pPr>
            <w:r>
              <w:rPr>
                <w:rFonts w:hint="eastAsia" w:ascii="宋体" w:hAnsi="宋体" w:eastAsia="宋体"/>
                <w:color w:val="auto"/>
                <w:sz w:val="21"/>
                <w:highlight w:val="none"/>
              </w:rPr>
              <w:t>符合招标文件要求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highlight w:val="none"/>
              </w:rPr>
              <w:t>其他要求</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highlight w:val="none"/>
              </w:rPr>
              <w:t>无评标办法第2.2.6条所列情形</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92" w:hRule="atLeast"/>
        </w:trPr>
        <w:tc>
          <w:tcPr>
            <w:tcW w:w="795"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767" w:type="dxa"/>
            <w:vMerge w:val="continue"/>
            <w:tcBorders>
              <w:top w:val="outset" w:color="auto" w:sz="6" w:space="0"/>
              <w:left w:val="outset" w:color="auto" w:sz="6" w:space="0"/>
              <w:bottom w:val="outset" w:color="auto" w:sz="6" w:space="0"/>
              <w:right w:val="outset" w:color="auto" w:sz="6" w:space="0"/>
            </w:tcBorders>
            <w:vAlign w:val="center"/>
          </w:tcPr>
          <w:p>
            <w:pPr>
              <w:widowControl/>
              <w:jc w:val="left"/>
              <w:rPr>
                <w:rFonts w:ascii="宋体" w:hAnsi="宋体" w:cs="宋体"/>
                <w:color w:val="auto"/>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highlight w:val="none"/>
              </w:rPr>
            </w:pPr>
            <w:r>
              <w:rPr>
                <w:rFonts w:hint="eastAsia" w:ascii="宋体" w:hAnsi="宋体" w:cs="宋体"/>
                <w:color w:val="auto"/>
                <w:szCs w:val="21"/>
                <w:highlight w:val="none"/>
              </w:rPr>
              <w:t>……</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center"/>
              <w:textAlignment w:val="center"/>
              <w:rPr>
                <w:rFonts w:ascii="宋体" w:hAnsi="宋体" w:cs="宋体"/>
                <w:color w:val="auto"/>
                <w:highlight w:val="none"/>
              </w:rPr>
            </w:pP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744"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ascii="黑体" w:hAnsi="黑体" w:eastAsia="黑体" w:cs="黑体"/>
                <w:color w:val="auto"/>
                <w:sz w:val="24"/>
                <w:highlight w:val="none"/>
              </w:rPr>
              <w:t>详细评审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条款号</w:t>
            </w:r>
          </w:p>
        </w:tc>
        <w:tc>
          <w:tcPr>
            <w:tcW w:w="3608"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评审因素</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分值</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1.2.1</w:t>
            </w:r>
          </w:p>
        </w:tc>
        <w:tc>
          <w:tcPr>
            <w:tcW w:w="3608"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商务标</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ind w:firstLine="1470" w:firstLineChars="700"/>
              <w:jc w:val="left"/>
              <w:rPr>
                <w:rFonts w:ascii="宋体" w:hAnsi="宋体" w:cs="宋体"/>
                <w:color w:val="auto"/>
                <w:highlight w:val="none"/>
              </w:rPr>
            </w:pPr>
            <w:r>
              <w:rPr>
                <w:rFonts w:hint="eastAsia"/>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1.2.2</w:t>
            </w:r>
          </w:p>
        </w:tc>
        <w:tc>
          <w:tcPr>
            <w:tcW w:w="3608"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经济标</w:t>
            </w:r>
          </w:p>
        </w:tc>
        <w:tc>
          <w:tcPr>
            <w:tcW w:w="4341" w:type="dxa"/>
            <w:tcBorders>
              <w:top w:val="outset" w:color="auto" w:sz="6" w:space="0"/>
              <w:left w:val="outset" w:color="auto" w:sz="6" w:space="0"/>
              <w:bottom w:val="outset" w:color="auto" w:sz="6" w:space="0"/>
              <w:right w:val="outset" w:color="auto" w:sz="6" w:space="0"/>
            </w:tcBorders>
          </w:tcPr>
          <w:p>
            <w:pPr>
              <w:ind w:firstLine="1470" w:firstLineChars="700"/>
              <w:rPr>
                <w:rFonts w:ascii="宋体" w:hAnsi="宋体" w:cs="宋体"/>
                <w:color w:val="auto"/>
                <w:highlight w:val="none"/>
              </w:rPr>
            </w:pPr>
            <w:r>
              <w:rPr>
                <w:rFonts w:hint="eastAsia"/>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1.2.3</w:t>
            </w:r>
          </w:p>
        </w:tc>
        <w:tc>
          <w:tcPr>
            <w:tcW w:w="3608"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技术标</w:t>
            </w:r>
          </w:p>
        </w:tc>
        <w:tc>
          <w:tcPr>
            <w:tcW w:w="4341" w:type="dxa"/>
            <w:tcBorders>
              <w:top w:val="outset" w:color="auto" w:sz="6" w:space="0"/>
              <w:left w:val="outset" w:color="auto" w:sz="6" w:space="0"/>
              <w:bottom w:val="outset" w:color="auto" w:sz="6" w:space="0"/>
              <w:right w:val="outset" w:color="auto" w:sz="6" w:space="0"/>
            </w:tcBorders>
          </w:tcPr>
          <w:p>
            <w:pPr>
              <w:ind w:firstLine="1470" w:firstLineChars="700"/>
              <w:rPr>
                <w:rFonts w:ascii="宋体" w:hAnsi="宋体" w:cs="宋体"/>
                <w:color w:val="auto"/>
                <w:highlight w:val="none"/>
              </w:rPr>
            </w:pPr>
            <w:r>
              <w:rPr>
                <w:rFonts w:hint="eastAsia"/>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95" w:type="dxa"/>
            <w:tcBorders>
              <w:top w:val="outset" w:color="auto" w:sz="6" w:space="0"/>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3608"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color w:val="auto"/>
                <w:highlight w:val="none"/>
              </w:rPr>
              <w:t>……</w:t>
            </w:r>
          </w:p>
        </w:tc>
        <w:tc>
          <w:tcPr>
            <w:tcW w:w="43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color w:val="auto"/>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744"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left"/>
              <w:rPr>
                <w:color w:val="auto"/>
                <w:highlight w:val="none"/>
              </w:rPr>
            </w:pPr>
          </w:p>
        </w:tc>
      </w:tr>
    </w:tbl>
    <w:p>
      <w:pPr>
        <w:spacing w:line="360" w:lineRule="auto"/>
        <w:ind w:right="1260" w:firstLine="3990" w:firstLineChars="1900"/>
        <w:rPr>
          <w:color w:val="auto"/>
          <w:highlight w:val="none"/>
        </w:rPr>
      </w:pPr>
    </w:p>
    <w:p>
      <w:pPr>
        <w:widowControl/>
        <w:jc w:val="left"/>
        <w:rPr>
          <w:b/>
          <w:bCs/>
          <w:color w:val="auto"/>
          <w:kern w:val="44"/>
          <w:sz w:val="32"/>
          <w:szCs w:val="32"/>
          <w:highlight w:val="none"/>
        </w:rPr>
      </w:pPr>
      <w:r>
        <w:rPr>
          <w:b/>
          <w:bCs/>
          <w:color w:val="auto"/>
          <w:kern w:val="44"/>
          <w:sz w:val="32"/>
          <w:szCs w:val="32"/>
          <w:highlight w:val="none"/>
        </w:rPr>
        <w:br w:type="page"/>
      </w:r>
    </w:p>
    <w:p>
      <w:pPr>
        <w:pStyle w:val="5"/>
        <w:rPr>
          <w:color w:val="auto"/>
          <w:kern w:val="44"/>
          <w:sz w:val="30"/>
          <w:szCs w:val="30"/>
          <w:highlight w:val="none"/>
        </w:rPr>
      </w:pPr>
      <w:bookmarkStart w:id="634" w:name="_Toc17298"/>
      <w:bookmarkStart w:id="635" w:name="_Toc10093"/>
      <w:bookmarkStart w:id="636" w:name="_Toc22906"/>
      <w:bookmarkStart w:id="637" w:name="_Toc29450"/>
      <w:bookmarkStart w:id="638" w:name="_Toc15233"/>
      <w:bookmarkStart w:id="639" w:name="_Toc29686"/>
      <w:r>
        <w:rPr>
          <w:rFonts w:hint="eastAsia" w:ascii="黑体" w:hAnsi="黑体" w:eastAsia="黑体" w:cs="黑体"/>
          <w:b w:val="0"/>
          <w:bCs w:val="0"/>
          <w:color w:val="auto"/>
          <w:sz w:val="32"/>
          <w:highlight w:val="none"/>
        </w:rPr>
        <w:t>综合评估法三：适用于初步设计完成之后的工程总承包招标</w:t>
      </w:r>
      <w:bookmarkEnd w:id="634"/>
      <w:bookmarkEnd w:id="635"/>
      <w:bookmarkEnd w:id="636"/>
      <w:bookmarkEnd w:id="637"/>
      <w:bookmarkEnd w:id="638"/>
      <w:bookmarkEnd w:id="639"/>
    </w:p>
    <w:tbl>
      <w:tblPr>
        <w:tblStyle w:val="44"/>
        <w:tblW w:w="8853"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1"/>
        <w:gridCol w:w="1173"/>
        <w:gridCol w:w="2371"/>
        <w:gridCol w:w="445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(总分100分)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技术标：项目管理组织方案：</w:t>
            </w:r>
            <w:r>
              <w:rPr>
                <w:rFonts w:hint="eastAsia" w:ascii="宋体" w:hAnsi="宋体" w:cs="宋体"/>
                <w:color w:val="auto"/>
                <w:szCs w:val="21"/>
                <w:highlight w:val="none"/>
                <w:u w:val="single"/>
              </w:rPr>
              <w:t>≤11</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≥85</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173"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评分项</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68" w:hRule="atLeast"/>
        </w:trPr>
        <w:tc>
          <w:tcPr>
            <w:tcW w:w="851" w:type="dxa"/>
            <w:vMerge w:val="restart"/>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w:t>
            </w:r>
          </w:p>
        </w:tc>
        <w:tc>
          <w:tcPr>
            <w:tcW w:w="1173" w:type="dxa"/>
            <w:vMerge w:val="restart"/>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工程总承包报价（≥85分）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报价评审（工程总承包范围内的所有费用）（≥83分）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采用苏建招办〔2017〕7号文‘二、投标报价评审’中方法五（ABC合成法）作为评标基准价的计算方法，或者在方法一至方法四中任选不少于两种计算方法在开标时随机抽取确定评标基准价的计算方法。评标价等于评标基准价的得满分， 每低于评标基准价1%扣0.5分，每高1%的所扣分值为负偏离扣分的2倍；偏离不足1%的，按照插入法计算得分。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highlight w:val="none"/>
              </w:rPr>
              <w:t>2</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bookmarkStart w:id="640" w:name="EBf80c57a9a74342b5bc06b2f54e991d39"/>
            <w:bookmarkEnd w:id="640"/>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bookmarkStart w:id="641" w:name="EBc8cf4646079b401fb7c33029f858a18a"/>
            <w:bookmarkEnd w:id="641"/>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bookmarkStart w:id="642" w:name="EB101afa0a44aa4a579804b12eddf3ec4c"/>
            <w:bookmarkEnd w:id="642"/>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83" w:hRule="atLeast"/>
        </w:trPr>
        <w:tc>
          <w:tcPr>
            <w:tcW w:w="851" w:type="dxa"/>
            <w:vMerge w:val="continue"/>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55" w:hRule="atLeast"/>
        </w:trPr>
        <w:tc>
          <w:tcPr>
            <w:tcW w:w="851" w:type="dxa"/>
            <w:vMerge w:val="continue"/>
            <w:tcBorders>
              <w:bottom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left w:val="single" w:color="000000" w:sz="4" w:space="0"/>
              <w:bottom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445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restart"/>
            <w:tcBorders>
              <w:top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w:t>
            </w:r>
          </w:p>
        </w:tc>
        <w:tc>
          <w:tcPr>
            <w:tcW w:w="1173"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项目管理组织方案（≤11分）</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对工程总承包的总体设想、组织形式、各项管理目标及控制措施、施工实施计划、设计与施工的协调措施等内容进行评分。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2.设计管理方案（1-2分）</w:t>
            </w:r>
          </w:p>
        </w:tc>
        <w:tc>
          <w:tcPr>
            <w:tcW w:w="4458" w:type="dxa"/>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1．对项目解读准确、设计构思合理。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2．设计进度计划及控制措施。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3．设计质量管理制度及控制措施。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4．设计重点、难点及控制措施。</w:t>
            </w:r>
          </w:p>
          <w:p>
            <w:pPr>
              <w:spacing w:line="440" w:lineRule="exact"/>
              <w:rPr>
                <w:rFonts w:ascii="宋体" w:hAnsi="宋体" w:cs="宋体"/>
                <w:color w:val="auto"/>
                <w:szCs w:val="22"/>
                <w:highlight w:val="none"/>
              </w:rPr>
            </w:pPr>
            <w:r>
              <w:rPr>
                <w:rFonts w:hint="eastAsia" w:ascii="宋体" w:hAnsi="宋体" w:cs="宋体"/>
                <w:color w:val="auto"/>
                <w:szCs w:val="21"/>
                <w:highlight w:val="none"/>
              </w:rPr>
              <w:t>5．设计过程对工程总投资控制措施。</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20"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w:t>
            </w:r>
            <w:r>
              <w:rPr>
                <w:rFonts w:hint="eastAsia" w:ascii="宋体" w:hAnsi="宋体" w:cs="宋体"/>
                <w:color w:val="auto"/>
                <w:szCs w:val="21"/>
                <w:highlight w:val="none"/>
              </w:rPr>
              <w:t>采购管理方案（≤1分）</w:t>
            </w:r>
          </w:p>
        </w:tc>
        <w:tc>
          <w:tcPr>
            <w:tcW w:w="4458" w:type="dxa"/>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2"/>
                <w:highlight w:val="none"/>
              </w:rPr>
            </w:pPr>
            <w:r>
              <w:rPr>
                <w:rFonts w:hint="eastAsia" w:ascii="宋体" w:hAnsi="宋体" w:cs="宋体"/>
                <w:color w:val="auto"/>
                <w:szCs w:val="21"/>
                <w:highlight w:val="none"/>
              </w:rPr>
              <w:t>对采购工作程序、采购执行计划、采买、催交与检验、运输与交付、采购变更管理、仓储管理等内容进行评分。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4</w:t>
            </w:r>
            <w:r>
              <w:rPr>
                <w:rFonts w:hint="eastAsia" w:ascii="宋体" w:hAnsi="宋体" w:cs="宋体"/>
                <w:color w:val="auto"/>
                <w:szCs w:val="22"/>
                <w:highlight w:val="none"/>
              </w:rPr>
              <w:t>．</w:t>
            </w:r>
            <w:r>
              <w:rPr>
                <w:rFonts w:hint="eastAsia" w:ascii="宋体" w:hAnsi="宋体" w:cs="宋体"/>
                <w:color w:val="auto"/>
                <w:szCs w:val="21"/>
                <w:highlight w:val="none"/>
              </w:rPr>
              <w:t>施工平面布置规划（≤1分）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2"/>
                <w:highlight w:val="none"/>
              </w:rPr>
            </w:pPr>
            <w:r>
              <w:rPr>
                <w:rFonts w:hint="eastAsia" w:ascii="宋体" w:hAnsi="宋体" w:cs="宋体"/>
                <w:color w:val="auto"/>
                <w:szCs w:val="22"/>
                <w:highlight w:val="none"/>
              </w:rPr>
              <w:t>对施工现场平面布置和临时设施、临时道路布置等内容进行评分。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5．施工的重点难点（</w:t>
            </w:r>
            <w:r>
              <w:rPr>
                <w:rFonts w:hint="eastAsia" w:ascii="宋体" w:hAnsi="宋体" w:cs="宋体"/>
                <w:color w:val="auto"/>
                <w:szCs w:val="21"/>
                <w:highlight w:val="none"/>
              </w:rPr>
              <w:t>≤1</w:t>
            </w:r>
            <w:r>
              <w:rPr>
                <w:rFonts w:hint="eastAsia" w:ascii="宋体" w:hAnsi="宋体" w:cs="宋体"/>
                <w:color w:val="auto"/>
                <w:szCs w:val="22"/>
                <w:highlight w:val="none"/>
              </w:rPr>
              <w:t>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2"/>
                <w:highlight w:val="none"/>
              </w:rPr>
            </w:pPr>
            <w:r>
              <w:rPr>
                <w:rFonts w:hint="eastAsia" w:ascii="宋体" w:hAnsi="宋体" w:cs="宋体"/>
                <w:color w:val="auto"/>
                <w:szCs w:val="22"/>
                <w:highlight w:val="none"/>
              </w:rPr>
              <w:t>对关键施工技术、工艺及工程项目实施的重点、难点和解决方案等内容进行评分。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71"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tcPr>
          <w:p>
            <w:pPr>
              <w:rPr>
                <w:rFonts w:ascii="宋体" w:hAnsi="宋体" w:cs="宋体"/>
                <w:color w:val="auto"/>
                <w:szCs w:val="22"/>
                <w:highlight w:val="none"/>
              </w:rPr>
            </w:pPr>
            <w:r>
              <w:rPr>
                <w:rFonts w:hint="eastAsia" w:ascii="宋体" w:hAnsi="宋体" w:cs="宋体"/>
                <w:color w:val="auto"/>
                <w:szCs w:val="22"/>
                <w:highlight w:val="none"/>
              </w:rPr>
              <w:t>6．施工资源投入计划（≤1分）</w:t>
            </w:r>
          </w:p>
        </w:tc>
        <w:tc>
          <w:tcPr>
            <w:tcW w:w="4458" w:type="dxa"/>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对劳动力、机械设备和材料投入计划进行评分。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7</w:t>
            </w:r>
            <w:r>
              <w:rPr>
                <w:rFonts w:hint="eastAsia" w:ascii="宋体" w:hAnsi="宋体" w:cs="宋体"/>
                <w:color w:val="auto"/>
                <w:szCs w:val="21"/>
                <w:highlight w:val="none"/>
              </w:rPr>
              <w:t>．</w:t>
            </w:r>
            <w:r>
              <w:rPr>
                <w:rFonts w:hint="eastAsia" w:ascii="宋体" w:hAnsi="宋体" w:cs="宋体"/>
                <w:color w:val="auto"/>
                <w:szCs w:val="22"/>
                <w:highlight w:val="none"/>
              </w:rPr>
              <w:t>新技术、新产品、新工艺、新材料（≤1分）</w:t>
            </w:r>
          </w:p>
        </w:tc>
        <w:tc>
          <w:tcPr>
            <w:tcW w:w="4458"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对采用新技术、新产品、新工艺、新材料的情况进行评分。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8．建筑信息模型（BIM）技术（≤1分）</w:t>
            </w:r>
          </w:p>
        </w:tc>
        <w:tc>
          <w:tcPr>
            <w:tcW w:w="4458"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对建筑信息模型（BIM）技术的使用等内容进行评分。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9．工程总承包项目经理陈述及答辩（≤2分）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2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bottom w:val="single" w:color="auto" w:sz="4" w:space="0"/>
              <w:right w:val="single" w:color="auto" w:sz="4" w:space="0"/>
            </w:tcBorders>
            <w:vAlign w:val="center"/>
          </w:tcPr>
          <w:p>
            <w:pPr>
              <w:spacing w:line="440" w:lineRule="exact"/>
              <w:jc w:val="center"/>
              <w:rPr>
                <w:color w:val="auto"/>
                <w:szCs w:val="21"/>
                <w:highlight w:val="none"/>
              </w:rPr>
            </w:pPr>
          </w:p>
        </w:tc>
        <w:tc>
          <w:tcPr>
            <w:tcW w:w="682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color w:val="auto"/>
                <w:szCs w:val="21"/>
                <w:highlight w:val="none"/>
              </w:rPr>
            </w:pP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w:t>
            </w:r>
          </w:p>
        </w:tc>
        <w:tc>
          <w:tcPr>
            <w:tcW w:w="1173" w:type="dxa"/>
            <w:tcBorders>
              <w:left w:val="single" w:color="000000"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项目管理机构（≤</w:t>
            </w:r>
            <w:r>
              <w:rPr>
                <w:rFonts w:hint="eastAsia" w:ascii="宋体" w:hAnsi="宋体" w:cs="宋体"/>
                <w:color w:val="auto"/>
                <w:szCs w:val="22"/>
                <w:highlight w:val="none"/>
              </w:rPr>
              <w:t>2</w:t>
            </w:r>
            <w:r>
              <w:rPr>
                <w:rFonts w:hint="eastAsia" w:ascii="宋体" w:hAnsi="宋体" w:cs="宋体"/>
                <w:color w:val="auto"/>
                <w:szCs w:val="21"/>
                <w:highlight w:val="none"/>
              </w:rPr>
              <w:t>分）</w:t>
            </w:r>
          </w:p>
        </w:tc>
        <w:tc>
          <w:tcPr>
            <w:tcW w:w="682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851"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w:t>
            </w:r>
          </w:p>
        </w:tc>
        <w:tc>
          <w:tcPr>
            <w:tcW w:w="1173" w:type="dxa"/>
            <w:vMerge w:val="restart"/>
            <w:tcBorders>
              <w:left w:val="single" w:color="000000"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工程业绩（≤2分）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1．投标人类似工程业绩（≤1分）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0" w:firstLineChars="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ind w:firstLine="0" w:firstLineChars="0"/>
              <w:rPr>
                <w:rFonts w:ascii="宋体" w:hAnsi="宋体" w:cs="Times New Roman"/>
                <w:color w:val="auto"/>
                <w:szCs w:val="20"/>
                <w:highlight w:val="none"/>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851"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2．工程总承包项目经理类似工程业绩（≤1分）</w:t>
            </w:r>
          </w:p>
        </w:tc>
        <w:tc>
          <w:tcPr>
            <w:tcW w:w="445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w:t>
            </w:r>
            <w:r>
              <w:rPr>
                <w:rFonts w:hint="eastAsia" w:ascii="宋体" w:hAnsi="宋体" w:cs="宋体"/>
                <w:color w:val="auto"/>
                <w:szCs w:val="21"/>
                <w:highlight w:val="none"/>
                <w:lang w:val="en-US" w:eastAsia="zh-CN"/>
              </w:rPr>
              <w:t>1</w:t>
            </w:r>
            <w:r>
              <w:rPr>
                <w:rFonts w:hint="eastAsia" w:ascii="宋体" w:hAnsi="宋体" w:eastAsia="宋体" w:cs="宋体"/>
                <w:color w:val="auto"/>
                <w:szCs w:val="21"/>
                <w:highlight w:val="none"/>
              </w:rPr>
              <w:t>分</w:t>
            </w:r>
            <w:r>
              <w:rPr>
                <w:rFonts w:hint="eastAsia" w:ascii="宋体" w:hAnsi="宋体" w:cs="宋体"/>
                <w:color w:val="auto"/>
                <w:szCs w:val="21"/>
                <w:highlight w:val="none"/>
                <w:lang w:eastAsia="zh-CN"/>
              </w:rPr>
              <w:t>；</w:t>
            </w:r>
          </w:p>
          <w:p>
            <w:pPr>
              <w:adjustRightInd w:val="0"/>
              <w:snapToGrid w:val="0"/>
              <w:ind w:firstLine="210" w:firstLineChars="10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ascii="宋体" w:hAnsi="宋体" w:cs="Times New Roman"/>
                <w:color w:val="auto"/>
                <w:szCs w:val="20"/>
                <w:highlight w:val="none"/>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851"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82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ind w:firstLine="0" w:firstLineChars="0"/>
              <w:rPr>
                <w:rFonts w:ascii="宋体" w:hAnsi="宋体" w:cs="宋体"/>
                <w:color w:val="auto"/>
                <w:szCs w:val="21"/>
                <w:highlight w:val="none"/>
              </w:rPr>
            </w:pPr>
            <w:r>
              <w:rPr>
                <w:rFonts w:hint="eastAsia" w:ascii="宋体" w:hAnsi="宋体" w:cs="宋体"/>
                <w:color w:val="auto"/>
                <w:szCs w:val="21"/>
                <w:highlight w:val="none"/>
              </w:rPr>
              <w:t>注：1.类似工程执行苏建规字</w:t>
            </w:r>
            <w:r>
              <w:rPr>
                <w:rFonts w:hint="eastAsia" w:ascii="仿宋" w:hAnsi="仿宋" w:eastAsia="仿宋" w:cs="仿宋"/>
                <w:color w:val="auto"/>
                <w:szCs w:val="21"/>
                <w:highlight w:val="none"/>
              </w:rPr>
              <w:t>〔</w:t>
            </w:r>
            <w:r>
              <w:rPr>
                <w:rFonts w:hint="eastAsia" w:ascii="宋体" w:hAnsi="宋体" w:cs="宋体"/>
                <w:color w:val="auto"/>
                <w:szCs w:val="21"/>
                <w:highlight w:val="none"/>
              </w:rPr>
              <w:t>2017</w:t>
            </w:r>
            <w:r>
              <w:rPr>
                <w:rFonts w:hint="eastAsia" w:ascii="仿宋" w:hAnsi="仿宋" w:eastAsia="仿宋" w:cs="仿宋"/>
                <w:color w:val="auto"/>
                <w:szCs w:val="21"/>
                <w:highlight w:val="none"/>
              </w:rPr>
              <w:t>〕</w:t>
            </w:r>
            <w:r>
              <w:rPr>
                <w:rFonts w:hint="eastAsia" w:ascii="宋体" w:hAnsi="宋体" w:cs="宋体"/>
                <w:color w:val="auto"/>
                <w:szCs w:val="21"/>
                <w:highlight w:val="none"/>
              </w:rPr>
              <w:t>1号文的相应规定，招标文件中应当明确投标人和项目经理承担过单个类似及以上工程的分值。</w:t>
            </w:r>
          </w:p>
        </w:tc>
      </w:tr>
    </w:tbl>
    <w:p>
      <w:pPr>
        <w:widowControl/>
        <w:jc w:val="left"/>
        <w:rPr>
          <w:color w:val="auto"/>
          <w:highlight w:val="none"/>
        </w:rPr>
      </w:pPr>
      <w:r>
        <w:rPr>
          <w:b/>
          <w:bCs/>
          <w:color w:val="auto"/>
          <w:kern w:val="44"/>
          <w:sz w:val="32"/>
          <w:szCs w:val="32"/>
          <w:highlight w:val="none"/>
        </w:rPr>
        <w:br w:type="page"/>
      </w:r>
    </w:p>
    <w:p>
      <w:pPr>
        <w:pStyle w:val="5"/>
        <w:spacing w:line="360" w:lineRule="auto"/>
        <w:rPr>
          <w:rFonts w:ascii="宋体" w:hAnsi="宋体" w:cs="宋体"/>
          <w:color w:val="auto"/>
          <w:highlight w:val="none"/>
        </w:rPr>
      </w:pPr>
      <w:bookmarkStart w:id="643" w:name="_Toc8479"/>
      <w:bookmarkStart w:id="644" w:name="_Toc17042"/>
      <w:bookmarkStart w:id="645" w:name="_Toc29599"/>
      <w:bookmarkStart w:id="646" w:name="_Toc14244"/>
      <w:bookmarkStart w:id="647" w:name="_Toc21903"/>
      <w:bookmarkStart w:id="648" w:name="_Toc530564467"/>
      <w:bookmarkStart w:id="649" w:name="_Toc10906"/>
      <w:r>
        <w:rPr>
          <w:rFonts w:hint="eastAsia" w:ascii="宋体" w:hAnsi="宋体" w:cs="宋体"/>
          <w:color w:val="auto"/>
          <w:highlight w:val="none"/>
        </w:rPr>
        <w:t>1. 评审标准</w:t>
      </w:r>
      <w:bookmarkEnd w:id="643"/>
      <w:bookmarkEnd w:id="644"/>
      <w:bookmarkEnd w:id="645"/>
      <w:bookmarkEnd w:id="646"/>
      <w:bookmarkEnd w:id="647"/>
      <w:bookmarkEnd w:id="648"/>
      <w:bookmarkEnd w:id="649"/>
    </w:p>
    <w:p>
      <w:pPr>
        <w:pStyle w:val="6"/>
        <w:rPr>
          <w:rFonts w:ascii="宋体" w:hAnsi="宋体" w:cs="宋体"/>
          <w:color w:val="auto"/>
          <w:highlight w:val="none"/>
        </w:rPr>
      </w:pPr>
      <w:bookmarkStart w:id="650" w:name="_Toc18567"/>
      <w:bookmarkStart w:id="651" w:name="_Toc23816"/>
      <w:bookmarkStart w:id="652" w:name="_Toc5492"/>
      <w:bookmarkStart w:id="653" w:name="_Toc29587"/>
      <w:bookmarkStart w:id="654" w:name="_Toc13754"/>
      <w:bookmarkStart w:id="655" w:name="_Toc530564468"/>
      <w:bookmarkStart w:id="656" w:name="_Toc13294"/>
      <w:r>
        <w:rPr>
          <w:rFonts w:hint="eastAsia" w:ascii="宋体" w:hAnsi="宋体" w:cs="宋体"/>
          <w:color w:val="auto"/>
          <w:highlight w:val="none"/>
        </w:rPr>
        <w:t>1.1初步评审标准</w:t>
      </w:r>
      <w:bookmarkEnd w:id="650"/>
      <w:bookmarkEnd w:id="651"/>
      <w:bookmarkEnd w:id="652"/>
      <w:bookmarkEnd w:id="653"/>
      <w:bookmarkEnd w:id="654"/>
      <w:bookmarkEnd w:id="655"/>
      <w:bookmarkEnd w:id="656"/>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1.1.1 形式性评审标准：见评标办法前附表。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1.1.2 资格评审标准：见评标办法前附表。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1.1.3 响应性评审标准：见评标办法前附表。</w:t>
      </w:r>
    </w:p>
    <w:p>
      <w:pPr>
        <w:pStyle w:val="6"/>
        <w:rPr>
          <w:rFonts w:ascii="宋体" w:hAnsi="宋体" w:cs="宋体"/>
          <w:color w:val="auto"/>
          <w:highlight w:val="none"/>
        </w:rPr>
      </w:pPr>
      <w:bookmarkStart w:id="657" w:name="_Toc23784"/>
      <w:bookmarkStart w:id="658" w:name="_Toc530564469"/>
      <w:bookmarkStart w:id="659" w:name="_Toc9247"/>
      <w:bookmarkStart w:id="660" w:name="_Toc1988"/>
      <w:bookmarkStart w:id="661" w:name="_Toc1256"/>
      <w:bookmarkStart w:id="662" w:name="_Toc7619"/>
      <w:bookmarkStart w:id="663" w:name="_Toc11179"/>
      <w:r>
        <w:rPr>
          <w:rFonts w:hint="eastAsia" w:ascii="宋体" w:hAnsi="宋体" w:cs="宋体"/>
          <w:color w:val="auto"/>
          <w:highlight w:val="none"/>
        </w:rPr>
        <w:t>1.2详细评审标准</w:t>
      </w:r>
      <w:bookmarkEnd w:id="657"/>
      <w:bookmarkEnd w:id="658"/>
      <w:bookmarkEnd w:id="659"/>
      <w:bookmarkEnd w:id="660"/>
      <w:bookmarkEnd w:id="661"/>
      <w:bookmarkEnd w:id="662"/>
      <w:bookmarkEnd w:id="663"/>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1.2.1 商务标主要由项目管理机构、投标人类似工程业绩、工程总承包项目经理类似工程业绩等组成，具体评审标准见评标办法。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1.2.2 经济标主要由投标报价组成，具体评审标准见评标办法。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1.2.3技术标主要由项目管理组织方案组成，具体评审标准见评标办法。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1.2.4 各评审因素的具体分值由招标人参照综合评估法的评分细则制订。</w:t>
      </w:r>
    </w:p>
    <w:p>
      <w:pPr>
        <w:pStyle w:val="5"/>
        <w:spacing w:line="360" w:lineRule="auto"/>
        <w:rPr>
          <w:rFonts w:ascii="宋体" w:hAnsi="宋体" w:cs="宋体"/>
          <w:color w:val="auto"/>
          <w:highlight w:val="none"/>
        </w:rPr>
      </w:pPr>
      <w:bookmarkStart w:id="664" w:name="_Toc12871"/>
      <w:bookmarkStart w:id="665" w:name="_Toc30803"/>
      <w:bookmarkStart w:id="666" w:name="_Toc30783"/>
      <w:bookmarkStart w:id="667" w:name="_Toc14498"/>
      <w:bookmarkStart w:id="668" w:name="_Toc29099"/>
      <w:bookmarkStart w:id="669" w:name="_Toc8683"/>
      <w:r>
        <w:rPr>
          <w:rFonts w:hint="eastAsia" w:ascii="宋体" w:hAnsi="宋体" w:cs="宋体"/>
          <w:color w:val="auto"/>
          <w:highlight w:val="none"/>
        </w:rPr>
        <w:t>2. 评标程序</w:t>
      </w:r>
      <w:bookmarkEnd w:id="664"/>
      <w:bookmarkEnd w:id="665"/>
      <w:bookmarkEnd w:id="666"/>
      <w:bookmarkEnd w:id="667"/>
      <w:bookmarkEnd w:id="668"/>
      <w:bookmarkEnd w:id="669"/>
    </w:p>
    <w:p>
      <w:pPr>
        <w:pStyle w:val="6"/>
        <w:rPr>
          <w:rFonts w:ascii="宋体" w:hAnsi="宋体" w:cs="宋体"/>
          <w:color w:val="auto"/>
          <w:highlight w:val="none"/>
        </w:rPr>
      </w:pPr>
      <w:bookmarkStart w:id="670" w:name="_Toc70"/>
      <w:bookmarkStart w:id="671" w:name="_Toc9745"/>
      <w:bookmarkStart w:id="672" w:name="_Toc29053"/>
      <w:bookmarkStart w:id="673" w:name="_Toc6166"/>
      <w:bookmarkStart w:id="674" w:name="_Toc11905"/>
      <w:bookmarkStart w:id="675" w:name="_Toc8417"/>
      <w:r>
        <w:rPr>
          <w:rFonts w:hint="eastAsia" w:ascii="宋体" w:hAnsi="宋体" w:cs="宋体"/>
          <w:color w:val="auto"/>
          <w:highlight w:val="none"/>
        </w:rPr>
        <w:t>2.1评标准备</w:t>
      </w:r>
      <w:bookmarkEnd w:id="670"/>
      <w:bookmarkEnd w:id="671"/>
      <w:bookmarkEnd w:id="672"/>
      <w:bookmarkEnd w:id="673"/>
      <w:bookmarkEnd w:id="674"/>
      <w:bookmarkEnd w:id="675"/>
    </w:p>
    <w:p>
      <w:pPr>
        <w:spacing w:line="360" w:lineRule="auto"/>
        <w:ind w:firstLine="315" w:firstLineChars="150"/>
        <w:rPr>
          <w:color w:val="auto"/>
          <w:highlight w:val="none"/>
        </w:rPr>
      </w:pPr>
      <w:r>
        <w:rPr>
          <w:rFonts w:hint="eastAsia"/>
          <w:color w:val="auto"/>
          <w:highlight w:val="none"/>
        </w:rPr>
        <w:t>2.1.1评标委员会成员到达评标现场时应在签到表上签到以证明其出席。</w:t>
      </w:r>
    </w:p>
    <w:p>
      <w:pPr>
        <w:spacing w:line="360" w:lineRule="auto"/>
        <w:ind w:firstLine="315" w:firstLineChars="150"/>
        <w:rPr>
          <w:color w:val="auto"/>
          <w:highlight w:val="none"/>
        </w:rPr>
      </w:pPr>
      <w:r>
        <w:rPr>
          <w:rFonts w:hint="eastAsia"/>
          <w:color w:val="auto"/>
          <w:highlight w:val="none"/>
        </w:rPr>
        <w:t>2.1.2评标委员会首先推选一名评标委员会主任。评标委员会主任负责评标活动的组织领导工作。</w:t>
      </w:r>
    </w:p>
    <w:p>
      <w:pPr>
        <w:spacing w:line="360" w:lineRule="auto"/>
        <w:ind w:firstLine="315" w:firstLineChars="150"/>
        <w:rPr>
          <w:color w:val="auto"/>
          <w:highlight w:val="none"/>
        </w:rPr>
      </w:pPr>
      <w:r>
        <w:rPr>
          <w:rFonts w:hint="eastAsia"/>
          <w:color w:val="auto"/>
          <w:highlight w:val="none"/>
        </w:rPr>
        <w:t>2.1.3评标委员会主任应组织评标委员会成员认真研究招标文件，了解和熟悉招标目的、招标范围、质量标准和工期要求等，掌握评标标准和方法。</w:t>
      </w:r>
    </w:p>
    <w:p>
      <w:pPr>
        <w:spacing w:line="360" w:lineRule="auto"/>
        <w:ind w:firstLine="315" w:firstLineChars="150"/>
        <w:rPr>
          <w:rFonts w:ascii="宋体"/>
          <w:color w:val="auto"/>
          <w:highlight w:val="none"/>
        </w:rPr>
      </w:pPr>
      <w:r>
        <w:rPr>
          <w:rFonts w:hint="eastAsia"/>
          <w:color w:val="auto"/>
          <w:highlight w:val="none"/>
        </w:rPr>
        <w:t>2.1.4招标</w:t>
      </w:r>
      <w:r>
        <w:rPr>
          <w:rFonts w:hint="eastAsia" w:ascii="宋体" w:hAnsi="宋体"/>
          <w:color w:val="auto"/>
          <w:highlight w:val="none"/>
        </w:rPr>
        <w:t>人或招标代理机构应向评标委员会提供评标所需的文件、材料等，包括但不限于招标文件、开标记录、招标人或评标委员会认为必要的其他文件、材料等。</w:t>
      </w:r>
    </w:p>
    <w:p>
      <w:pPr>
        <w:pStyle w:val="6"/>
        <w:rPr>
          <w:rFonts w:ascii="宋体" w:hAnsi="宋体" w:cs="宋体"/>
          <w:color w:val="auto"/>
          <w:highlight w:val="none"/>
        </w:rPr>
      </w:pPr>
      <w:bookmarkStart w:id="676" w:name="_Toc25488"/>
      <w:bookmarkStart w:id="677" w:name="_Toc26853"/>
      <w:bookmarkStart w:id="678" w:name="_Toc15197"/>
      <w:bookmarkStart w:id="679" w:name="_Toc1183"/>
      <w:bookmarkStart w:id="680" w:name="_Toc14232"/>
      <w:bookmarkStart w:id="681" w:name="_Toc207"/>
      <w:r>
        <w:rPr>
          <w:rFonts w:hint="eastAsia" w:ascii="宋体" w:hAnsi="宋体" w:cs="宋体"/>
          <w:color w:val="auto"/>
          <w:highlight w:val="none"/>
        </w:rPr>
        <w:t>2.2初步评审</w:t>
      </w:r>
      <w:bookmarkEnd w:id="676"/>
      <w:bookmarkEnd w:id="677"/>
      <w:bookmarkEnd w:id="678"/>
      <w:bookmarkEnd w:id="679"/>
      <w:bookmarkEnd w:id="680"/>
      <w:bookmarkEnd w:id="681"/>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2.2.1形式性评审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2.2.2资格评审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2.2.3响应性评审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2.2.4投标报价有算术错误的，评标委员会按以下原则对投标报价进行修正，修正的价格经投标人书面确认后具有约束力。投标人不接受修正价格的，评标委员会应当否决其投标。</w:t>
      </w:r>
      <w:r>
        <w:rPr>
          <w:rFonts w:hint="eastAsia" w:ascii="宋体" w:hAnsi="宋体" w:cs="仿宋_GB2312"/>
          <w:color w:val="auto"/>
          <w:kern w:val="0"/>
          <w:szCs w:val="21"/>
          <w:highlight w:val="none"/>
        </w:rPr>
        <w:t>修正后的投标报价高于招标人设置的</w:t>
      </w:r>
      <w:r>
        <w:rPr>
          <w:rFonts w:hint="eastAsia" w:ascii="宋体" w:hAnsi="宋体" w:cs="宋体"/>
          <w:color w:val="auto"/>
          <w:szCs w:val="32"/>
          <w:highlight w:val="none"/>
          <w:lang w:val="en-US" w:eastAsia="zh-CN"/>
        </w:rPr>
        <w:t>最高投标限价</w:t>
      </w:r>
      <w:r>
        <w:rPr>
          <w:rFonts w:hint="eastAsia" w:ascii="宋体" w:hAnsi="宋体" w:cs="仿宋_GB2312"/>
          <w:color w:val="auto"/>
          <w:kern w:val="0"/>
          <w:szCs w:val="21"/>
          <w:highlight w:val="none"/>
        </w:rPr>
        <w:t>，</w:t>
      </w:r>
      <w:r>
        <w:rPr>
          <w:rFonts w:hint="eastAsia"/>
          <w:color w:val="auto"/>
          <w:highlight w:val="none"/>
        </w:rPr>
        <w:t>评标委员会应当否决其投标。</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（1）投标文件中的大写金额与小写金额不一致的，以大写金额为准；</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（2）总价金额与依据单价计算出的结果不一致的，以单价金额为准修正总价，但单价金额小数点有明显错误、四舍五入原因的除外；</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2.2.5澄清、说明或补正</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在初步评审过程中，评标委员会应当就投标文件中不明确的内容要求投标人进行澄清、说明或补正，澄清、说明或补正按照本章第2.4款的规定进行。</w:t>
      </w:r>
    </w:p>
    <w:p>
      <w:pPr>
        <w:spacing w:line="360" w:lineRule="auto"/>
        <w:rPr>
          <w:rFonts w:ascii="宋体" w:hAnsi="宋体" w:cs="宋体"/>
          <w:color w:val="auto"/>
          <w:highlight w:val="none"/>
        </w:rPr>
      </w:pPr>
      <w:r>
        <w:rPr>
          <w:rFonts w:hint="eastAsia" w:ascii="宋体" w:hAnsi="宋体" w:cs="宋体"/>
          <w:color w:val="auto"/>
          <w:highlight w:val="none"/>
        </w:rPr>
        <w:t xml:space="preserve">    2.2.6投标文件有下列情况之一的，属于重大偏差，视为未能对招标文件作出实质性响应，应当作为无效投标予以否决：</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（1）投标文件中的投标函未加盖投标人的公章；</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（2）投标文件中的投标函未加盖企业法定代表人（或企业法定代表人委托代理人）印章（或签字）的；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（3）投标函加盖企业法定代表人委托代理人印章（或签字），企业法定代表人委托代理人没有合法、有效的委托书（原件）的；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（4）投标人资质条件不符合国家有关规定，或不满足招标文件规定的资格条件的；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（5）投标人名称或组织结构与资格预审时不一致的；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（6）除在投标截止时间前经招标人书面同意外，</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（7）组成联合体投标未提供联合体各方共同投标协议的；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（8）在同一招标项目中，联合体成员以自己名义单独投标或者参加其他联合体投标的；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（9）联合体成员与资格预审确定的结果不一致的；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（10）投标报价低于工程成本或者高于招标文件设定的最高投标限价的；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（11）同一投标人提交两个及以上不同的投标文件或者投标报价，但招标文件要求提交备选投标的除外；</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（12）投标文件的报价清单与招标文件明确列出的不可竞争费用项目或费率或计算基础不一致的；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（13）未按招标文件要求提供投标保证金的；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（14）投标文件载明的招标项目完成期限超过招标文件规定的期限的；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（15）明显不符合技术规范、技术标准的要求的；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（16）投标文件载明的货物包装方式、检验标准和方法等不符合招标文件的要求的；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（17）投标文件提出了不能满足招标文件要求或招标人不能接受的工程验收、计量、价款结算和支付办法的；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（18）未按招标文件要求提供电子投标文件，或者投标文件未能解密且按照招标文件明确的投标文件解密失败的补救方案补救不成功的；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（19）不同投标人的投标文件以及投标文件制作过程出现了评标委员会认为不应当雷同的情况的；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（20）以他人的名义投标、串通投标、以行贿手段谋取中标或者以其他弄虚作假方式投标的；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（21）项目管理组织方案存在明显技术方案错误、或者不符合招标文件有关暗标要求的；</w:t>
      </w:r>
    </w:p>
    <w:p>
      <w:pPr>
        <w:spacing w:line="360" w:lineRule="auto"/>
        <w:ind w:firstLine="420" w:firstLineChars="200"/>
        <w:rPr>
          <w:rFonts w:hint="eastAsia" w:ascii="宋体" w:hAnsi="宋体" w:cs="宋体"/>
          <w:color w:val="auto"/>
          <w:highlight w:val="none"/>
          <w:lang w:eastAsia="zh-CN"/>
        </w:rPr>
      </w:pPr>
      <w:r>
        <w:rPr>
          <w:rFonts w:hint="eastAsia" w:ascii="宋体" w:hAnsi="宋体" w:cs="宋体"/>
          <w:color w:val="auto"/>
          <w:highlight w:val="none"/>
        </w:rPr>
        <w:t>（22）投标文件关键内容模糊、无法辩认的</w:t>
      </w:r>
      <w:r>
        <w:rPr>
          <w:rFonts w:hint="eastAsia" w:ascii="宋体" w:hAnsi="宋体" w:cs="宋体"/>
          <w:color w:val="auto"/>
          <w:highlight w:val="none"/>
          <w:lang w:eastAsia="zh-CN"/>
        </w:rPr>
        <w:t>；</w:t>
      </w:r>
    </w:p>
    <w:p>
      <w:pPr>
        <w:pStyle w:val="190"/>
        <w:spacing w:line="360" w:lineRule="auto"/>
        <w:ind w:firstLine="420" w:firstLineChars="200"/>
        <w:rPr>
          <w:bCs/>
          <w:color w:val="auto"/>
          <w:highlight w:val="none"/>
        </w:rPr>
      </w:pPr>
      <w:r>
        <w:rPr>
          <w:rFonts w:hint="eastAsia"/>
          <w:bCs/>
          <w:color w:val="auto"/>
          <w:highlight w:val="none"/>
        </w:rPr>
        <w:t>（2</w:t>
      </w:r>
      <w:r>
        <w:rPr>
          <w:rFonts w:hint="eastAsia"/>
          <w:bCs/>
          <w:color w:val="auto"/>
          <w:highlight w:val="none"/>
          <w:lang w:val="en-US" w:eastAsia="zh-CN"/>
        </w:rPr>
        <w:t>3</w:t>
      </w:r>
      <w:r>
        <w:rPr>
          <w:rFonts w:hint="eastAsia"/>
          <w:bCs/>
          <w:color w:val="auto"/>
          <w:highlight w:val="none"/>
        </w:rPr>
        <w:t>）未按招标文件要求提供诚信投标承诺书的；</w:t>
      </w:r>
    </w:p>
    <w:p>
      <w:pPr>
        <w:pStyle w:val="190"/>
        <w:spacing w:line="360" w:lineRule="auto"/>
        <w:ind w:firstLine="420" w:firstLineChars="200"/>
        <w:rPr>
          <w:rFonts w:hint="eastAsia" w:eastAsia="宋体"/>
          <w:color w:val="auto"/>
          <w:highlight w:val="none"/>
          <w:lang w:eastAsia="zh-CN"/>
        </w:rPr>
      </w:pPr>
      <w:r>
        <w:rPr>
          <w:rFonts w:hint="eastAsia"/>
          <w:color w:val="auto"/>
          <w:highlight w:val="none"/>
        </w:rPr>
        <w:t>（2</w:t>
      </w:r>
      <w:r>
        <w:rPr>
          <w:rFonts w:hint="eastAsia"/>
          <w:color w:val="auto"/>
          <w:highlight w:val="none"/>
          <w:lang w:val="en-US" w:eastAsia="zh-CN"/>
        </w:rPr>
        <w:t>4</w:t>
      </w:r>
      <w:r>
        <w:rPr>
          <w:rFonts w:hint="eastAsia"/>
          <w:color w:val="auto"/>
          <w:highlight w:val="none"/>
        </w:rPr>
        <w:t>）不按评标委员会要求澄清、说明或补正的</w:t>
      </w:r>
      <w:r>
        <w:rPr>
          <w:rFonts w:hint="eastAsia"/>
          <w:color w:val="auto"/>
          <w:highlight w:val="none"/>
          <w:lang w:eastAsia="zh-CN"/>
        </w:rPr>
        <w:t>。</w:t>
      </w:r>
    </w:p>
    <w:p>
      <w:pPr>
        <w:pStyle w:val="6"/>
        <w:rPr>
          <w:rFonts w:ascii="宋体" w:hAnsi="宋体" w:cs="宋体"/>
          <w:color w:val="auto"/>
          <w:highlight w:val="none"/>
        </w:rPr>
      </w:pPr>
      <w:bookmarkStart w:id="682" w:name="_Toc19817"/>
      <w:bookmarkStart w:id="683" w:name="_Toc26564"/>
      <w:bookmarkStart w:id="684" w:name="_Toc28208"/>
      <w:bookmarkStart w:id="685" w:name="_Toc28937"/>
      <w:bookmarkStart w:id="686" w:name="_Toc22294"/>
      <w:bookmarkStart w:id="687" w:name="_Toc10977"/>
      <w:r>
        <w:rPr>
          <w:rFonts w:hint="eastAsia" w:ascii="宋体" w:hAnsi="宋体" w:cs="宋体"/>
          <w:color w:val="auto"/>
          <w:highlight w:val="none"/>
        </w:rPr>
        <w:t>2.3详细评审</w:t>
      </w:r>
      <w:bookmarkEnd w:id="682"/>
      <w:bookmarkEnd w:id="683"/>
      <w:bookmarkEnd w:id="684"/>
      <w:bookmarkEnd w:id="685"/>
      <w:bookmarkEnd w:id="686"/>
      <w:bookmarkEnd w:id="687"/>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2.3.1</w:t>
      </w:r>
      <w:r>
        <w:rPr>
          <w:rFonts w:hint="eastAsia" w:ascii="宋体" w:hAnsi="宋体" w:cs="宋体"/>
          <w:color w:val="auto"/>
          <w:szCs w:val="21"/>
          <w:highlight w:val="none"/>
        </w:rPr>
        <w:t>评标委员会对满足招标文件实质要求的投标文件的，按照本章前附表规定的评分标准进行打分，并按最终得分由高到低顺序推荐投标人须知前附表第7.1.1款规定数量的中标候选人。综合评分相等时，以投标报价低的优先；投标报价也相等的，由招标人自行确定。</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2.3.2评分分值计算保留小数点后两位，第三位“四舍五入”。</w:t>
      </w:r>
    </w:p>
    <w:p>
      <w:pPr>
        <w:pStyle w:val="6"/>
        <w:rPr>
          <w:rFonts w:ascii="宋体" w:hAnsi="宋体" w:cs="宋体"/>
          <w:color w:val="auto"/>
          <w:highlight w:val="none"/>
        </w:rPr>
      </w:pPr>
      <w:bookmarkStart w:id="688" w:name="_Toc2412"/>
      <w:bookmarkStart w:id="689" w:name="_Toc9555"/>
      <w:bookmarkStart w:id="690" w:name="_Toc19479"/>
      <w:bookmarkStart w:id="691" w:name="_Toc31909"/>
      <w:bookmarkStart w:id="692" w:name="_Toc31795"/>
      <w:bookmarkStart w:id="693" w:name="_Toc14586"/>
      <w:r>
        <w:rPr>
          <w:rFonts w:hint="eastAsia" w:ascii="宋体" w:hAnsi="宋体" w:cs="宋体"/>
          <w:color w:val="auto"/>
          <w:highlight w:val="none"/>
        </w:rPr>
        <w:t>2.4投标文件的澄清和补正</w:t>
      </w:r>
      <w:bookmarkEnd w:id="688"/>
      <w:bookmarkEnd w:id="689"/>
      <w:bookmarkEnd w:id="690"/>
      <w:bookmarkEnd w:id="691"/>
      <w:bookmarkEnd w:id="692"/>
      <w:bookmarkEnd w:id="693"/>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2.4.1在评标过程中，评标委员会可以书面形式要求投标人对所提交的投标文件中不明确的内容进行书面澄清或说明。评标委员会不接受投标人主动提出的澄清、说明或补正。</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2.4.2 澄清、说明和补正不得改变投标文件的实质性内容</w:t>
      </w:r>
      <w:r>
        <w:rPr>
          <w:rFonts w:hint="eastAsia" w:ascii="宋体" w:hAnsi="宋体" w:cs="仿宋_GB2312"/>
          <w:color w:val="auto"/>
          <w:kern w:val="0"/>
          <w:szCs w:val="21"/>
          <w:highlight w:val="none"/>
        </w:rPr>
        <w:t>（算术性错误修正的除外）</w:t>
      </w:r>
      <w:r>
        <w:rPr>
          <w:rFonts w:hint="eastAsia" w:ascii="宋体" w:hAnsi="宋体" w:cs="宋体"/>
          <w:color w:val="auto"/>
          <w:highlight w:val="none"/>
        </w:rPr>
        <w:t>。投标人的书面澄清、说明和补正属于投标文件的组成部分。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2.4.3 评标委员会对投标人提交的澄清、说明或补正有疑问的，可以要求投标人进一步澄清、说明或补正，直至满足评标委员会的要求。</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2.4.4 在评标过程中，评标委员会发现投标人的报价明显低于其他投标报价，使得其投标报价可能低于其个别成本的，</w:t>
      </w:r>
      <w:r>
        <w:rPr>
          <w:rFonts w:hint="eastAsia" w:ascii="宋体" w:hAnsi="宋体" w:cs="宋体"/>
          <w:color w:val="auto"/>
          <w:szCs w:val="22"/>
          <w:highlight w:val="none"/>
        </w:rPr>
        <w:t>有可能影响质量或者不能诚信履约的，应当要求其在评标现场合理的时间内提供书面说明</w:t>
      </w:r>
      <w:r>
        <w:rPr>
          <w:rFonts w:hint="eastAsia" w:ascii="宋体" w:hAnsi="宋体" w:cs="宋体"/>
          <w:color w:val="auto"/>
          <w:highlight w:val="none"/>
        </w:rPr>
        <w:t>并提供相关证明材料。投标人不能合理说明或者不能提供相关证明材料的，评标委员会应当否决其投标。</w:t>
      </w:r>
    </w:p>
    <w:p>
      <w:pPr>
        <w:pStyle w:val="6"/>
        <w:rPr>
          <w:rFonts w:ascii="宋体" w:hAnsi="宋体" w:cs="宋体"/>
          <w:color w:val="auto"/>
          <w:highlight w:val="none"/>
        </w:rPr>
      </w:pPr>
      <w:bookmarkStart w:id="694" w:name="_Toc16030"/>
      <w:bookmarkStart w:id="695" w:name="_Toc7202"/>
      <w:bookmarkStart w:id="696" w:name="_Toc28797"/>
      <w:bookmarkStart w:id="697" w:name="_Toc6656"/>
      <w:bookmarkStart w:id="698" w:name="_Toc12425"/>
      <w:bookmarkStart w:id="699" w:name="_Toc24408"/>
      <w:r>
        <w:rPr>
          <w:rFonts w:hint="eastAsia" w:ascii="宋体" w:hAnsi="宋体" w:cs="宋体"/>
          <w:color w:val="auto"/>
          <w:highlight w:val="none"/>
        </w:rPr>
        <w:t>2.5推荐中标候选人</w:t>
      </w:r>
      <w:bookmarkEnd w:id="694"/>
      <w:bookmarkEnd w:id="695"/>
      <w:bookmarkEnd w:id="696"/>
      <w:bookmarkEnd w:id="697"/>
      <w:bookmarkEnd w:id="698"/>
      <w:bookmarkEnd w:id="699"/>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评标委员会在推荐中标候选人时，应遵照以下原则:</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2.5.1评标委员会应当按照投标人须知前附表7.1.1款规定，推荐相应数量的中标候选人。</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2.5.2</w:t>
      </w:r>
      <w:r>
        <w:rPr>
          <w:rFonts w:hint="eastAsia" w:ascii="宋体" w:hAnsi="宋体" w:eastAsia="宋体" w:cs="宋体"/>
          <w:color w:val="auto"/>
          <w:highlight w:val="none"/>
        </w:rPr>
        <w:t>如果评标委员会根据本章的规定作无效标处理后，有效投标不足三个，</w:t>
      </w:r>
      <w:r>
        <w:rPr>
          <w:rFonts w:hint="eastAsia" w:ascii="宋体" w:hAnsi="宋体" w:eastAsia="宋体" w:cs="宋体"/>
          <w:color w:val="auto"/>
          <w:kern w:val="2"/>
          <w:sz w:val="21"/>
          <w:szCs w:val="24"/>
          <w:highlight w:val="none"/>
        </w:rPr>
        <w:t>评标委员会应当对有效投标是否仍具有竞争性进行评审</w:t>
      </w:r>
      <w:r>
        <w:rPr>
          <w:rFonts w:hint="eastAsia" w:ascii="宋体" w:hAnsi="宋体" w:eastAsia="宋体" w:cs="宋体"/>
          <w:color w:val="auto"/>
          <w:highlight w:val="none"/>
          <w:lang w:eastAsia="zh-CN"/>
        </w:rPr>
        <w:t>；</w:t>
      </w:r>
      <w:r>
        <w:rPr>
          <w:rFonts w:hint="eastAsia" w:ascii="宋体" w:hAnsi="宋体" w:eastAsia="宋体" w:cs="宋体"/>
          <w:color w:val="auto"/>
          <w:kern w:val="2"/>
          <w:sz w:val="21"/>
          <w:szCs w:val="24"/>
          <w:highlight w:val="none"/>
        </w:rPr>
        <w:t>评标委员会一致认为有效投标仍具有竞争性的</w:t>
      </w: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应当继续</w:t>
      </w:r>
      <w:r>
        <w:rPr>
          <w:rFonts w:hint="eastAsia" w:ascii="宋体" w:hAnsi="宋体" w:eastAsia="宋体" w:cs="宋体"/>
          <w:color w:val="auto"/>
          <w:highlight w:val="none"/>
        </w:rPr>
        <w:t>按</w:t>
      </w:r>
      <w:r>
        <w:rPr>
          <w:rFonts w:hint="eastAsia" w:ascii="宋体" w:hAnsi="宋体" w:eastAsia="宋体" w:cs="宋体"/>
          <w:color w:val="auto"/>
          <w:highlight w:val="none"/>
          <w:lang w:val="en-US" w:eastAsia="zh-CN"/>
        </w:rPr>
        <w:t>本章</w:t>
      </w:r>
      <w:r>
        <w:rPr>
          <w:rFonts w:hint="eastAsia"/>
          <w:color w:val="auto"/>
          <w:spacing w:val="-2"/>
          <w:sz w:val="21"/>
          <w:highlight w:val="none"/>
          <w:lang w:val="en-US" w:eastAsia="zh-CN"/>
        </w:rPr>
        <w:t>2.5.1款</w:t>
      </w:r>
      <w:r>
        <w:rPr>
          <w:rFonts w:hint="eastAsia"/>
          <w:color w:val="auto"/>
          <w:spacing w:val="-2"/>
          <w:sz w:val="21"/>
          <w:highlight w:val="none"/>
          <w:lang w:eastAsia="zh-CN"/>
        </w:rPr>
        <w:t>推荐中标候选人</w:t>
      </w:r>
      <w:r>
        <w:rPr>
          <w:rFonts w:hint="eastAsia" w:ascii="宋体" w:hAnsi="宋体" w:eastAsia="宋体" w:cs="宋体"/>
          <w:color w:val="auto"/>
          <w:highlight w:val="none"/>
        </w:rPr>
        <w:t>；</w:t>
      </w:r>
      <w:r>
        <w:rPr>
          <w:rFonts w:hint="eastAsia" w:ascii="宋体" w:hAnsi="宋体" w:eastAsia="宋体" w:cs="宋体"/>
          <w:color w:val="auto"/>
          <w:kern w:val="2"/>
          <w:sz w:val="21"/>
          <w:szCs w:val="24"/>
          <w:highlight w:val="none"/>
        </w:rPr>
        <w:t>评标委员会一致认为有效投标</w:t>
      </w:r>
      <w:r>
        <w:rPr>
          <w:rFonts w:hint="eastAsia" w:ascii="宋体" w:hAnsi="宋体" w:eastAsia="宋体" w:cs="宋体"/>
          <w:color w:val="auto"/>
          <w:kern w:val="2"/>
          <w:sz w:val="21"/>
          <w:szCs w:val="24"/>
          <w:highlight w:val="none"/>
          <w:lang w:val="en-US" w:eastAsia="zh-CN"/>
        </w:rPr>
        <w:t>不</w:t>
      </w:r>
      <w:r>
        <w:rPr>
          <w:rFonts w:hint="eastAsia" w:ascii="宋体" w:hAnsi="宋体" w:eastAsia="宋体" w:cs="宋体"/>
          <w:color w:val="auto"/>
          <w:kern w:val="2"/>
          <w:sz w:val="21"/>
          <w:szCs w:val="24"/>
          <w:highlight w:val="none"/>
        </w:rPr>
        <w:t>具有竞争性的</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应当否决全部投标</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评标委员会对有效投标是否仍具有竞争性无法达成一致意见的，应当否决全部投标。</w:t>
      </w:r>
      <w:r>
        <w:rPr>
          <w:rFonts w:hint="eastAsia" w:ascii="宋体" w:hAnsi="宋体" w:eastAsia="宋体" w:cs="宋体"/>
          <w:color w:val="auto"/>
          <w:kern w:val="2"/>
          <w:sz w:val="21"/>
          <w:szCs w:val="24"/>
          <w:highlight w:val="none"/>
        </w:rPr>
        <w:t>评标委员会应当在评标报告中记载论证过程和结果。</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2.5.3评标委员会完成评标后，应当向招标人提交评标报告。</w:t>
      </w: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pStyle w:val="2"/>
        <w:rPr>
          <w:color w:val="auto"/>
          <w:highlight w:val="none"/>
        </w:rPr>
      </w:pPr>
    </w:p>
    <w:p>
      <w:pPr>
        <w:pStyle w:val="2"/>
        <w:rPr>
          <w:color w:val="auto"/>
          <w:highlight w:val="none"/>
        </w:rPr>
      </w:pPr>
    </w:p>
    <w:p>
      <w:pPr>
        <w:pStyle w:val="2"/>
        <w:rPr>
          <w:color w:val="auto"/>
          <w:highlight w:val="none"/>
        </w:rPr>
      </w:pPr>
    </w:p>
    <w:p>
      <w:pPr>
        <w:pStyle w:val="2"/>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spacing w:line="360" w:lineRule="auto"/>
        <w:ind w:firstLine="420" w:firstLineChars="200"/>
        <w:rPr>
          <w:color w:val="auto"/>
          <w:highlight w:val="none"/>
        </w:rPr>
      </w:pPr>
    </w:p>
    <w:p>
      <w:pPr>
        <w:pStyle w:val="4"/>
        <w:jc w:val="center"/>
        <w:rPr>
          <w:rFonts w:ascii="黑体" w:hAnsi="黑体" w:cs="黑体"/>
          <w:color w:val="auto"/>
          <w:szCs w:val="32"/>
          <w:highlight w:val="none"/>
        </w:rPr>
      </w:pPr>
      <w:bookmarkStart w:id="700" w:name="_Toc24186"/>
      <w:bookmarkStart w:id="701" w:name="_Toc20291"/>
      <w:bookmarkStart w:id="702" w:name="_Toc12608"/>
      <w:bookmarkStart w:id="703" w:name="_Toc1940"/>
      <w:bookmarkStart w:id="704" w:name="_Toc20491"/>
      <w:bookmarkStart w:id="705" w:name="_Toc16261"/>
      <w:r>
        <w:rPr>
          <w:rFonts w:hint="eastAsia" w:ascii="黑体" w:hAnsi="黑体" w:cs="黑体"/>
          <w:color w:val="auto"/>
          <w:szCs w:val="32"/>
          <w:highlight w:val="none"/>
        </w:rPr>
        <w:t>第三章 评标办法（评定分离法</w:t>
      </w:r>
      <w:r>
        <w:rPr>
          <w:rFonts w:hint="eastAsia" w:ascii="黑体" w:hAnsi="黑体" w:cs="黑体"/>
          <w:color w:val="auto"/>
          <w:szCs w:val="32"/>
          <w:highlight w:val="none"/>
          <w:lang w:eastAsia="zh-CN"/>
        </w:rPr>
        <w:t>，</w:t>
      </w:r>
      <w:r>
        <w:rPr>
          <w:rFonts w:hint="eastAsia" w:ascii="黑体" w:hAnsi="黑体" w:cs="黑体"/>
          <w:color w:val="auto"/>
          <w:szCs w:val="32"/>
          <w:highlight w:val="none"/>
          <w:lang w:val="en-US" w:eastAsia="zh-CN"/>
        </w:rPr>
        <w:t>适用</w:t>
      </w:r>
      <w:r>
        <w:rPr>
          <w:rFonts w:hint="eastAsia" w:ascii="宋体" w:hAnsi="宋体" w:cs="宋体"/>
          <w:color w:val="auto"/>
          <w:sz w:val="32"/>
          <w:szCs w:val="32"/>
          <w:highlight w:val="none"/>
          <w:lang w:val="en-US" w:eastAsia="zh-CN"/>
        </w:rPr>
        <w:t>不采用两阶段开评标</w:t>
      </w:r>
      <w:r>
        <w:rPr>
          <w:rFonts w:hint="eastAsia" w:ascii="黑体" w:hAnsi="黑体" w:cs="黑体"/>
          <w:color w:val="auto"/>
          <w:szCs w:val="32"/>
          <w:highlight w:val="none"/>
        </w:rPr>
        <w:t>）</w:t>
      </w:r>
      <w:bookmarkEnd w:id="700"/>
      <w:bookmarkEnd w:id="701"/>
      <w:bookmarkEnd w:id="702"/>
      <w:bookmarkEnd w:id="703"/>
      <w:bookmarkEnd w:id="704"/>
      <w:bookmarkEnd w:id="705"/>
    </w:p>
    <w:p>
      <w:pPr>
        <w:pStyle w:val="5"/>
        <w:spacing w:after="0"/>
        <w:jc w:val="center"/>
        <w:rPr>
          <w:color w:val="auto"/>
          <w:highlight w:val="none"/>
        </w:rPr>
      </w:pPr>
      <w:bookmarkStart w:id="706" w:name="_Toc18258"/>
      <w:bookmarkStart w:id="707" w:name="_Toc21430"/>
      <w:bookmarkStart w:id="708" w:name="_Toc29990"/>
      <w:bookmarkStart w:id="709" w:name="_Toc30117"/>
      <w:bookmarkStart w:id="710" w:name="_Toc18165"/>
      <w:bookmarkStart w:id="711" w:name="_Toc8705"/>
      <w:r>
        <w:rPr>
          <w:rFonts w:hint="eastAsia" w:ascii="黑体" w:hAnsi="黑体" w:eastAsia="黑体" w:cs="黑体"/>
          <w:b w:val="0"/>
          <w:bCs w:val="0"/>
          <w:color w:val="auto"/>
          <w:sz w:val="32"/>
          <w:highlight w:val="none"/>
        </w:rPr>
        <w:t>评标办法前附表</w:t>
      </w:r>
      <w:bookmarkEnd w:id="706"/>
      <w:bookmarkEnd w:id="707"/>
      <w:bookmarkEnd w:id="708"/>
      <w:bookmarkEnd w:id="709"/>
      <w:bookmarkEnd w:id="710"/>
      <w:bookmarkEnd w:id="711"/>
    </w:p>
    <w:tbl>
      <w:tblPr>
        <w:tblStyle w:val="44"/>
        <w:tblW w:w="8727" w:type="dxa"/>
        <w:tblInd w:w="-125" w:type="dxa"/>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Layout w:type="fixed"/>
        <w:tblCellMar>
          <w:top w:w="0" w:type="dxa"/>
          <w:left w:w="0" w:type="dxa"/>
          <w:bottom w:w="0" w:type="dxa"/>
          <w:right w:w="0" w:type="dxa"/>
        </w:tblCellMar>
      </w:tblPr>
      <w:tblGrid>
        <w:gridCol w:w="859"/>
        <w:gridCol w:w="1825"/>
        <w:gridCol w:w="1841"/>
        <w:gridCol w:w="4202"/>
      </w:tblGrid>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727"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初步评审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2684"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条款号</w:t>
            </w: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评审因素</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59"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1.1.1</w:t>
            </w:r>
          </w:p>
        </w:tc>
        <w:tc>
          <w:tcPr>
            <w:tcW w:w="1825"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形式性评审标准</w:t>
            </w: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投标人名称</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与营业执照、资质证书、安全生产许可证一致；</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投标函签字盖章</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有法定代表人的电子签章并加盖法人电子印章</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61"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报价唯一</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只能有一个有效报价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53"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暗标</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textAlignment w:val="center"/>
              <w:rPr>
                <w:rFonts w:ascii="宋体" w:hAnsi="宋体" w:cs="宋体"/>
                <w:color w:val="auto"/>
                <w:szCs w:val="21"/>
                <w:highlight w:val="none"/>
              </w:rPr>
            </w:pPr>
            <w:r>
              <w:rPr>
                <w:rFonts w:hint="eastAsia" w:ascii="宋体" w:hAnsi="宋体" w:cs="宋体"/>
                <w:color w:val="auto"/>
                <w:szCs w:val="21"/>
                <w:highlight w:val="none"/>
              </w:rPr>
              <w:t>符合招标文件有关暗标的要求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63"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textAlignment w:val="center"/>
              <w:rPr>
                <w:rFonts w:ascii="宋体" w:hAnsi="宋体" w:cs="宋体"/>
                <w:color w:val="auto"/>
                <w:szCs w:val="21"/>
                <w:highlight w:val="none"/>
              </w:rPr>
            </w:pP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57" w:hRule="atLeast"/>
        </w:trPr>
        <w:tc>
          <w:tcPr>
            <w:tcW w:w="859"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1.1.2</w:t>
            </w:r>
          </w:p>
        </w:tc>
        <w:tc>
          <w:tcPr>
            <w:tcW w:w="1825"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资格评审标准</w:t>
            </w: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营业执照</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具备有效的营业执照</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53"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安全生产许可证</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具备有效的安全生产许可证（设计单位无须提供）</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53"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szCs w:val="21"/>
                <w:highlight w:val="none"/>
              </w:rPr>
            </w:pPr>
            <w:r>
              <w:rPr>
                <w:rFonts w:hint="eastAsia" w:ascii="宋体" w:hAnsi="宋体" w:eastAsia="宋体" w:cs="宋体"/>
                <w:color w:val="auto"/>
                <w:kern w:val="0"/>
                <w:szCs w:val="21"/>
                <w:highlight w:val="none"/>
              </w:rPr>
              <w:t>企业基本存款账户开户许可证或基本存款账户证明材料</w:t>
            </w:r>
            <w:r>
              <w:rPr>
                <w:rFonts w:hint="eastAsia" w:ascii="宋体" w:hAnsi="宋体" w:eastAsia="宋体" w:cs="宋体"/>
                <w:color w:val="auto"/>
                <w:kern w:val="0"/>
                <w:szCs w:val="21"/>
                <w:highlight w:val="none"/>
                <w:lang w:eastAsia="zh-CN"/>
              </w:rPr>
              <w:t>（</w:t>
            </w:r>
            <w:r>
              <w:rPr>
                <w:rFonts w:hint="eastAsia" w:ascii="宋体" w:hAnsi="宋体" w:eastAsia="宋体" w:cs="宋体"/>
                <w:color w:val="auto"/>
                <w:kern w:val="0"/>
                <w:szCs w:val="21"/>
                <w:highlight w:val="none"/>
                <w:lang w:val="en-US" w:eastAsia="zh-CN"/>
              </w:rPr>
              <w:t>如有</w:t>
            </w:r>
            <w:r>
              <w:rPr>
                <w:rFonts w:hint="eastAsia" w:ascii="宋体" w:hAnsi="宋体" w:eastAsia="宋体" w:cs="宋体"/>
                <w:color w:val="auto"/>
                <w:kern w:val="0"/>
                <w:szCs w:val="21"/>
                <w:highlight w:val="none"/>
                <w:lang w:eastAsia="zh-CN"/>
              </w:rPr>
              <w:t>）</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szCs w:val="21"/>
                <w:highlight w:val="none"/>
              </w:rPr>
            </w:pPr>
            <w:r>
              <w:rPr>
                <w:rFonts w:hint="eastAsia" w:ascii="宋体" w:hAnsi="宋体" w:eastAsia="宋体" w:cs="宋体"/>
                <w:color w:val="auto"/>
                <w:highlight w:val="none"/>
              </w:rPr>
              <w:t>具备</w:t>
            </w:r>
            <w:r>
              <w:rPr>
                <w:rFonts w:hint="eastAsia" w:ascii="宋体" w:hAnsi="宋体" w:eastAsia="宋体" w:cs="宋体"/>
                <w:color w:val="auto"/>
                <w:kern w:val="0"/>
                <w:szCs w:val="21"/>
                <w:highlight w:val="none"/>
              </w:rPr>
              <w:t>企业基本存款账户开户许可证或基本存款账户证明材料</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46"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资质证书</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具备有效的资质证书</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69"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资质等级</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48"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财务要求</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如有</w:t>
            </w:r>
            <w:r>
              <w:rPr>
                <w:rFonts w:hint="eastAsia" w:ascii="宋体" w:hAnsi="宋体" w:cs="宋体"/>
                <w:color w:val="auto"/>
                <w:szCs w:val="21"/>
                <w:highlight w:val="none"/>
                <w:lang w:eastAsia="zh-CN"/>
              </w:rPr>
              <w:t>）</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41"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业绩要求</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49"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highlight w:val="none"/>
              </w:rPr>
              <w:t>拟派工程总承包项目经理</w:t>
            </w:r>
            <w:r>
              <w:rPr>
                <w:rFonts w:hint="eastAsia" w:ascii="宋体" w:hAnsi="宋体" w:cs="宋体"/>
                <w:color w:val="auto"/>
                <w:highlight w:val="none"/>
                <w:lang w:eastAsia="zh-CN"/>
              </w:rPr>
              <w:t>、</w:t>
            </w:r>
            <w:r>
              <w:rPr>
                <w:rFonts w:hint="eastAsia" w:ascii="宋体" w:hAnsi="宋体" w:cs="宋体"/>
                <w:color w:val="auto"/>
                <w:highlight w:val="none"/>
                <w:lang w:val="en-US" w:eastAsia="zh-CN"/>
              </w:rPr>
              <w:t>施工项目负责人、设计负责人</w:t>
            </w:r>
            <w:r>
              <w:rPr>
                <w:rFonts w:hint="eastAsia" w:ascii="宋体" w:hAnsi="宋体" w:cs="宋体"/>
                <w:color w:val="auto"/>
                <w:highlight w:val="none"/>
              </w:rPr>
              <w:t>要求</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49"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color w:val="auto"/>
                <w:highlight w:val="none"/>
              </w:rPr>
              <w:t>信誉要求</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szCs w:val="21"/>
                <w:highlight w:val="none"/>
              </w:rPr>
            </w:pPr>
            <w:r>
              <w:rPr>
                <w:rFonts w:hint="eastAsia" w:ascii="宋体" w:hAnsi="宋体" w:cs="宋体"/>
                <w:color w:val="auto"/>
                <w:highlight w:val="none"/>
              </w:rPr>
              <w:t>符合第二章“投标人须知”第1.4.1项规</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49"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color w:val="auto"/>
                <w:highlight w:val="none"/>
              </w:rPr>
              <w:t>联合体投标人</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szCs w:val="21"/>
                <w:highlight w:val="none"/>
              </w:rPr>
            </w:pPr>
            <w:r>
              <w:rPr>
                <w:rFonts w:hint="eastAsia"/>
                <w:color w:val="auto"/>
                <w:highlight w:val="none"/>
              </w:rPr>
              <w:t>符合第二章“投标人须知”第</w:t>
            </w:r>
            <w:r>
              <w:rPr>
                <w:color w:val="auto"/>
                <w:highlight w:val="none"/>
              </w:rPr>
              <w:t xml:space="preserve"> </w:t>
            </w:r>
            <w:r>
              <w:rPr>
                <w:rFonts w:hint="eastAsia"/>
                <w:color w:val="auto"/>
                <w:highlight w:val="none"/>
                <w:lang w:val="en-US" w:eastAsia="zh-CN"/>
              </w:rPr>
              <w:t>1.4.2</w:t>
            </w:r>
            <w:r>
              <w:rPr>
                <w:rFonts w:hint="eastAsia"/>
                <w:color w:val="auto"/>
                <w:highlight w:val="none"/>
              </w:rPr>
              <w:t>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49" w:hRule="atLeast"/>
        </w:trPr>
        <w:tc>
          <w:tcPr>
            <w:tcW w:w="8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ascii="宋体" w:hAnsi="宋体" w:cs="宋体"/>
                <w:color w:val="auto"/>
                <w:szCs w:val="21"/>
                <w:highlight w:val="none"/>
              </w:rPr>
              <w:t>不存在禁止投标的情形</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eastAsia" w:ascii="宋体" w:hAnsi="宋体" w:cs="宋体"/>
                <w:color w:val="auto"/>
                <w:szCs w:val="21"/>
                <w:highlight w:val="none"/>
              </w:rPr>
            </w:pPr>
            <w:r>
              <w:rPr>
                <w:rFonts w:ascii="宋体" w:hAnsi="宋体" w:cs="宋体"/>
                <w:color w:val="auto"/>
                <w:szCs w:val="21"/>
                <w:highlight w:val="none"/>
              </w:rPr>
              <w:t>不存在第二章</w:t>
            </w:r>
            <w:r>
              <w:rPr>
                <w:rFonts w:eastAsia="Times New Roman"/>
                <w:color w:val="auto"/>
                <w:szCs w:val="21"/>
                <w:highlight w:val="none"/>
              </w:rPr>
              <w:t>“</w:t>
            </w:r>
            <w:r>
              <w:rPr>
                <w:rFonts w:ascii="宋体" w:hAnsi="宋体" w:cs="宋体"/>
                <w:color w:val="auto"/>
                <w:szCs w:val="21"/>
                <w:highlight w:val="none"/>
              </w:rPr>
              <w:t>投标人须知</w:t>
            </w:r>
            <w:r>
              <w:rPr>
                <w:rFonts w:eastAsia="Times New Roman"/>
                <w:color w:val="auto"/>
                <w:szCs w:val="21"/>
                <w:highlight w:val="none"/>
              </w:rPr>
              <w:t>”</w:t>
            </w:r>
            <w:r>
              <w:rPr>
                <w:rFonts w:ascii="宋体" w:hAnsi="宋体" w:cs="宋体"/>
                <w:color w:val="auto"/>
                <w:szCs w:val="21"/>
                <w:highlight w:val="none"/>
              </w:rPr>
              <w:t>第</w:t>
            </w:r>
            <w:r>
              <w:rPr>
                <w:rFonts w:eastAsia="Times New Roman"/>
                <w:color w:val="auto"/>
                <w:szCs w:val="21"/>
                <w:highlight w:val="none"/>
              </w:rPr>
              <w:t>1.4.3</w:t>
            </w:r>
            <w:r>
              <w:rPr>
                <w:rFonts w:ascii="宋体" w:hAnsi="宋体" w:cs="宋体"/>
                <w:color w:val="auto"/>
                <w:szCs w:val="21"/>
                <w:highlight w:val="none"/>
              </w:rPr>
              <w:t>项规定的任何一种情形</w:t>
            </w: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59" w:type="dxa"/>
            <w:vMerge w:val="continue"/>
            <w:tcBorders>
              <w:top w:val="outset" w:color="auto" w:sz="6" w:space="0"/>
              <w:left w:val="outset" w:color="auto" w:sz="6" w:space="0"/>
              <w:bottom w:val="single" w:color="auto" w:sz="4" w:space="0"/>
              <w:right w:val="outset" w:color="auto" w:sz="6" w:space="0"/>
            </w:tcBorders>
            <w:vAlign w:val="center"/>
          </w:tcPr>
          <w:p>
            <w:pPr>
              <w:spacing w:line="400" w:lineRule="exact"/>
              <w:jc w:val="center"/>
              <w:rPr>
                <w:rFonts w:ascii="宋体" w:hAnsi="宋体" w:cs="宋体"/>
                <w:color w:val="auto"/>
                <w:szCs w:val="21"/>
                <w:highlight w:val="none"/>
              </w:rPr>
            </w:pPr>
          </w:p>
        </w:tc>
        <w:tc>
          <w:tcPr>
            <w:tcW w:w="1825" w:type="dxa"/>
            <w:vMerge w:val="continue"/>
            <w:tcBorders>
              <w:top w:val="outset" w:color="auto" w:sz="6" w:space="0"/>
              <w:left w:val="outset" w:color="auto" w:sz="6" w:space="0"/>
              <w:bottom w:val="single" w:color="auto" w:sz="4" w:space="0"/>
              <w:right w:val="outset" w:color="auto" w:sz="6" w:space="0"/>
            </w:tcBorders>
            <w:vAlign w:val="center"/>
          </w:tcPr>
          <w:p>
            <w:pPr>
              <w:spacing w:line="400" w:lineRule="exact"/>
              <w:jc w:val="center"/>
              <w:rPr>
                <w:rFonts w:ascii="宋体" w:hAnsi="宋体" w:cs="宋体"/>
                <w:color w:val="auto"/>
                <w:szCs w:val="21"/>
                <w:highlight w:val="none"/>
              </w:rPr>
            </w:pPr>
          </w:p>
        </w:tc>
        <w:tc>
          <w:tcPr>
            <w:tcW w:w="1841" w:type="dxa"/>
            <w:tcBorders>
              <w:top w:val="outset" w:color="auto" w:sz="6" w:space="0"/>
              <w:left w:val="outset" w:color="auto" w:sz="6" w:space="0"/>
              <w:bottom w:val="single" w:color="auto" w:sz="4"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其他要求</w:t>
            </w:r>
          </w:p>
        </w:tc>
        <w:tc>
          <w:tcPr>
            <w:tcW w:w="4202" w:type="dxa"/>
            <w:tcBorders>
              <w:top w:val="outset" w:color="auto" w:sz="6" w:space="0"/>
              <w:left w:val="outset" w:color="auto" w:sz="6" w:space="0"/>
              <w:bottom w:val="single" w:color="auto" w:sz="4"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符合第二章“投标人须知”第1.4.1项规定的其他要求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583" w:hRule="atLeast"/>
        </w:trPr>
        <w:tc>
          <w:tcPr>
            <w:tcW w:w="859"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1.1.3</w:t>
            </w:r>
          </w:p>
        </w:tc>
        <w:tc>
          <w:tcPr>
            <w:tcW w:w="182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响应性评审标准</w:t>
            </w: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投标内容</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工期</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符合第二章“投标人须知”第1.3.2项规定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工程质量</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符合第二章“投标人须知”第1.3.3项规定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投标有效期</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投标函附录中承诺的投标有效期符合第二章“投标人须知”第3.3.1项规定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投标保证金</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如有</w:t>
            </w:r>
            <w:r>
              <w:rPr>
                <w:rFonts w:hint="eastAsia" w:ascii="宋体" w:hAnsi="宋体" w:cs="宋体"/>
                <w:color w:val="auto"/>
                <w:szCs w:val="21"/>
                <w:highlight w:val="none"/>
                <w:lang w:eastAsia="zh-CN"/>
              </w:rPr>
              <w:t>）</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jc w:val="left"/>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符合第二章“投标人须知”第3.4.1项规定；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eastAsia" w:ascii="宋体" w:hAnsi="宋体" w:cs="宋体"/>
                <w:color w:val="auto"/>
                <w:szCs w:val="21"/>
                <w:highlight w:val="none"/>
              </w:rPr>
            </w:pPr>
            <w:r>
              <w:rPr>
                <w:rFonts w:hint="eastAsia"/>
                <w:color w:val="auto"/>
                <w:highlight w:val="none"/>
              </w:rPr>
              <w:t>投标价格</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jc w:val="left"/>
              <w:rPr>
                <w:rFonts w:hint="eastAsia" w:ascii="宋体" w:hAnsi="宋体" w:cs="宋体"/>
                <w:color w:val="auto"/>
                <w:szCs w:val="21"/>
                <w:highlight w:val="none"/>
              </w:rPr>
            </w:pPr>
            <w:r>
              <w:rPr>
                <w:rFonts w:hint="eastAsia"/>
                <w:color w:val="auto"/>
                <w:highlight w:val="none"/>
                <w:lang w:val="en-US" w:eastAsia="zh-CN"/>
              </w:rPr>
              <w:t>不高于</w:t>
            </w:r>
            <w:r>
              <w:rPr>
                <w:rFonts w:hint="eastAsia"/>
                <w:color w:val="auto"/>
                <w:highlight w:val="none"/>
              </w:rPr>
              <w:t>第二章</w:t>
            </w:r>
            <w:r>
              <w:rPr>
                <w:color w:val="auto"/>
                <w:highlight w:val="none"/>
              </w:rPr>
              <w:fldChar w:fldCharType="begin"/>
            </w:r>
            <w:r>
              <w:rPr>
                <w:color w:val="auto"/>
                <w:highlight w:val="none"/>
              </w:rPr>
              <w:instrText xml:space="preserve">HYPERLINK "file:///H:\\泰州招标文件范本\\泰州市房屋建筑和市政工程施工2016.4.docx" \l "_10.2"</w:instrText>
            </w:r>
            <w:r>
              <w:rPr>
                <w:color w:val="auto"/>
                <w:highlight w:val="none"/>
              </w:rPr>
              <w:fldChar w:fldCharType="separate"/>
            </w:r>
            <w:r>
              <w:rPr>
                <w:rFonts w:hint="eastAsia"/>
                <w:color w:val="auto"/>
                <w:highlight w:val="none"/>
              </w:rPr>
              <w:t>投标人须知前附表第2.4项</w:t>
            </w:r>
            <w:r>
              <w:rPr>
                <w:color w:val="auto"/>
                <w:highlight w:val="none"/>
              </w:rPr>
              <w:fldChar w:fldCharType="end"/>
            </w:r>
            <w:r>
              <w:rPr>
                <w:rFonts w:hint="eastAsia"/>
                <w:color w:val="auto"/>
                <w:highlight w:val="none"/>
              </w:rPr>
              <w:t>载明</w:t>
            </w:r>
            <w:r>
              <w:rPr>
                <w:rFonts w:hint="eastAsia"/>
                <w:color w:val="auto"/>
                <w:highlight w:val="none"/>
                <w:lang w:val="en-US" w:eastAsia="zh-CN"/>
              </w:rPr>
              <w:t>的最高投标限价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textAlignment w:val="center"/>
              <w:rPr>
                <w:rFonts w:hint="eastAsia" w:ascii="宋体" w:hAnsi="宋体" w:cs="宋体"/>
                <w:color w:val="auto"/>
                <w:szCs w:val="21"/>
                <w:highlight w:val="none"/>
              </w:rPr>
            </w:pPr>
            <w:r>
              <w:rPr>
                <w:rFonts w:hint="eastAsia" w:ascii="宋体" w:hAnsi="宋体" w:eastAsia="宋体"/>
                <w:color w:val="auto"/>
                <w:sz w:val="21"/>
                <w:highlight w:val="none"/>
              </w:rPr>
              <w:t>诚信投标承诺书</w:t>
            </w:r>
          </w:p>
        </w:tc>
        <w:tc>
          <w:tcPr>
            <w:tcW w:w="4202" w:type="dxa"/>
            <w:tcBorders>
              <w:top w:val="single" w:color="auto" w:sz="4" w:space="0"/>
              <w:left w:val="single" w:color="auto" w:sz="4" w:space="0"/>
              <w:bottom w:val="single" w:color="auto" w:sz="4" w:space="0"/>
              <w:right w:val="single" w:color="auto" w:sz="4" w:space="0"/>
            </w:tcBorders>
            <w:vAlign w:val="center"/>
          </w:tcPr>
          <w:p>
            <w:pPr>
              <w:spacing w:line="320" w:lineRule="exact"/>
              <w:ind w:left="84" w:leftChars="40"/>
              <w:textAlignment w:val="center"/>
              <w:rPr>
                <w:rFonts w:hint="eastAsia" w:ascii="宋体" w:hAnsi="宋体" w:cs="宋体"/>
                <w:color w:val="auto"/>
                <w:szCs w:val="21"/>
                <w:highlight w:val="none"/>
              </w:rPr>
            </w:pPr>
            <w:r>
              <w:rPr>
                <w:rFonts w:hint="eastAsia" w:ascii="宋体" w:hAnsi="宋体" w:eastAsia="宋体"/>
                <w:color w:val="auto"/>
                <w:sz w:val="21"/>
                <w:highlight w:val="none"/>
              </w:rPr>
              <w:t>符合招标文件要求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其他要求</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textAlignment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rPr>
              <w:t>无评标办法第</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.2.6条所列情形</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92" w:hRule="atLeast"/>
        </w:trPr>
        <w:tc>
          <w:tcPr>
            <w:tcW w:w="859"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2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jc w:val="left"/>
              <w:rPr>
                <w:rFonts w:ascii="宋体" w:hAnsi="宋体" w:cs="宋体"/>
                <w:color w:val="auto"/>
                <w:szCs w:val="21"/>
                <w:highlight w:val="none"/>
              </w:rPr>
            </w:pPr>
          </w:p>
        </w:tc>
        <w:tc>
          <w:tcPr>
            <w:tcW w:w="184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w:t>
            </w:r>
          </w:p>
        </w:tc>
        <w:tc>
          <w:tcPr>
            <w:tcW w:w="4202" w:type="dxa"/>
            <w:tcBorders>
              <w:top w:val="single" w:color="auto" w:sz="4" w:space="0"/>
              <w:left w:val="single" w:color="auto" w:sz="4" w:space="0"/>
              <w:bottom w:val="single" w:color="auto" w:sz="4" w:space="0"/>
              <w:right w:val="single" w:color="auto" w:sz="4" w:space="0"/>
            </w:tcBorders>
            <w:vAlign w:val="center"/>
          </w:tcPr>
          <w:p>
            <w:pPr>
              <w:spacing w:line="400" w:lineRule="exact"/>
              <w:ind w:firstLine="210" w:firstLineChars="100"/>
              <w:jc w:val="left"/>
              <w:rPr>
                <w:rFonts w:ascii="宋体" w:hAnsi="宋体" w:cs="宋体"/>
                <w:color w:val="auto"/>
                <w:szCs w:val="21"/>
                <w:highlight w:val="none"/>
              </w:rPr>
            </w:pP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727" w:type="dxa"/>
            <w:gridSpan w:val="4"/>
            <w:tcBorders>
              <w:top w:val="single" w:color="auto" w:sz="4"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详细评审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59"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条款号</w:t>
            </w:r>
          </w:p>
        </w:tc>
        <w:tc>
          <w:tcPr>
            <w:tcW w:w="3666"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评审因素</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eastAsia="宋体"/>
                <w:b/>
                <w:bCs/>
                <w:color w:val="auto"/>
                <w:highlight w:val="none"/>
                <w:lang w:eastAsia="zh-CN"/>
              </w:rPr>
            </w:pPr>
            <w:r>
              <w:rPr>
                <w:rFonts w:hint="eastAsia"/>
                <w:b/>
                <w:bCs/>
                <w:color w:val="auto"/>
                <w:highlight w:val="none"/>
                <w:lang w:val="en-US" w:eastAsia="zh-CN"/>
              </w:rPr>
              <w:t>分值</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59"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1.2.1</w:t>
            </w:r>
          </w:p>
        </w:tc>
        <w:tc>
          <w:tcPr>
            <w:tcW w:w="3666"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商务标</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firstLine="1260" w:firstLineChars="600"/>
              <w:jc w:val="left"/>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59"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1.2.2</w:t>
            </w:r>
          </w:p>
        </w:tc>
        <w:tc>
          <w:tcPr>
            <w:tcW w:w="3666"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经济标</w:t>
            </w:r>
          </w:p>
        </w:tc>
        <w:tc>
          <w:tcPr>
            <w:tcW w:w="4202" w:type="dxa"/>
            <w:tcBorders>
              <w:top w:val="outset" w:color="auto" w:sz="6" w:space="0"/>
              <w:left w:val="outset" w:color="auto" w:sz="6" w:space="0"/>
              <w:bottom w:val="outset" w:color="auto" w:sz="6" w:space="0"/>
              <w:right w:val="outset" w:color="auto" w:sz="6" w:space="0"/>
            </w:tcBorders>
            <w:vAlign w:val="top"/>
          </w:tcPr>
          <w:p>
            <w:pPr>
              <w:ind w:firstLine="1260" w:firstLineChars="600"/>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59"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1.2.3</w:t>
            </w:r>
          </w:p>
        </w:tc>
        <w:tc>
          <w:tcPr>
            <w:tcW w:w="3666"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技术标</w:t>
            </w:r>
          </w:p>
        </w:tc>
        <w:tc>
          <w:tcPr>
            <w:tcW w:w="4202" w:type="dxa"/>
            <w:tcBorders>
              <w:top w:val="outset" w:color="auto" w:sz="6" w:space="0"/>
              <w:left w:val="outset" w:color="auto" w:sz="6" w:space="0"/>
              <w:bottom w:val="outset" w:color="auto" w:sz="6" w:space="0"/>
              <w:right w:val="outset" w:color="auto" w:sz="6" w:space="0"/>
            </w:tcBorders>
            <w:vAlign w:val="top"/>
          </w:tcPr>
          <w:p>
            <w:pPr>
              <w:ind w:firstLine="1260" w:firstLineChars="600"/>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59"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highlight w:val="none"/>
                <w:lang w:eastAsia="zh-CN"/>
              </w:rPr>
            </w:pPr>
            <w:r>
              <w:rPr>
                <w:rFonts w:hint="eastAsia" w:ascii="宋体" w:hAnsi="宋体" w:cs="宋体"/>
                <w:color w:val="auto"/>
                <w:highlight w:val="none"/>
                <w:lang w:val="en-US" w:eastAsia="zh-CN"/>
              </w:rPr>
              <w:t>2.3.1</w:t>
            </w:r>
          </w:p>
        </w:tc>
        <w:tc>
          <w:tcPr>
            <w:tcW w:w="3666"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评标方式、评审因素及评审顺序</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1、评标方式</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□定性评审</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□定量评审</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□定性+定量评审</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2、评审因素：</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□商务标</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□经济标</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□技术标</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 xml:space="preserve">3、评审顺序： </w:t>
            </w:r>
            <w:r>
              <w:rPr>
                <w:rFonts w:hint="eastAsia" w:ascii="宋体" w:hAnsi="宋体" w:cs="宋体"/>
                <w:color w:val="auto"/>
                <w:highlight w:val="none"/>
                <w:u w:val="single"/>
              </w:rPr>
              <w:t xml:space="preserve">       </w:t>
            </w:r>
            <w:r>
              <w:rPr>
                <w:rFonts w:hint="eastAsia" w:ascii="宋体" w:hAnsi="宋体" w:cs="宋体"/>
                <w:color w:val="auto"/>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59" w:type="dxa"/>
            <w:tcBorders>
              <w:top w:val="outset" w:color="auto" w:sz="6" w:space="0"/>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3666"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ascii="宋体" w:hAnsi="宋体"/>
                <w:color w:val="auto"/>
                <w:szCs w:val="21"/>
                <w:highlight w:val="none"/>
              </w:rPr>
              <w:t>……</w:t>
            </w:r>
          </w:p>
        </w:tc>
        <w:tc>
          <w:tcPr>
            <w:tcW w:w="4202" w:type="dxa"/>
            <w:tcBorders>
              <w:top w:val="outset" w:color="auto" w:sz="6" w:space="0"/>
              <w:left w:val="outset" w:color="auto" w:sz="6" w:space="0"/>
              <w:bottom w:val="outset" w:color="auto" w:sz="6" w:space="0"/>
              <w:right w:val="outset" w:color="auto" w:sz="6" w:space="0"/>
            </w:tcBorders>
            <w:vAlign w:val="center"/>
          </w:tcPr>
          <w:p>
            <w:pPr>
              <w:spacing w:line="400" w:lineRule="exact"/>
              <w:jc w:val="left"/>
              <w:rPr>
                <w:color w:val="auto"/>
                <w:highlight w:val="none"/>
              </w:rPr>
            </w:pPr>
            <w:r>
              <w:rPr>
                <w:rFonts w:ascii="宋体" w:hAnsi="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727"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left"/>
              <w:rPr>
                <w:color w:val="auto"/>
                <w:highlight w:val="none"/>
              </w:rPr>
            </w:pPr>
          </w:p>
        </w:tc>
      </w:tr>
    </w:tbl>
    <w:p>
      <w:pPr>
        <w:pStyle w:val="5"/>
        <w:jc w:val="center"/>
        <w:rPr>
          <w:color w:val="auto"/>
          <w:sz w:val="30"/>
          <w:szCs w:val="30"/>
          <w:highlight w:val="none"/>
        </w:rPr>
      </w:pPr>
      <w:r>
        <w:rPr>
          <w:rFonts w:hint="eastAsia"/>
          <w:color w:val="auto"/>
          <w:sz w:val="30"/>
          <w:szCs w:val="30"/>
          <w:highlight w:val="none"/>
        </w:rPr>
        <w:br w:type="page"/>
      </w:r>
    </w:p>
    <w:p>
      <w:pPr>
        <w:pStyle w:val="5"/>
        <w:rPr>
          <w:color w:val="auto"/>
          <w:kern w:val="44"/>
          <w:sz w:val="30"/>
          <w:szCs w:val="30"/>
          <w:highlight w:val="none"/>
        </w:rPr>
      </w:pPr>
      <w:bookmarkStart w:id="712" w:name="_Toc28644"/>
      <w:bookmarkStart w:id="713" w:name="_Toc19704"/>
      <w:r>
        <w:rPr>
          <w:rFonts w:hint="eastAsia" w:ascii="黑体" w:hAnsi="黑体" w:eastAsia="黑体" w:cs="黑体"/>
          <w:b w:val="0"/>
          <w:bCs w:val="0"/>
          <w:color w:val="auto"/>
          <w:sz w:val="32"/>
          <w:highlight w:val="none"/>
        </w:rPr>
        <w:t>综合评估法三：适用于初步设计完成之后的工程总承包招标</w:t>
      </w:r>
      <w:bookmarkEnd w:id="712"/>
      <w:bookmarkEnd w:id="713"/>
    </w:p>
    <w:tbl>
      <w:tblPr>
        <w:tblStyle w:val="44"/>
        <w:tblW w:w="8853"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1"/>
        <w:gridCol w:w="1173"/>
        <w:gridCol w:w="2371"/>
        <w:gridCol w:w="445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(总分100分)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技术标：项目管理组织方案：</w:t>
            </w:r>
            <w:r>
              <w:rPr>
                <w:rFonts w:hint="eastAsia" w:ascii="宋体" w:hAnsi="宋体" w:cs="宋体"/>
                <w:color w:val="auto"/>
                <w:szCs w:val="21"/>
                <w:highlight w:val="none"/>
                <w:u w:val="single"/>
              </w:rPr>
              <w:t>≤11</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≥85</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173"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评分项</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68" w:hRule="atLeast"/>
        </w:trPr>
        <w:tc>
          <w:tcPr>
            <w:tcW w:w="851" w:type="dxa"/>
            <w:vMerge w:val="restart"/>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w:t>
            </w:r>
          </w:p>
        </w:tc>
        <w:tc>
          <w:tcPr>
            <w:tcW w:w="1173" w:type="dxa"/>
            <w:vMerge w:val="restart"/>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工程总承包报价（≥85分）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报价评审（工程总承包范围内的所有费用）（≥83分）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采用苏建招办〔2017〕7号文‘二、投标报价评审’中方法五（ABC合成法）作为评标基准价的计算方法，或者在方法一至方法四中任选不少于两种计算方法在开标时随机抽取确定评标基准价的计算方法。评标价等于评标基准价的得满分， 每低于评标基准价1%扣0.5分，每高1%的所扣分值为负偏离扣分的2倍；偏离不足1%的，按照插入法计算得分。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highlight w:val="none"/>
              </w:rPr>
              <w:t>2</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83" w:hRule="atLeast"/>
        </w:trPr>
        <w:tc>
          <w:tcPr>
            <w:tcW w:w="851" w:type="dxa"/>
            <w:vMerge w:val="continue"/>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55" w:hRule="atLeast"/>
        </w:trPr>
        <w:tc>
          <w:tcPr>
            <w:tcW w:w="851" w:type="dxa"/>
            <w:vMerge w:val="continue"/>
            <w:tcBorders>
              <w:bottom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left w:val="single" w:color="000000" w:sz="4" w:space="0"/>
              <w:bottom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445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restart"/>
            <w:tcBorders>
              <w:top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w:t>
            </w:r>
          </w:p>
        </w:tc>
        <w:tc>
          <w:tcPr>
            <w:tcW w:w="1173"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项目管理组织方案（≤11分）</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对工程总承包的总体设想、组织形式、各项管理目标及控制措施、施工实施计划、设计与施工的协调措施等内容进行评分。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2.设计管理方案（1-2分）</w:t>
            </w:r>
          </w:p>
        </w:tc>
        <w:tc>
          <w:tcPr>
            <w:tcW w:w="4458" w:type="dxa"/>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1．对项目解读准确、设计构思合理。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2．设计进度计划及控制措施。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3．设计质量管理制度及控制措施。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4．设计重点、难点及控制措施。</w:t>
            </w:r>
          </w:p>
          <w:p>
            <w:pPr>
              <w:spacing w:line="440" w:lineRule="exact"/>
              <w:rPr>
                <w:rFonts w:ascii="宋体" w:hAnsi="宋体" w:cs="宋体"/>
                <w:color w:val="auto"/>
                <w:szCs w:val="22"/>
                <w:highlight w:val="none"/>
              </w:rPr>
            </w:pPr>
            <w:r>
              <w:rPr>
                <w:rFonts w:hint="eastAsia" w:ascii="宋体" w:hAnsi="宋体" w:cs="宋体"/>
                <w:color w:val="auto"/>
                <w:szCs w:val="21"/>
                <w:highlight w:val="none"/>
              </w:rPr>
              <w:t>5．设计过程对工程总投资控制措施。</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20"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w:t>
            </w:r>
            <w:r>
              <w:rPr>
                <w:rFonts w:hint="eastAsia" w:ascii="宋体" w:hAnsi="宋体" w:cs="宋体"/>
                <w:color w:val="auto"/>
                <w:szCs w:val="21"/>
                <w:highlight w:val="none"/>
              </w:rPr>
              <w:t>采购管理方案（≤1分）</w:t>
            </w:r>
          </w:p>
        </w:tc>
        <w:tc>
          <w:tcPr>
            <w:tcW w:w="4458" w:type="dxa"/>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2"/>
                <w:highlight w:val="none"/>
              </w:rPr>
            </w:pPr>
            <w:r>
              <w:rPr>
                <w:rFonts w:hint="eastAsia" w:ascii="宋体" w:hAnsi="宋体" w:cs="宋体"/>
                <w:color w:val="auto"/>
                <w:szCs w:val="21"/>
                <w:highlight w:val="none"/>
              </w:rPr>
              <w:t>对采购工作程序、采购执行计划、采买、催交与检验、运输与交付、采购变更管理、仓储管理等内容进行评分。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4</w:t>
            </w:r>
            <w:r>
              <w:rPr>
                <w:rFonts w:hint="eastAsia" w:ascii="宋体" w:hAnsi="宋体" w:cs="宋体"/>
                <w:color w:val="auto"/>
                <w:szCs w:val="22"/>
                <w:highlight w:val="none"/>
              </w:rPr>
              <w:t>．</w:t>
            </w:r>
            <w:r>
              <w:rPr>
                <w:rFonts w:hint="eastAsia" w:ascii="宋体" w:hAnsi="宋体" w:cs="宋体"/>
                <w:color w:val="auto"/>
                <w:szCs w:val="21"/>
                <w:highlight w:val="none"/>
              </w:rPr>
              <w:t>施工平面布置规划（≤1分）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2"/>
                <w:highlight w:val="none"/>
              </w:rPr>
            </w:pPr>
            <w:r>
              <w:rPr>
                <w:rFonts w:hint="eastAsia" w:ascii="宋体" w:hAnsi="宋体" w:cs="宋体"/>
                <w:color w:val="auto"/>
                <w:szCs w:val="22"/>
                <w:highlight w:val="none"/>
              </w:rPr>
              <w:t>对施工现场平面布置和临时设施、临时道路布置等内容进行评分。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5．施工的重点难点（</w:t>
            </w:r>
            <w:r>
              <w:rPr>
                <w:rFonts w:hint="eastAsia" w:ascii="宋体" w:hAnsi="宋体" w:cs="宋体"/>
                <w:color w:val="auto"/>
                <w:szCs w:val="21"/>
                <w:highlight w:val="none"/>
              </w:rPr>
              <w:t>≤1</w:t>
            </w:r>
            <w:r>
              <w:rPr>
                <w:rFonts w:hint="eastAsia" w:ascii="宋体" w:hAnsi="宋体" w:cs="宋体"/>
                <w:color w:val="auto"/>
                <w:szCs w:val="22"/>
                <w:highlight w:val="none"/>
              </w:rPr>
              <w:t>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2"/>
                <w:highlight w:val="none"/>
              </w:rPr>
            </w:pPr>
            <w:r>
              <w:rPr>
                <w:rFonts w:hint="eastAsia" w:ascii="宋体" w:hAnsi="宋体" w:cs="宋体"/>
                <w:color w:val="auto"/>
                <w:szCs w:val="22"/>
                <w:highlight w:val="none"/>
              </w:rPr>
              <w:t>对关键施工技术、工艺及工程项目实施的重点、难点和解决方案等内容进行评分。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71"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tcPr>
          <w:p>
            <w:pPr>
              <w:rPr>
                <w:rFonts w:ascii="宋体" w:hAnsi="宋体" w:cs="宋体"/>
                <w:color w:val="auto"/>
                <w:szCs w:val="22"/>
                <w:highlight w:val="none"/>
              </w:rPr>
            </w:pPr>
            <w:r>
              <w:rPr>
                <w:rFonts w:hint="eastAsia" w:ascii="宋体" w:hAnsi="宋体" w:cs="宋体"/>
                <w:color w:val="auto"/>
                <w:szCs w:val="22"/>
                <w:highlight w:val="none"/>
              </w:rPr>
              <w:t>6．施工资源投入计划（≤1分）</w:t>
            </w:r>
          </w:p>
        </w:tc>
        <w:tc>
          <w:tcPr>
            <w:tcW w:w="4458" w:type="dxa"/>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对劳动力、机械设备和材料投入计划进行评分。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7</w:t>
            </w:r>
            <w:r>
              <w:rPr>
                <w:rFonts w:hint="eastAsia" w:ascii="宋体" w:hAnsi="宋体" w:cs="宋体"/>
                <w:color w:val="auto"/>
                <w:szCs w:val="21"/>
                <w:highlight w:val="none"/>
              </w:rPr>
              <w:t>．</w:t>
            </w:r>
            <w:r>
              <w:rPr>
                <w:rFonts w:hint="eastAsia" w:ascii="宋体" w:hAnsi="宋体" w:cs="宋体"/>
                <w:color w:val="auto"/>
                <w:szCs w:val="22"/>
                <w:highlight w:val="none"/>
              </w:rPr>
              <w:t>新技术、新产品、新工艺、新材料（≤1分）</w:t>
            </w:r>
          </w:p>
        </w:tc>
        <w:tc>
          <w:tcPr>
            <w:tcW w:w="4458"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对采用新技术、新产品、新工艺、新材料的情况进行评分。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8．建筑信息模型（BIM）技术（≤1分）</w:t>
            </w:r>
          </w:p>
        </w:tc>
        <w:tc>
          <w:tcPr>
            <w:tcW w:w="4458"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对建筑信息模型（BIM）技术的使用等内容进行评分。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continue"/>
            <w:tcBorders>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9．工程总承包项目经理陈述及答辩（≤2分）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2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173" w:type="dxa"/>
            <w:vMerge w:val="continue"/>
            <w:tcBorders>
              <w:left w:val="single" w:color="000000" w:sz="4" w:space="0"/>
              <w:bottom w:val="single" w:color="auto" w:sz="4" w:space="0"/>
              <w:right w:val="single" w:color="auto" w:sz="4" w:space="0"/>
            </w:tcBorders>
            <w:vAlign w:val="center"/>
          </w:tcPr>
          <w:p>
            <w:pPr>
              <w:spacing w:line="440" w:lineRule="exact"/>
              <w:jc w:val="center"/>
              <w:rPr>
                <w:color w:val="auto"/>
                <w:szCs w:val="21"/>
                <w:highlight w:val="none"/>
              </w:rPr>
            </w:pPr>
          </w:p>
        </w:tc>
        <w:tc>
          <w:tcPr>
            <w:tcW w:w="682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color w:val="auto"/>
                <w:szCs w:val="21"/>
                <w:highlight w:val="none"/>
              </w:rPr>
            </w:pP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1"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w:t>
            </w:r>
          </w:p>
        </w:tc>
        <w:tc>
          <w:tcPr>
            <w:tcW w:w="1173" w:type="dxa"/>
            <w:tcBorders>
              <w:left w:val="single" w:color="000000"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项目管理机构（≤</w:t>
            </w:r>
            <w:r>
              <w:rPr>
                <w:rFonts w:hint="eastAsia" w:ascii="宋体" w:hAnsi="宋体" w:cs="宋体"/>
                <w:color w:val="auto"/>
                <w:szCs w:val="22"/>
                <w:highlight w:val="none"/>
              </w:rPr>
              <w:t>2</w:t>
            </w:r>
            <w:r>
              <w:rPr>
                <w:rFonts w:hint="eastAsia" w:ascii="宋体" w:hAnsi="宋体" w:cs="宋体"/>
                <w:color w:val="auto"/>
                <w:szCs w:val="21"/>
                <w:highlight w:val="none"/>
              </w:rPr>
              <w:t>分）</w:t>
            </w:r>
          </w:p>
        </w:tc>
        <w:tc>
          <w:tcPr>
            <w:tcW w:w="682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851"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w:t>
            </w:r>
          </w:p>
        </w:tc>
        <w:tc>
          <w:tcPr>
            <w:tcW w:w="1173" w:type="dxa"/>
            <w:vMerge w:val="restart"/>
            <w:tcBorders>
              <w:left w:val="single" w:color="000000"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工程业绩（≤2分）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1．投标人类似工程业绩（≤1分）</w:t>
            </w:r>
          </w:p>
        </w:tc>
        <w:tc>
          <w:tcPr>
            <w:tcW w:w="4458"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0" w:firstLineChars="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ind w:firstLine="0" w:firstLineChars="0"/>
              <w:rPr>
                <w:rFonts w:ascii="宋体" w:hAnsi="宋体" w:cs="宋体"/>
                <w:color w:val="auto"/>
                <w:szCs w:val="21"/>
                <w:highlight w:val="none"/>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851"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2．工程总承包项目经理类似工程业绩（≤1分）</w:t>
            </w:r>
          </w:p>
        </w:tc>
        <w:tc>
          <w:tcPr>
            <w:tcW w:w="445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w:t>
            </w:r>
            <w:r>
              <w:rPr>
                <w:rFonts w:hint="eastAsia" w:ascii="宋体" w:hAnsi="宋体" w:cs="宋体"/>
                <w:color w:val="auto"/>
                <w:szCs w:val="21"/>
                <w:highlight w:val="none"/>
                <w:lang w:val="en-US" w:eastAsia="zh-CN"/>
              </w:rPr>
              <w:t>1</w:t>
            </w:r>
            <w:r>
              <w:rPr>
                <w:rFonts w:hint="eastAsia" w:ascii="宋体" w:hAnsi="宋体" w:eastAsia="宋体" w:cs="宋体"/>
                <w:color w:val="auto"/>
                <w:szCs w:val="21"/>
                <w:highlight w:val="none"/>
              </w:rPr>
              <w:t>分</w:t>
            </w:r>
            <w:r>
              <w:rPr>
                <w:rFonts w:hint="eastAsia" w:ascii="宋体" w:hAnsi="宋体" w:cs="宋体"/>
                <w:color w:val="auto"/>
                <w:szCs w:val="21"/>
                <w:highlight w:val="none"/>
                <w:lang w:eastAsia="zh-CN"/>
              </w:rPr>
              <w:t>；</w:t>
            </w:r>
          </w:p>
          <w:p>
            <w:pPr>
              <w:adjustRightInd w:val="0"/>
              <w:snapToGrid w:val="0"/>
              <w:ind w:firstLine="210" w:firstLineChars="10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ascii="宋体" w:hAnsi="宋体" w:cs="宋体"/>
                <w:color w:val="auto"/>
                <w:szCs w:val="21"/>
                <w:highlight w:val="none"/>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851"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73"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82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ind w:firstLine="0" w:firstLineChars="0"/>
              <w:rPr>
                <w:rFonts w:ascii="宋体" w:hAnsi="宋体" w:cs="宋体"/>
                <w:color w:val="auto"/>
                <w:szCs w:val="21"/>
                <w:highlight w:val="none"/>
              </w:rPr>
            </w:pPr>
            <w:r>
              <w:rPr>
                <w:rFonts w:hint="eastAsia" w:ascii="宋体" w:hAnsi="宋体" w:cs="宋体"/>
                <w:color w:val="auto"/>
                <w:szCs w:val="21"/>
                <w:highlight w:val="none"/>
              </w:rPr>
              <w:t>注：1.类似工程执行苏建规字</w:t>
            </w:r>
            <w:r>
              <w:rPr>
                <w:rFonts w:hint="eastAsia" w:ascii="仿宋" w:hAnsi="仿宋" w:eastAsia="仿宋" w:cs="仿宋"/>
                <w:color w:val="auto"/>
                <w:szCs w:val="21"/>
                <w:highlight w:val="none"/>
              </w:rPr>
              <w:t>〔</w:t>
            </w:r>
            <w:r>
              <w:rPr>
                <w:rFonts w:hint="eastAsia" w:ascii="宋体" w:hAnsi="宋体" w:cs="宋体"/>
                <w:color w:val="auto"/>
                <w:szCs w:val="21"/>
                <w:highlight w:val="none"/>
              </w:rPr>
              <w:t>2017</w:t>
            </w:r>
            <w:r>
              <w:rPr>
                <w:rFonts w:hint="eastAsia" w:ascii="仿宋" w:hAnsi="仿宋" w:eastAsia="仿宋" w:cs="仿宋"/>
                <w:color w:val="auto"/>
                <w:szCs w:val="21"/>
                <w:highlight w:val="none"/>
              </w:rPr>
              <w:t>〕</w:t>
            </w:r>
            <w:r>
              <w:rPr>
                <w:rFonts w:hint="eastAsia" w:ascii="宋体" w:hAnsi="宋体" w:cs="宋体"/>
                <w:color w:val="auto"/>
                <w:szCs w:val="21"/>
                <w:highlight w:val="none"/>
              </w:rPr>
              <w:t>1号文的相应规定，招标文件中应当明确投标人和项目经理承担过单个类似及以上工程的分值。</w:t>
            </w:r>
          </w:p>
        </w:tc>
      </w:tr>
    </w:tbl>
    <w:p>
      <w:pPr>
        <w:widowControl/>
        <w:jc w:val="left"/>
        <w:rPr>
          <w:color w:val="auto"/>
          <w:highlight w:val="none"/>
        </w:rPr>
      </w:pPr>
      <w:r>
        <w:rPr>
          <w:color w:val="auto"/>
          <w:highlight w:val="none"/>
        </w:rPr>
        <w:br w:type="page"/>
      </w:r>
    </w:p>
    <w:p>
      <w:pPr>
        <w:pStyle w:val="5"/>
        <w:spacing w:line="360" w:lineRule="auto"/>
        <w:rPr>
          <w:rFonts w:ascii="宋体" w:hAnsi="宋体" w:cs="宋体"/>
          <w:color w:val="auto"/>
          <w:highlight w:val="none"/>
        </w:rPr>
      </w:pPr>
      <w:bookmarkStart w:id="714" w:name="_Toc29414"/>
      <w:bookmarkStart w:id="715" w:name="_Toc29212"/>
      <w:bookmarkStart w:id="716" w:name="_Toc3786"/>
      <w:bookmarkStart w:id="717" w:name="_Toc25590"/>
      <w:bookmarkStart w:id="718" w:name="_Toc24242"/>
      <w:bookmarkStart w:id="719" w:name="_Toc20634"/>
      <w:r>
        <w:rPr>
          <w:rFonts w:hint="eastAsia" w:ascii="宋体" w:hAnsi="宋体" w:cs="宋体"/>
          <w:color w:val="auto"/>
          <w:highlight w:val="none"/>
        </w:rPr>
        <w:t>1. 评审标准</w:t>
      </w:r>
      <w:bookmarkEnd w:id="714"/>
      <w:bookmarkEnd w:id="715"/>
      <w:bookmarkEnd w:id="716"/>
    </w:p>
    <w:p>
      <w:pPr>
        <w:pStyle w:val="6"/>
        <w:rPr>
          <w:rFonts w:ascii="宋体" w:hAnsi="宋体" w:cs="宋体"/>
          <w:color w:val="auto"/>
          <w:highlight w:val="none"/>
        </w:rPr>
      </w:pPr>
      <w:bookmarkStart w:id="720" w:name="_Toc1116"/>
      <w:bookmarkStart w:id="721" w:name="_Toc11487"/>
      <w:bookmarkStart w:id="722" w:name="_Toc9939"/>
      <w:r>
        <w:rPr>
          <w:rFonts w:hint="eastAsia" w:ascii="宋体" w:hAnsi="宋体" w:cs="宋体"/>
          <w:color w:val="auto"/>
          <w:highlight w:val="none"/>
        </w:rPr>
        <w:t>1.1初步评审标准</w:t>
      </w:r>
      <w:bookmarkEnd w:id="720"/>
      <w:bookmarkEnd w:id="721"/>
      <w:bookmarkEnd w:id="722"/>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1.1.1 形式性评审标准：见评标办法前附表。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1.1.2 资格评审标准：见评标办法前附表。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1.1.3 响应性评审标准：见评标办法前附表。</w:t>
      </w:r>
    </w:p>
    <w:p>
      <w:pPr>
        <w:pStyle w:val="6"/>
        <w:rPr>
          <w:rFonts w:ascii="宋体" w:hAnsi="宋体" w:cs="宋体"/>
          <w:color w:val="auto"/>
          <w:highlight w:val="none"/>
        </w:rPr>
      </w:pPr>
      <w:bookmarkStart w:id="723" w:name="_Toc23968"/>
      <w:bookmarkStart w:id="724" w:name="_Toc27475"/>
      <w:bookmarkStart w:id="725" w:name="_Toc25842"/>
      <w:r>
        <w:rPr>
          <w:rFonts w:hint="eastAsia" w:ascii="宋体" w:hAnsi="宋体" w:cs="宋体"/>
          <w:color w:val="auto"/>
          <w:highlight w:val="none"/>
        </w:rPr>
        <w:t>1.2详细评审标准</w:t>
      </w:r>
      <w:bookmarkEnd w:id="723"/>
      <w:bookmarkEnd w:id="724"/>
      <w:bookmarkEnd w:id="725"/>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1.2.1 商务标主要由项目管理机构、投标人类似工程业绩、工程总承包项目经理类似工程业绩等组成，具体评审标准见评标办法。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1.2.2 经济标主要由投标报价组成，具体评审标准见评标办法。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1.2.3技术标主要由项目管理组织方案组成，具体评审标准见评标办法。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1.2.4 各评审因素的具体分值由招标人参照综合评估法的评分细则制订。</w:t>
      </w:r>
    </w:p>
    <w:p>
      <w:pPr>
        <w:pStyle w:val="5"/>
        <w:spacing w:line="360" w:lineRule="auto"/>
        <w:rPr>
          <w:rFonts w:ascii="宋体" w:hAnsi="宋体" w:cs="宋体"/>
          <w:color w:val="auto"/>
          <w:highlight w:val="none"/>
        </w:rPr>
      </w:pPr>
      <w:bookmarkStart w:id="726" w:name="_Toc25019"/>
      <w:bookmarkStart w:id="727" w:name="_Toc3830"/>
      <w:bookmarkStart w:id="728" w:name="_Toc25898"/>
      <w:r>
        <w:rPr>
          <w:rFonts w:hint="eastAsia" w:ascii="宋体" w:hAnsi="宋体" w:cs="宋体"/>
          <w:color w:val="auto"/>
          <w:highlight w:val="none"/>
        </w:rPr>
        <w:t>2. 评标程序</w:t>
      </w:r>
      <w:bookmarkEnd w:id="726"/>
      <w:bookmarkEnd w:id="727"/>
      <w:bookmarkEnd w:id="728"/>
    </w:p>
    <w:p>
      <w:pPr>
        <w:pStyle w:val="6"/>
        <w:rPr>
          <w:rFonts w:ascii="宋体" w:hAnsi="宋体" w:cs="宋体"/>
          <w:color w:val="auto"/>
          <w:highlight w:val="none"/>
        </w:rPr>
      </w:pPr>
      <w:bookmarkStart w:id="729" w:name="_Toc16031"/>
      <w:bookmarkStart w:id="730" w:name="_Toc8107"/>
      <w:bookmarkStart w:id="731" w:name="_Toc12106"/>
      <w:r>
        <w:rPr>
          <w:rFonts w:hint="eastAsia" w:ascii="宋体" w:hAnsi="宋体" w:cs="宋体"/>
          <w:color w:val="auto"/>
          <w:highlight w:val="none"/>
        </w:rPr>
        <w:t>2.1评标准备</w:t>
      </w:r>
      <w:bookmarkEnd w:id="729"/>
      <w:bookmarkEnd w:id="730"/>
      <w:bookmarkEnd w:id="731"/>
    </w:p>
    <w:p>
      <w:pPr>
        <w:spacing w:line="360" w:lineRule="auto"/>
        <w:ind w:firstLine="315" w:firstLineChars="150"/>
        <w:rPr>
          <w:color w:val="auto"/>
          <w:highlight w:val="none"/>
        </w:rPr>
      </w:pPr>
      <w:r>
        <w:rPr>
          <w:rFonts w:hint="eastAsia"/>
          <w:color w:val="auto"/>
          <w:highlight w:val="none"/>
        </w:rPr>
        <w:t>2.1.1评标委员会成员到达评标现场时应在签到表上签到以证明其出席。</w:t>
      </w:r>
    </w:p>
    <w:p>
      <w:pPr>
        <w:spacing w:line="360" w:lineRule="auto"/>
        <w:ind w:firstLine="315" w:firstLineChars="150"/>
        <w:rPr>
          <w:color w:val="auto"/>
          <w:highlight w:val="none"/>
        </w:rPr>
      </w:pPr>
      <w:r>
        <w:rPr>
          <w:rFonts w:hint="eastAsia"/>
          <w:color w:val="auto"/>
          <w:highlight w:val="none"/>
        </w:rPr>
        <w:t>2.1.2评标委员会首先推选一名评标委员会主任。评标委员会主任负责评标活动的组织领导工作。</w:t>
      </w:r>
    </w:p>
    <w:p>
      <w:pPr>
        <w:spacing w:line="360" w:lineRule="auto"/>
        <w:ind w:firstLine="315" w:firstLineChars="150"/>
        <w:rPr>
          <w:color w:val="auto"/>
          <w:highlight w:val="none"/>
        </w:rPr>
      </w:pPr>
      <w:r>
        <w:rPr>
          <w:rFonts w:hint="eastAsia"/>
          <w:color w:val="auto"/>
          <w:highlight w:val="none"/>
        </w:rPr>
        <w:t>2.1.3评标委员会主任应组织评标委员会成员认真研究招标文件，了解和熟悉招标目的、招标范围、质量标准和工期要求等，掌握评标标准和方法。</w:t>
      </w:r>
    </w:p>
    <w:p>
      <w:pPr>
        <w:spacing w:line="360" w:lineRule="auto"/>
        <w:ind w:firstLine="315" w:firstLineChars="150"/>
        <w:rPr>
          <w:rFonts w:ascii="宋体"/>
          <w:color w:val="auto"/>
          <w:highlight w:val="none"/>
        </w:rPr>
      </w:pPr>
      <w:r>
        <w:rPr>
          <w:rFonts w:hint="eastAsia"/>
          <w:color w:val="auto"/>
          <w:highlight w:val="none"/>
        </w:rPr>
        <w:t>2.1.4招标</w:t>
      </w:r>
      <w:r>
        <w:rPr>
          <w:rFonts w:hint="eastAsia" w:ascii="宋体" w:hAnsi="宋体"/>
          <w:color w:val="auto"/>
          <w:highlight w:val="none"/>
        </w:rPr>
        <w:t>人或招标代理机构应向评标委员会提供评标所需的文件、材料等，包括但不限于招标文件、开标记录、招标人或评标委员会认为必要的其他文件、材料等。</w:t>
      </w:r>
    </w:p>
    <w:p>
      <w:pPr>
        <w:pStyle w:val="6"/>
        <w:rPr>
          <w:rFonts w:ascii="宋体" w:hAnsi="宋体" w:cs="宋体"/>
          <w:color w:val="auto"/>
          <w:highlight w:val="none"/>
        </w:rPr>
      </w:pPr>
      <w:bookmarkStart w:id="732" w:name="_Toc15868"/>
      <w:bookmarkStart w:id="733" w:name="_Toc31031"/>
      <w:bookmarkStart w:id="734" w:name="_Toc23602"/>
      <w:r>
        <w:rPr>
          <w:rFonts w:hint="eastAsia" w:ascii="宋体" w:hAnsi="宋体" w:cs="宋体"/>
          <w:color w:val="auto"/>
          <w:highlight w:val="none"/>
        </w:rPr>
        <w:t>2.2初步评审</w:t>
      </w:r>
      <w:bookmarkEnd w:id="732"/>
      <w:bookmarkEnd w:id="733"/>
      <w:bookmarkEnd w:id="734"/>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2.2.1形式性评审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2.2.2资格评审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2.2.3响应性评审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2.2.4投标报价有算术错误的，评标委员会按以下原则对投标报价进行修正，修正的价格经投标人书面确认后具有约束力。投标人不接受修正价格的，评标委员会应当否决其投标。</w:t>
      </w:r>
      <w:r>
        <w:rPr>
          <w:rFonts w:hint="eastAsia" w:ascii="宋体" w:hAnsi="宋体" w:cs="仿宋_GB2312"/>
          <w:color w:val="auto"/>
          <w:kern w:val="0"/>
          <w:szCs w:val="21"/>
          <w:highlight w:val="none"/>
        </w:rPr>
        <w:t>修正后的投标报价高于招标人设置的</w:t>
      </w:r>
      <w:r>
        <w:rPr>
          <w:rFonts w:hint="eastAsia" w:ascii="宋体" w:hAnsi="宋体" w:cs="宋体"/>
          <w:color w:val="auto"/>
          <w:szCs w:val="32"/>
          <w:highlight w:val="none"/>
          <w:lang w:val="en-US" w:eastAsia="zh-CN"/>
        </w:rPr>
        <w:t>最高投标限价</w:t>
      </w:r>
      <w:r>
        <w:rPr>
          <w:rFonts w:hint="eastAsia" w:ascii="宋体" w:hAnsi="宋体" w:cs="仿宋_GB2312"/>
          <w:color w:val="auto"/>
          <w:kern w:val="0"/>
          <w:szCs w:val="21"/>
          <w:highlight w:val="none"/>
        </w:rPr>
        <w:t>，</w:t>
      </w:r>
      <w:r>
        <w:rPr>
          <w:rFonts w:hint="eastAsia"/>
          <w:color w:val="auto"/>
          <w:highlight w:val="none"/>
        </w:rPr>
        <w:t>评标委员会应当否决其投标。</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（1）投标文件中的大写金额与小写金额不一致的，以大写金额为准；</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（2）总价金额与依据单价计算出的结果不一致的，以单价金额为准修正总价，但单价金额小数点有明显错误、四舍五入原因的除外；</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2.2.5澄清、说明或补正</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在初步评审过程中，评标委员会应当就投标文件中不明确的内容要求投标人进行澄清、说明或补正，澄清、说明或补正按照本章第2.4款的规定进行。</w:t>
      </w:r>
    </w:p>
    <w:p>
      <w:pPr>
        <w:spacing w:line="360" w:lineRule="auto"/>
        <w:rPr>
          <w:rFonts w:ascii="宋体" w:hAnsi="宋体" w:cs="宋体"/>
          <w:color w:val="auto"/>
          <w:highlight w:val="none"/>
        </w:rPr>
      </w:pPr>
      <w:r>
        <w:rPr>
          <w:rFonts w:hint="eastAsia" w:ascii="宋体" w:hAnsi="宋体" w:cs="宋体"/>
          <w:color w:val="auto"/>
          <w:highlight w:val="none"/>
        </w:rPr>
        <w:t xml:space="preserve">    2.2.6投标文件有下列情况之一的，属于重大偏差，视为未能对招标文件作出实质性响应，应当作为无效投标予以否决：</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（1）投标文件中的投标函未加盖投标人的公章；</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（2）投标文件中的投标函未加盖企业法定代表人（或企业法定代表人委托代理人）印章（或签字）的；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（3）投标函加盖企业法定代表人委托代理人印章（或签字），企业法定代表人委托代理人没有合法、有效的委托书（原件）的；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（4）投标人资质条件不符合国家有关规定，或不满足招标文件规定的资格条件的；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（5）投标人名称或组织结构与资格预审时不一致的；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（6）除在投标截止时间前经招标人书面同意外，</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（7）组成联合体投标未提供联合体各方共同投标协议的；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（8）在同一招标项目中，联合体成员以自己名义单独投标或者参加其他联合体投标的；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（9）联合体成员与资格预审确定的结果不一致的；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（10）投标报价低于工程成本或者高于招标文件设定的最高投标限价的；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（11）同一投标人提交两个及以上不同的投标文件或者投标报价，但招标文件要求提交备选投标的除外；</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（12）投标文件的报价清单与招标文件明确列出的不可竞争费用项目或费率或计算基础不一致的；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（13）未按招标文件要求提供投标保证金的；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（14）投标文件载明的招标项目完成期限超过招标文件规定的期限的；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（15）明显不符合技术规范、技术标准的要求的；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（16）投标文件载明的货物包装方式、检验标准和方法等不符合招标文件的要求的；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（17）投标文件提出了不能满足招标文件要求或招标人不能接受的工程验收、计量、价款结算和支付办法的；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（18）未按招标文件要求提供电子投标文件，或者投标文件未能解密且按照招标文件明确的投标文件解密失败的补救方案补救不成功的；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（19）不同投标人的投标文件以及投标文件制作过程出现了评标委员会认为不应当雷同的情况的；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（20）以他人的名义投标、串通投标、以行贿手段谋取中标或者以其他弄虚作假方式投标的；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（21）项目管理组织方案存在明显技术方案错误、或者不符合招标文件有关暗标要求的；</w:t>
      </w:r>
    </w:p>
    <w:p>
      <w:pPr>
        <w:spacing w:line="360" w:lineRule="auto"/>
        <w:ind w:firstLine="420" w:firstLineChars="200"/>
        <w:rPr>
          <w:rFonts w:hint="eastAsia" w:ascii="宋体" w:hAnsi="宋体" w:cs="宋体"/>
          <w:color w:val="auto"/>
          <w:highlight w:val="none"/>
          <w:lang w:eastAsia="zh-CN"/>
        </w:rPr>
      </w:pPr>
      <w:r>
        <w:rPr>
          <w:rFonts w:hint="eastAsia" w:ascii="宋体" w:hAnsi="宋体" w:cs="宋体"/>
          <w:color w:val="auto"/>
          <w:highlight w:val="none"/>
        </w:rPr>
        <w:t>（22）投标文件关键内容模糊、无法辩认的</w:t>
      </w:r>
      <w:r>
        <w:rPr>
          <w:rFonts w:hint="eastAsia" w:ascii="宋体" w:hAnsi="宋体" w:cs="宋体"/>
          <w:color w:val="auto"/>
          <w:highlight w:val="none"/>
          <w:lang w:eastAsia="zh-CN"/>
        </w:rPr>
        <w:t>；</w:t>
      </w:r>
    </w:p>
    <w:p>
      <w:pPr>
        <w:pStyle w:val="190"/>
        <w:spacing w:line="360" w:lineRule="auto"/>
        <w:ind w:firstLine="420" w:firstLineChars="200"/>
        <w:rPr>
          <w:bCs/>
          <w:color w:val="auto"/>
          <w:highlight w:val="none"/>
        </w:rPr>
      </w:pPr>
      <w:r>
        <w:rPr>
          <w:rFonts w:hint="eastAsia"/>
          <w:bCs/>
          <w:color w:val="auto"/>
          <w:highlight w:val="none"/>
        </w:rPr>
        <w:t>（2</w:t>
      </w:r>
      <w:r>
        <w:rPr>
          <w:rFonts w:hint="eastAsia"/>
          <w:bCs/>
          <w:color w:val="auto"/>
          <w:highlight w:val="none"/>
          <w:lang w:val="en-US" w:eastAsia="zh-CN"/>
        </w:rPr>
        <w:t>3</w:t>
      </w:r>
      <w:r>
        <w:rPr>
          <w:rFonts w:hint="eastAsia"/>
          <w:bCs/>
          <w:color w:val="auto"/>
          <w:highlight w:val="none"/>
        </w:rPr>
        <w:t>）未按招标文件要求提供诚信投标承诺书的；</w:t>
      </w:r>
    </w:p>
    <w:p>
      <w:pPr>
        <w:pStyle w:val="190"/>
        <w:spacing w:line="360" w:lineRule="auto"/>
        <w:ind w:firstLine="420" w:firstLineChars="200"/>
        <w:rPr>
          <w:rFonts w:hint="eastAsia" w:eastAsia="宋体"/>
          <w:color w:val="auto"/>
          <w:highlight w:val="none"/>
          <w:lang w:eastAsia="zh-CN"/>
        </w:rPr>
      </w:pPr>
      <w:r>
        <w:rPr>
          <w:rFonts w:hint="eastAsia"/>
          <w:color w:val="auto"/>
          <w:highlight w:val="none"/>
        </w:rPr>
        <w:t>（2</w:t>
      </w:r>
      <w:r>
        <w:rPr>
          <w:rFonts w:hint="eastAsia"/>
          <w:color w:val="auto"/>
          <w:highlight w:val="none"/>
          <w:lang w:val="en-US" w:eastAsia="zh-CN"/>
        </w:rPr>
        <w:t>4</w:t>
      </w:r>
      <w:r>
        <w:rPr>
          <w:rFonts w:hint="eastAsia"/>
          <w:color w:val="auto"/>
          <w:highlight w:val="none"/>
        </w:rPr>
        <w:t>）不按评标委员会要求澄清、说明或补正的</w:t>
      </w:r>
      <w:r>
        <w:rPr>
          <w:rFonts w:hint="eastAsia"/>
          <w:color w:val="auto"/>
          <w:highlight w:val="none"/>
          <w:lang w:eastAsia="zh-CN"/>
        </w:rPr>
        <w:t>。</w:t>
      </w:r>
    </w:p>
    <w:p>
      <w:pPr>
        <w:pStyle w:val="6"/>
        <w:rPr>
          <w:rFonts w:ascii="宋体" w:hAnsi="宋体" w:cs="宋体"/>
          <w:color w:val="auto"/>
          <w:highlight w:val="none"/>
        </w:rPr>
      </w:pPr>
      <w:bookmarkStart w:id="735" w:name="_Toc30205"/>
      <w:bookmarkStart w:id="736" w:name="_Toc13483"/>
      <w:bookmarkStart w:id="737" w:name="_Toc23790"/>
      <w:r>
        <w:rPr>
          <w:rFonts w:hint="eastAsia" w:ascii="宋体" w:hAnsi="宋体" w:cs="宋体"/>
          <w:color w:val="auto"/>
          <w:highlight w:val="none"/>
        </w:rPr>
        <w:t>2.3详细评审</w:t>
      </w:r>
      <w:bookmarkEnd w:id="735"/>
      <w:bookmarkEnd w:id="736"/>
      <w:bookmarkEnd w:id="737"/>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w:t>
      </w:r>
      <w:r>
        <w:rPr>
          <w:rFonts w:hint="eastAsia" w:ascii="宋体" w:hAnsi="宋体" w:cs="宋体"/>
          <w:color w:val="auto"/>
          <w:highlight w:val="none"/>
          <w:lang w:val="en-US" w:eastAsia="zh-CN"/>
        </w:rPr>
        <w:t>3.1</w:t>
      </w:r>
      <w:r>
        <w:rPr>
          <w:rFonts w:hint="eastAsia" w:ascii="宋体" w:hAnsi="宋体" w:cs="宋体"/>
          <w:color w:val="auto"/>
          <w:highlight w:val="none"/>
        </w:rPr>
        <w:t>评审顺序一般先评审技术标，再评审商务标，最后评审经济标，招标人也可根据项目情况确定评审顺序，具体的评标方式、评审顺序及评审因素见本章前附表。</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highlight w:val="none"/>
        </w:rPr>
        <w:t>2.</w:t>
      </w:r>
      <w:r>
        <w:rPr>
          <w:rFonts w:hint="eastAsia" w:ascii="宋体" w:hAnsi="宋体" w:cs="宋体"/>
          <w:color w:val="auto"/>
          <w:highlight w:val="none"/>
          <w:lang w:val="en-US" w:eastAsia="zh-CN"/>
        </w:rPr>
        <w:t>3.2</w:t>
      </w:r>
      <w:r>
        <w:rPr>
          <w:rFonts w:hint="eastAsia" w:ascii="宋体" w:hAnsi="宋体" w:cs="宋体"/>
          <w:color w:val="auto"/>
          <w:highlight w:val="none"/>
        </w:rPr>
        <w:t>采用定量评审评标方式的，评标委员会根据评标办法规定的评分细则，对</w:t>
      </w:r>
      <w:r>
        <w:rPr>
          <w:rFonts w:hint="eastAsia" w:ascii="宋体" w:hAnsi="宋体" w:cs="宋体"/>
          <w:color w:val="auto"/>
          <w:szCs w:val="21"/>
          <w:highlight w:val="none"/>
        </w:rPr>
        <w:t>满足招标文件实质要求的投标文件，按照本章前附表规定的评分标准进行打分，并按</w:t>
      </w:r>
      <w:r>
        <w:rPr>
          <w:rFonts w:hint="eastAsia" w:ascii="宋体" w:hAnsi="宋体" w:cs="宋体"/>
          <w:color w:val="auto"/>
          <w:highlight w:val="none"/>
        </w:rPr>
        <w:t>综合得分</w:t>
      </w:r>
      <w:r>
        <w:rPr>
          <w:rFonts w:hint="eastAsia" w:ascii="宋体" w:hAnsi="宋体" w:cs="宋体"/>
          <w:color w:val="auto"/>
          <w:szCs w:val="21"/>
          <w:highlight w:val="none"/>
        </w:rPr>
        <w:t>由高到低顺序推荐投标人须知前附表第6.4.2款规定数量的</w:t>
      </w:r>
      <w:r>
        <w:rPr>
          <w:rFonts w:hint="eastAsia" w:ascii="宋体" w:hAnsi="宋体" w:cs="宋体"/>
          <w:color w:val="auto"/>
          <w:szCs w:val="21"/>
          <w:highlight w:val="none"/>
          <w:lang w:val="en-US" w:eastAsia="zh-CN"/>
        </w:rPr>
        <w:t>中标</w:t>
      </w:r>
      <w:r>
        <w:rPr>
          <w:rFonts w:hint="eastAsia" w:ascii="宋体" w:hAnsi="宋体" w:cs="宋体"/>
          <w:color w:val="auto"/>
          <w:szCs w:val="21"/>
          <w:highlight w:val="none"/>
        </w:rPr>
        <w:t>候选人。</w:t>
      </w:r>
      <w:r>
        <w:rPr>
          <w:rFonts w:hint="eastAsia" w:ascii="宋体" w:hAnsi="宋体" w:eastAsia="宋体" w:cs="宋体"/>
          <w:color w:val="auto"/>
          <w:szCs w:val="21"/>
          <w:highlight w:val="none"/>
        </w:rPr>
        <w:t>综合评分相等时，以投标报价低的优先；投标报价也相等的，由招标人自行确定。</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w:t>
      </w:r>
      <w:r>
        <w:rPr>
          <w:rFonts w:hint="eastAsia" w:ascii="宋体" w:hAnsi="宋体" w:cs="宋体"/>
          <w:color w:val="auto"/>
          <w:highlight w:val="none"/>
          <w:lang w:val="en-US" w:eastAsia="zh-CN"/>
        </w:rPr>
        <w:t>3</w:t>
      </w:r>
      <w:r>
        <w:rPr>
          <w:rFonts w:hint="eastAsia" w:ascii="宋体" w:hAnsi="宋体" w:cs="宋体"/>
          <w:color w:val="auto"/>
          <w:highlight w:val="none"/>
        </w:rPr>
        <w:t>评分分值计算保留小数点后两位，第三位“四舍五入”。</w:t>
      </w:r>
    </w:p>
    <w:p>
      <w:pPr>
        <w:pStyle w:val="6"/>
        <w:rPr>
          <w:rFonts w:ascii="宋体" w:hAnsi="宋体" w:cs="宋体"/>
          <w:color w:val="auto"/>
          <w:highlight w:val="none"/>
        </w:rPr>
      </w:pPr>
      <w:bookmarkStart w:id="738" w:name="_Toc11216"/>
      <w:bookmarkStart w:id="739" w:name="_Toc24527"/>
      <w:bookmarkStart w:id="740" w:name="_Toc10442"/>
      <w:r>
        <w:rPr>
          <w:rFonts w:hint="eastAsia" w:ascii="宋体" w:hAnsi="宋体" w:cs="宋体"/>
          <w:color w:val="auto"/>
          <w:highlight w:val="none"/>
        </w:rPr>
        <w:t>2.4投标文件的澄清和补正</w:t>
      </w:r>
      <w:bookmarkEnd w:id="738"/>
      <w:bookmarkEnd w:id="739"/>
      <w:bookmarkEnd w:id="740"/>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2.4.1在评标过程中，评标委员会可以书面形式要求投标人对所提交的投标文件中不明确的内容进行书面澄清或说明。评标委员会不接受投标人主动提出的澄清、说明或补正。</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2.4.2 澄清、说明和补正不得改变投标文件的实质性内容</w:t>
      </w:r>
      <w:r>
        <w:rPr>
          <w:rFonts w:hint="eastAsia" w:ascii="宋体" w:hAnsi="宋体" w:cs="仿宋_GB2312"/>
          <w:color w:val="auto"/>
          <w:kern w:val="0"/>
          <w:szCs w:val="21"/>
          <w:highlight w:val="none"/>
        </w:rPr>
        <w:t>（算术性错误修正的除外）</w:t>
      </w:r>
      <w:r>
        <w:rPr>
          <w:rFonts w:hint="eastAsia" w:ascii="宋体" w:hAnsi="宋体" w:cs="宋体"/>
          <w:color w:val="auto"/>
          <w:highlight w:val="none"/>
        </w:rPr>
        <w:t>。投标人的书面澄清、说明和补正属于投标文件的组成部分。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2.4.3 评标委员会对投标人提交的澄清、说明或补正有疑问的，可以要求投标人进一步澄清、说明或补正，直至满足评标委员会的要求。</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2.4.4 在评标过程中，评标委员会发现投标人的报价明显低于其他投标报价，使得其投标报价可能低于其个别成本的，</w:t>
      </w:r>
      <w:r>
        <w:rPr>
          <w:rFonts w:hint="eastAsia" w:ascii="宋体" w:hAnsi="宋体" w:cs="宋体"/>
          <w:color w:val="auto"/>
          <w:szCs w:val="22"/>
          <w:highlight w:val="none"/>
        </w:rPr>
        <w:t>有可能影响质量或者不能诚信履约的，应当要求其在评标现场合理的时间内提供书面说明</w:t>
      </w:r>
      <w:r>
        <w:rPr>
          <w:rFonts w:hint="eastAsia" w:ascii="宋体" w:hAnsi="宋体" w:cs="宋体"/>
          <w:color w:val="auto"/>
          <w:highlight w:val="none"/>
        </w:rPr>
        <w:t>并提供相关证明材料。投标人不能合理说明或者不能提供相关证明材料的，评标委员会应当否决其投标。</w:t>
      </w:r>
    </w:p>
    <w:p>
      <w:pPr>
        <w:pStyle w:val="6"/>
        <w:rPr>
          <w:rFonts w:ascii="宋体" w:hAnsi="宋体" w:cs="宋体"/>
          <w:color w:val="auto"/>
          <w:highlight w:val="none"/>
        </w:rPr>
      </w:pPr>
      <w:bookmarkStart w:id="741" w:name="_Toc21909"/>
      <w:bookmarkStart w:id="742" w:name="_Toc19651"/>
      <w:bookmarkStart w:id="743" w:name="_Toc24682"/>
      <w:r>
        <w:rPr>
          <w:rFonts w:hint="eastAsia" w:ascii="宋体" w:hAnsi="宋体" w:cs="宋体"/>
          <w:color w:val="auto"/>
          <w:highlight w:val="none"/>
        </w:rPr>
        <w:t>2.5推荐</w:t>
      </w:r>
      <w:r>
        <w:rPr>
          <w:rFonts w:hint="eastAsia" w:ascii="宋体" w:hAnsi="宋体" w:cs="宋体"/>
          <w:color w:val="auto"/>
          <w:highlight w:val="none"/>
          <w:lang w:val="en-US" w:eastAsia="zh-CN"/>
        </w:rPr>
        <w:t>中标</w:t>
      </w:r>
      <w:r>
        <w:rPr>
          <w:rFonts w:hint="eastAsia" w:ascii="宋体" w:hAnsi="宋体" w:cs="宋体"/>
          <w:color w:val="auto"/>
          <w:highlight w:val="none"/>
        </w:rPr>
        <w:t>候选人</w:t>
      </w:r>
      <w:bookmarkEnd w:id="741"/>
      <w:bookmarkEnd w:id="742"/>
      <w:bookmarkEnd w:id="743"/>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评标委员会在推荐</w:t>
      </w:r>
      <w:r>
        <w:rPr>
          <w:rFonts w:hint="eastAsia" w:ascii="宋体" w:hAnsi="宋体" w:cs="宋体"/>
          <w:color w:val="auto"/>
          <w:highlight w:val="none"/>
          <w:lang w:val="en-US" w:eastAsia="zh-CN"/>
        </w:rPr>
        <w:t>中标</w:t>
      </w:r>
      <w:r>
        <w:rPr>
          <w:rFonts w:hint="eastAsia" w:ascii="宋体" w:hAnsi="宋体" w:cs="宋体"/>
          <w:color w:val="auto"/>
          <w:highlight w:val="none"/>
        </w:rPr>
        <w:t>候选人时，应遵照以下原则:</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w:t>
      </w:r>
      <w:r>
        <w:rPr>
          <w:rFonts w:hint="eastAsia" w:ascii="宋体" w:hAnsi="宋体" w:cs="宋体"/>
          <w:color w:val="auto"/>
          <w:highlight w:val="none"/>
          <w:lang w:val="en-US" w:eastAsia="zh-CN"/>
        </w:rPr>
        <w:t>5</w:t>
      </w:r>
      <w:r>
        <w:rPr>
          <w:rFonts w:hint="eastAsia" w:ascii="宋体" w:hAnsi="宋体" w:cs="宋体"/>
          <w:color w:val="auto"/>
          <w:highlight w:val="none"/>
        </w:rPr>
        <w:t>.1评标委员会应当按照投标人须知前附表6.4.2款规定，推荐相应数量的</w:t>
      </w:r>
      <w:r>
        <w:rPr>
          <w:rFonts w:hint="eastAsia" w:ascii="宋体" w:hAnsi="宋体" w:cs="宋体"/>
          <w:color w:val="auto"/>
          <w:highlight w:val="none"/>
          <w:lang w:val="en-US" w:eastAsia="zh-CN"/>
        </w:rPr>
        <w:t>中标</w:t>
      </w:r>
      <w:r>
        <w:rPr>
          <w:rFonts w:hint="eastAsia" w:ascii="宋体" w:hAnsi="宋体" w:cs="宋体"/>
          <w:color w:val="auto"/>
          <w:highlight w:val="none"/>
        </w:rPr>
        <w:t>候选人。</w:t>
      </w:r>
    </w:p>
    <w:p>
      <w:pPr>
        <w:spacing w:line="360" w:lineRule="auto"/>
        <w:ind w:firstLine="420" w:firstLineChars="200"/>
        <w:rPr>
          <w:rFonts w:hint="eastAsia"/>
          <w:color w:val="auto"/>
          <w:highlight w:val="none"/>
        </w:rPr>
      </w:pPr>
      <w:r>
        <w:rPr>
          <w:rFonts w:hint="eastAsia" w:ascii="宋体" w:hAnsi="宋体" w:cs="宋体"/>
          <w:color w:val="auto"/>
          <w:highlight w:val="none"/>
        </w:rPr>
        <w:t>2.</w:t>
      </w:r>
      <w:r>
        <w:rPr>
          <w:rFonts w:hint="eastAsia" w:ascii="宋体" w:hAnsi="宋体" w:cs="宋体"/>
          <w:color w:val="auto"/>
          <w:highlight w:val="none"/>
          <w:lang w:val="en-US" w:eastAsia="zh-CN"/>
        </w:rPr>
        <w:t>5</w:t>
      </w:r>
      <w:r>
        <w:rPr>
          <w:rFonts w:hint="eastAsia" w:ascii="宋体" w:hAnsi="宋体" w:cs="宋体"/>
          <w:color w:val="auto"/>
          <w:highlight w:val="none"/>
        </w:rPr>
        <w:t>.2</w:t>
      </w:r>
      <w:r>
        <w:rPr>
          <w:rFonts w:hint="eastAsia"/>
          <w:snapToGrid w:val="0"/>
          <w:color w:val="auto"/>
          <w:kern w:val="32"/>
          <w:szCs w:val="20"/>
          <w:highlight w:val="none"/>
        </w:rPr>
        <w:t>经评标委员会评审，当符合招标文件要求的合格投标人少于</w:t>
      </w:r>
      <w:r>
        <w:rPr>
          <w:rFonts w:hint="eastAsia" w:ascii="宋体" w:hAnsi="宋体" w:cs="宋体"/>
          <w:color w:val="auto"/>
          <w:highlight w:val="none"/>
        </w:rPr>
        <w:t>投标人须知前附表6.4.2款</w:t>
      </w:r>
      <w:r>
        <w:rPr>
          <w:rFonts w:hint="eastAsia"/>
          <w:snapToGrid w:val="0"/>
          <w:color w:val="auto"/>
          <w:kern w:val="32"/>
          <w:szCs w:val="20"/>
          <w:highlight w:val="none"/>
        </w:rPr>
        <w:t>规定的数量，但不少于3名时，全部推荐为中标候选人；少于3名时，</w:t>
      </w:r>
      <w:r>
        <w:rPr>
          <w:rFonts w:hint="eastAsia" w:ascii="宋体" w:hAnsi="宋体" w:eastAsia="宋体" w:cs="宋体"/>
          <w:color w:val="auto"/>
          <w:kern w:val="2"/>
          <w:sz w:val="21"/>
          <w:szCs w:val="24"/>
          <w:highlight w:val="none"/>
        </w:rPr>
        <w:t>评标委员会应当对有效投标是否仍具有竞争性进行评审</w:t>
      </w:r>
      <w:r>
        <w:rPr>
          <w:rFonts w:hint="eastAsia" w:ascii="宋体" w:hAnsi="宋体" w:eastAsia="宋体" w:cs="宋体"/>
          <w:color w:val="auto"/>
          <w:highlight w:val="none"/>
          <w:lang w:eastAsia="zh-CN"/>
        </w:rPr>
        <w:t>；</w:t>
      </w:r>
      <w:r>
        <w:rPr>
          <w:rFonts w:hint="eastAsia" w:ascii="宋体" w:hAnsi="宋体" w:eastAsia="宋体" w:cs="宋体"/>
          <w:color w:val="auto"/>
          <w:kern w:val="2"/>
          <w:sz w:val="21"/>
          <w:szCs w:val="24"/>
          <w:highlight w:val="none"/>
        </w:rPr>
        <w:t>评标委员会一致认为有效投标仍具有竞争性的</w:t>
      </w: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应当继续</w:t>
      </w:r>
      <w:r>
        <w:rPr>
          <w:rFonts w:hint="eastAsia" w:ascii="宋体" w:hAnsi="宋体" w:eastAsia="宋体" w:cs="宋体"/>
          <w:color w:val="auto"/>
          <w:highlight w:val="none"/>
        </w:rPr>
        <w:t>按</w:t>
      </w:r>
      <w:r>
        <w:rPr>
          <w:rFonts w:hint="eastAsia" w:ascii="宋体" w:hAnsi="宋体" w:eastAsia="宋体" w:cs="宋体"/>
          <w:color w:val="auto"/>
          <w:highlight w:val="none"/>
          <w:lang w:val="en-US" w:eastAsia="zh-CN"/>
        </w:rPr>
        <w:t>本章</w:t>
      </w:r>
      <w:r>
        <w:rPr>
          <w:rFonts w:hint="eastAsia"/>
          <w:color w:val="auto"/>
          <w:spacing w:val="-2"/>
          <w:sz w:val="21"/>
          <w:highlight w:val="none"/>
          <w:lang w:val="en-US" w:eastAsia="zh-CN"/>
        </w:rPr>
        <w:t>2.5.1款</w:t>
      </w:r>
      <w:r>
        <w:rPr>
          <w:rFonts w:hint="eastAsia"/>
          <w:color w:val="auto"/>
          <w:spacing w:val="-2"/>
          <w:sz w:val="21"/>
          <w:highlight w:val="none"/>
          <w:lang w:eastAsia="zh-CN"/>
        </w:rPr>
        <w:t>推荐中标候选人</w:t>
      </w:r>
      <w:r>
        <w:rPr>
          <w:rFonts w:hint="eastAsia" w:ascii="宋体" w:hAnsi="宋体" w:eastAsia="宋体" w:cs="宋体"/>
          <w:color w:val="auto"/>
          <w:highlight w:val="none"/>
        </w:rPr>
        <w:t>；</w:t>
      </w:r>
      <w:r>
        <w:rPr>
          <w:rFonts w:hint="eastAsia" w:ascii="宋体" w:hAnsi="宋体" w:eastAsia="宋体" w:cs="宋体"/>
          <w:color w:val="auto"/>
          <w:kern w:val="2"/>
          <w:sz w:val="21"/>
          <w:szCs w:val="24"/>
          <w:highlight w:val="none"/>
        </w:rPr>
        <w:t>评标委员会一致认为有效投标</w:t>
      </w:r>
      <w:r>
        <w:rPr>
          <w:rFonts w:hint="eastAsia" w:ascii="宋体" w:hAnsi="宋体" w:eastAsia="宋体" w:cs="宋体"/>
          <w:color w:val="auto"/>
          <w:kern w:val="2"/>
          <w:sz w:val="21"/>
          <w:szCs w:val="24"/>
          <w:highlight w:val="none"/>
          <w:lang w:val="en-US" w:eastAsia="zh-CN"/>
        </w:rPr>
        <w:t>不</w:t>
      </w:r>
      <w:r>
        <w:rPr>
          <w:rFonts w:hint="eastAsia" w:ascii="宋体" w:hAnsi="宋体" w:eastAsia="宋体" w:cs="宋体"/>
          <w:color w:val="auto"/>
          <w:kern w:val="2"/>
          <w:sz w:val="21"/>
          <w:szCs w:val="24"/>
          <w:highlight w:val="none"/>
        </w:rPr>
        <w:t>具有竞争性的</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应当否决全部投标</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评标委员会对有效投标是否仍具有竞争性无法达成一致意见的，应当否决全部投标。</w:t>
      </w:r>
      <w:r>
        <w:rPr>
          <w:rFonts w:hint="eastAsia" w:ascii="宋体" w:hAnsi="宋体" w:eastAsia="宋体" w:cs="宋体"/>
          <w:color w:val="auto"/>
          <w:kern w:val="2"/>
          <w:sz w:val="21"/>
          <w:szCs w:val="24"/>
          <w:highlight w:val="none"/>
        </w:rPr>
        <w:t>评标委员会应当在评标报告中记载论证过程和结果。</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w:t>
      </w:r>
      <w:r>
        <w:rPr>
          <w:rFonts w:hint="eastAsia" w:ascii="宋体" w:hAnsi="宋体" w:cs="宋体"/>
          <w:color w:val="auto"/>
          <w:highlight w:val="none"/>
          <w:lang w:val="en-US" w:eastAsia="zh-CN"/>
        </w:rPr>
        <w:t>5</w:t>
      </w:r>
      <w:r>
        <w:rPr>
          <w:rFonts w:hint="eastAsia" w:ascii="宋体" w:hAnsi="宋体" w:cs="宋体"/>
          <w:color w:val="auto"/>
          <w:highlight w:val="none"/>
        </w:rPr>
        <w:t>.3评标委员会完成评标后，应当向招标人提交评标报告。</w:t>
      </w:r>
    </w:p>
    <w:bookmarkEnd w:id="717"/>
    <w:bookmarkEnd w:id="718"/>
    <w:bookmarkEnd w:id="719"/>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widowControl/>
        <w:jc w:val="left"/>
        <w:rPr>
          <w:color w:val="auto"/>
          <w:highlight w:val="none"/>
        </w:rPr>
      </w:pPr>
    </w:p>
    <w:p>
      <w:pPr>
        <w:pStyle w:val="4"/>
        <w:jc w:val="center"/>
        <w:rPr>
          <w:color w:val="auto"/>
          <w:highlight w:val="none"/>
        </w:rPr>
      </w:pPr>
      <w:bookmarkStart w:id="744" w:name="_Toc14322"/>
      <w:bookmarkStart w:id="745" w:name="_Toc10047"/>
      <w:bookmarkStart w:id="746" w:name="_Toc9945"/>
      <w:r>
        <w:rPr>
          <w:rFonts w:hint="eastAsia"/>
          <w:color w:val="auto"/>
          <w:highlight w:val="none"/>
        </w:rPr>
        <w:t>第三章</w:t>
      </w:r>
      <w:r>
        <w:rPr>
          <w:color w:val="auto"/>
          <w:highlight w:val="none"/>
        </w:rPr>
        <w:t xml:space="preserve"> </w:t>
      </w:r>
      <w:r>
        <w:rPr>
          <w:rFonts w:hint="eastAsia"/>
          <w:color w:val="auto"/>
          <w:highlight w:val="none"/>
        </w:rPr>
        <w:t>评标办法（</w:t>
      </w:r>
      <w:r>
        <w:rPr>
          <w:rFonts w:hint="eastAsia" w:ascii="黑体" w:hAnsi="黑体" w:cs="黑体"/>
          <w:color w:val="auto"/>
          <w:szCs w:val="32"/>
          <w:highlight w:val="none"/>
        </w:rPr>
        <w:t>评定分离法</w:t>
      </w:r>
      <w:r>
        <w:rPr>
          <w:rFonts w:hint="eastAsia" w:ascii="黑体" w:hAnsi="黑体" w:cs="黑体"/>
          <w:color w:val="auto"/>
          <w:szCs w:val="32"/>
          <w:highlight w:val="none"/>
          <w:lang w:eastAsia="zh-CN"/>
        </w:rPr>
        <w:t>，</w:t>
      </w:r>
      <w:r>
        <w:rPr>
          <w:rFonts w:hint="eastAsia" w:ascii="宋体" w:hAnsi="宋体" w:cs="宋体"/>
          <w:color w:val="auto"/>
          <w:sz w:val="32"/>
          <w:szCs w:val="32"/>
          <w:highlight w:val="none"/>
          <w:lang w:val="en-US" w:eastAsia="zh-CN"/>
        </w:rPr>
        <w:t>采用两阶段开评标</w:t>
      </w:r>
      <w:r>
        <w:rPr>
          <w:rFonts w:hint="eastAsia"/>
          <w:color w:val="auto"/>
          <w:highlight w:val="none"/>
        </w:rPr>
        <w:t>）</w:t>
      </w:r>
      <w:bookmarkEnd w:id="744"/>
      <w:bookmarkEnd w:id="745"/>
      <w:bookmarkEnd w:id="746"/>
    </w:p>
    <w:p>
      <w:pPr>
        <w:pStyle w:val="5"/>
        <w:jc w:val="center"/>
        <w:rPr>
          <w:rFonts w:ascii="黑体" w:hAnsi="黑体" w:eastAsia="黑体" w:cs="黑体"/>
          <w:b w:val="0"/>
          <w:bCs w:val="0"/>
          <w:color w:val="auto"/>
          <w:sz w:val="32"/>
          <w:highlight w:val="none"/>
        </w:rPr>
      </w:pPr>
      <w:bookmarkStart w:id="747" w:name="_Toc19603"/>
      <w:bookmarkStart w:id="748" w:name="_Toc18695"/>
      <w:bookmarkStart w:id="749" w:name="_Toc5429"/>
      <w:r>
        <w:rPr>
          <w:rFonts w:hint="eastAsia" w:ascii="黑体" w:hAnsi="黑体" w:eastAsia="黑体" w:cs="黑体"/>
          <w:b w:val="0"/>
          <w:bCs w:val="0"/>
          <w:color w:val="auto"/>
          <w:sz w:val="32"/>
          <w:highlight w:val="none"/>
        </w:rPr>
        <w:t>评标办法前附表</w:t>
      </w:r>
      <w:bookmarkEnd w:id="747"/>
      <w:bookmarkEnd w:id="748"/>
      <w:bookmarkEnd w:id="749"/>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工程总承包项目招标一般应当采用两阶段评标。</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第一阶段：先对设计文件及资格审查资料（实行资格后审的）进行评审。在设计文件评审及资格审查（实行资格后审的）合格（得分</w:t>
      </w:r>
      <w:r>
        <w:rPr>
          <w:rFonts w:ascii="宋体" w:hAnsi="宋体" w:cs="宋体"/>
          <w:color w:val="auto"/>
          <w:szCs w:val="21"/>
          <w:highlight w:val="none"/>
        </w:rPr>
        <w:t>60%以上，具体合格分在招标文件中明确）的投标人中，只有设计文件得分汇总排在前若干</w:t>
      </w:r>
      <w:r>
        <w:rPr>
          <w:rFonts w:hint="eastAsia" w:ascii="宋体" w:hAnsi="宋体" w:cs="宋体"/>
          <w:color w:val="auto"/>
          <w:szCs w:val="21"/>
          <w:highlight w:val="none"/>
          <w:lang w:val="en-US" w:eastAsia="zh-CN"/>
        </w:rPr>
        <w:t>家</w:t>
      </w:r>
      <w:r>
        <w:rPr>
          <w:rFonts w:ascii="宋体" w:hAnsi="宋体" w:cs="宋体"/>
          <w:color w:val="auto"/>
          <w:szCs w:val="21"/>
          <w:highlight w:val="none"/>
        </w:rPr>
        <w:t>的（不少于5</w:t>
      </w:r>
      <w:r>
        <w:rPr>
          <w:rFonts w:hint="eastAsia" w:ascii="宋体" w:hAnsi="宋体" w:cs="宋体"/>
          <w:color w:val="auto"/>
          <w:szCs w:val="21"/>
          <w:highlight w:val="none"/>
          <w:lang w:val="en-US" w:eastAsia="zh-CN"/>
        </w:rPr>
        <w:t>家</w:t>
      </w:r>
      <w:r>
        <w:rPr>
          <w:rFonts w:ascii="宋体" w:hAnsi="宋体" w:cs="宋体"/>
          <w:color w:val="auto"/>
          <w:szCs w:val="21"/>
          <w:highlight w:val="none"/>
        </w:rPr>
        <w:t>，具体数量在招标文件中明确</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末位出现得分相同</w:t>
      </w:r>
      <w:r>
        <w:rPr>
          <w:rFonts w:hint="eastAsia" w:ascii="宋体" w:hAnsi="宋体" w:eastAsia="宋体" w:cs="Times New Roman"/>
          <w:b w:val="0"/>
          <w:bCs/>
          <w:color w:val="auto"/>
          <w:kern w:val="2"/>
          <w:sz w:val="21"/>
          <w:szCs w:val="24"/>
          <w:highlight w:val="none"/>
          <w:lang w:val="en-US" w:eastAsia="zh-CN" w:bidi="ar-SA"/>
        </w:rPr>
        <w:t>的情况除外</w:t>
      </w:r>
      <w:r>
        <w:rPr>
          <w:rFonts w:hint="eastAsia" w:ascii="宋体" w:hAnsi="宋体" w:cs="宋体"/>
          <w:color w:val="auto"/>
          <w:szCs w:val="21"/>
          <w:highlight w:val="none"/>
          <w:lang w:val="en-US" w:eastAsia="zh-CN"/>
        </w:rPr>
        <w:t>，若末位出现得分相同</w:t>
      </w:r>
      <w:r>
        <w:rPr>
          <w:rFonts w:hint="eastAsia" w:ascii="宋体" w:hAnsi="宋体" w:eastAsia="宋体" w:cs="Times New Roman"/>
          <w:b w:val="0"/>
          <w:bCs/>
          <w:color w:val="auto"/>
          <w:kern w:val="2"/>
          <w:sz w:val="21"/>
          <w:szCs w:val="24"/>
          <w:highlight w:val="none"/>
          <w:lang w:val="en-US" w:eastAsia="zh-CN" w:bidi="ar-SA"/>
        </w:rPr>
        <w:t>的情况</w:t>
      </w:r>
      <w:r>
        <w:rPr>
          <w:rFonts w:hint="eastAsia" w:ascii="宋体" w:hAnsi="宋体" w:cs="Times New Roman"/>
          <w:b w:val="0"/>
          <w:bCs/>
          <w:color w:val="auto"/>
          <w:kern w:val="2"/>
          <w:sz w:val="21"/>
          <w:szCs w:val="24"/>
          <w:highlight w:val="none"/>
          <w:lang w:val="en-US" w:eastAsia="zh-CN" w:bidi="ar-SA"/>
        </w:rPr>
        <w:t>，则</w:t>
      </w:r>
      <w:r>
        <w:rPr>
          <w:rFonts w:hint="eastAsia" w:ascii="宋体" w:hAnsi="宋体" w:eastAsia="宋体" w:cs="Times New Roman"/>
          <w:b w:val="0"/>
          <w:bCs/>
          <w:color w:val="auto"/>
          <w:kern w:val="2"/>
          <w:sz w:val="21"/>
          <w:szCs w:val="24"/>
          <w:highlight w:val="none"/>
          <w:lang w:val="en-US" w:eastAsia="zh-CN" w:bidi="ar-SA"/>
        </w:rPr>
        <w:t>同分跟进增加</w:t>
      </w:r>
      <w:r>
        <w:rPr>
          <w:rFonts w:hint="eastAsia" w:ascii="宋体" w:hAnsi="宋体" w:cs="Times New Roman"/>
          <w:b w:val="0"/>
          <w:bCs/>
          <w:color w:val="auto"/>
          <w:kern w:val="2"/>
          <w:sz w:val="21"/>
          <w:szCs w:val="24"/>
          <w:highlight w:val="none"/>
          <w:lang w:val="en-US" w:eastAsia="zh-CN" w:bidi="ar-SA"/>
        </w:rPr>
        <w:t>进入</w:t>
      </w:r>
      <w:r>
        <w:rPr>
          <w:rFonts w:ascii="宋体" w:hAnsi="宋体" w:cs="宋体"/>
          <w:color w:val="auto"/>
          <w:szCs w:val="21"/>
          <w:highlight w:val="none"/>
        </w:rPr>
        <w:t>第二阶段</w:t>
      </w:r>
      <w:r>
        <w:rPr>
          <w:rFonts w:hint="eastAsia" w:ascii="宋体" w:hAnsi="宋体" w:cs="宋体"/>
          <w:color w:val="auto"/>
          <w:szCs w:val="21"/>
          <w:highlight w:val="none"/>
        </w:rPr>
        <w:t>评标</w:t>
      </w:r>
      <w:r>
        <w:rPr>
          <w:rFonts w:hint="eastAsia" w:ascii="宋体" w:hAnsi="宋体" w:cs="宋体"/>
          <w:color w:val="auto"/>
          <w:szCs w:val="21"/>
          <w:highlight w:val="none"/>
          <w:lang w:val="en-US" w:eastAsia="zh-CN"/>
        </w:rPr>
        <w:t>的投标人数量</w:t>
      </w:r>
      <w:r>
        <w:rPr>
          <w:rFonts w:ascii="宋体" w:hAnsi="宋体" w:cs="宋体"/>
          <w:color w:val="auto"/>
          <w:szCs w:val="21"/>
          <w:highlight w:val="none"/>
        </w:rPr>
        <w:t>），才能进入第二阶段</w:t>
      </w:r>
      <w:r>
        <w:rPr>
          <w:rFonts w:hint="eastAsia" w:ascii="宋体" w:hAnsi="宋体" w:cs="宋体"/>
          <w:color w:val="auto"/>
          <w:szCs w:val="21"/>
          <w:highlight w:val="none"/>
        </w:rPr>
        <w:t>评标</w:t>
      </w:r>
      <w:r>
        <w:rPr>
          <w:rFonts w:hint="eastAsia" w:ascii="宋体" w:hAnsi="宋体" w:cs="宋体"/>
          <w:color w:val="auto"/>
          <w:szCs w:val="21"/>
          <w:highlight w:val="none"/>
          <w:lang w:eastAsia="zh-CN"/>
        </w:rPr>
        <w:t>，</w:t>
      </w:r>
      <w:r>
        <w:rPr>
          <w:rFonts w:hint="eastAsia" w:ascii="宋体" w:hAnsi="宋体" w:cs="宋体"/>
          <w:color w:val="auto"/>
          <w:szCs w:val="21"/>
          <w:highlight w:val="none"/>
        </w:rPr>
        <w:t>设计文件评审合格的投标人少于</w:t>
      </w:r>
      <w:r>
        <w:rPr>
          <w:rFonts w:ascii="宋体" w:hAnsi="宋体" w:cs="宋体"/>
          <w:color w:val="auto"/>
          <w:szCs w:val="21"/>
          <w:highlight w:val="none"/>
        </w:rPr>
        <w:t>5</w:t>
      </w:r>
      <w:r>
        <w:rPr>
          <w:rFonts w:hint="eastAsia" w:ascii="宋体" w:hAnsi="宋体" w:cs="宋体"/>
          <w:color w:val="auto"/>
          <w:szCs w:val="21"/>
          <w:highlight w:val="none"/>
          <w:lang w:val="en-US" w:eastAsia="zh-CN"/>
        </w:rPr>
        <w:t>家</w:t>
      </w:r>
      <w:r>
        <w:rPr>
          <w:rFonts w:ascii="宋体" w:hAnsi="宋体" w:cs="宋体"/>
          <w:color w:val="auto"/>
          <w:szCs w:val="21"/>
          <w:highlight w:val="none"/>
        </w:rPr>
        <w:t>的，全部进入第二阶段</w:t>
      </w:r>
      <w:r>
        <w:rPr>
          <w:rFonts w:hint="eastAsia" w:ascii="宋体" w:hAnsi="宋体" w:cs="宋体"/>
          <w:color w:val="auto"/>
          <w:szCs w:val="21"/>
          <w:highlight w:val="none"/>
        </w:rPr>
        <w:t>评标。</w:t>
      </w:r>
    </w:p>
    <w:tbl>
      <w:tblPr>
        <w:tblStyle w:val="44"/>
        <w:tblW w:w="8455" w:type="dxa"/>
        <w:tblInd w:w="0" w:type="dxa"/>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Layout w:type="fixed"/>
        <w:tblCellMar>
          <w:top w:w="0" w:type="dxa"/>
          <w:left w:w="0" w:type="dxa"/>
          <w:bottom w:w="0" w:type="dxa"/>
          <w:right w:w="0" w:type="dxa"/>
        </w:tblCellMar>
      </w:tblPr>
      <w:tblGrid>
        <w:gridCol w:w="781"/>
        <w:gridCol w:w="1459"/>
        <w:gridCol w:w="2073"/>
        <w:gridCol w:w="4142"/>
      </w:tblGrid>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资格评审（实行资格后审的）</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224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条款号</w:t>
            </w: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评审因素</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1.1.2</w:t>
            </w:r>
          </w:p>
        </w:tc>
        <w:tc>
          <w:tcPr>
            <w:tcW w:w="1459"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资格评审标准</w:t>
            </w: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营业执照</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具备有效的营业执照</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安全生产许可证</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具备有效的安全生产许可证（设计单位无须提供）</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ascii="宋体" w:hAnsi="宋体" w:eastAsia="宋体" w:cs="宋体"/>
                <w:color w:val="auto"/>
                <w:kern w:val="0"/>
                <w:szCs w:val="21"/>
                <w:highlight w:val="none"/>
              </w:rPr>
              <w:t>企业基本存款账户开户许可证或基本存款账户证明材料</w:t>
            </w:r>
            <w:r>
              <w:rPr>
                <w:rFonts w:hint="eastAsia" w:ascii="宋体" w:hAnsi="宋体" w:eastAsia="宋体" w:cs="宋体"/>
                <w:color w:val="auto"/>
                <w:kern w:val="0"/>
                <w:szCs w:val="21"/>
                <w:highlight w:val="none"/>
                <w:lang w:eastAsia="zh-CN"/>
              </w:rPr>
              <w:t>（</w:t>
            </w:r>
            <w:r>
              <w:rPr>
                <w:rFonts w:hint="eastAsia" w:ascii="宋体" w:hAnsi="宋体" w:eastAsia="宋体" w:cs="宋体"/>
                <w:color w:val="auto"/>
                <w:kern w:val="0"/>
                <w:szCs w:val="21"/>
                <w:highlight w:val="none"/>
                <w:lang w:val="en-US" w:eastAsia="zh-CN"/>
              </w:rPr>
              <w:t>如有</w:t>
            </w:r>
            <w:r>
              <w:rPr>
                <w:rFonts w:hint="eastAsia" w:ascii="宋体" w:hAnsi="宋体" w:eastAsia="宋体" w:cs="宋体"/>
                <w:color w:val="auto"/>
                <w:kern w:val="0"/>
                <w:szCs w:val="21"/>
                <w:highlight w:val="none"/>
                <w:lang w:eastAsia="zh-CN"/>
              </w:rPr>
              <w:t>）</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cs="宋体"/>
                <w:color w:val="auto"/>
                <w:highlight w:val="none"/>
              </w:rPr>
            </w:pPr>
            <w:r>
              <w:rPr>
                <w:rFonts w:hint="eastAsia" w:ascii="宋体" w:hAnsi="宋体" w:eastAsia="宋体" w:cs="宋体"/>
                <w:color w:val="auto"/>
                <w:highlight w:val="none"/>
              </w:rPr>
              <w:t>具备</w:t>
            </w:r>
            <w:r>
              <w:rPr>
                <w:rFonts w:hint="eastAsia" w:ascii="宋体" w:hAnsi="宋体" w:eastAsia="宋体" w:cs="宋体"/>
                <w:color w:val="auto"/>
                <w:kern w:val="0"/>
                <w:szCs w:val="21"/>
                <w:highlight w:val="none"/>
              </w:rPr>
              <w:t>企业基本存款账户开户许可证或基本存款账户证明材料</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资质证书</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具备有效的资质证书</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资质等级</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highlight w:val="none"/>
                <w:lang w:eastAsia="zh-CN"/>
              </w:rPr>
            </w:pPr>
            <w:r>
              <w:rPr>
                <w:rFonts w:hint="eastAsia" w:ascii="宋体" w:hAnsi="宋体" w:cs="宋体"/>
                <w:color w:val="auto"/>
                <w:highlight w:val="none"/>
              </w:rPr>
              <w:t>财务要求</w:t>
            </w:r>
            <w:r>
              <w:rPr>
                <w:rFonts w:hint="eastAsia" w:ascii="宋体" w:hAnsi="宋体" w:cs="宋体"/>
                <w:color w:val="auto"/>
                <w:highlight w:val="none"/>
                <w:lang w:eastAsia="zh-CN"/>
              </w:rPr>
              <w:t>（</w:t>
            </w:r>
            <w:r>
              <w:rPr>
                <w:rFonts w:hint="eastAsia" w:ascii="宋体" w:hAnsi="宋体" w:cs="宋体"/>
                <w:color w:val="auto"/>
                <w:highlight w:val="none"/>
                <w:lang w:val="en-US" w:eastAsia="zh-CN"/>
              </w:rPr>
              <w:t>如有</w:t>
            </w:r>
            <w:r>
              <w:rPr>
                <w:rFonts w:hint="eastAsia" w:ascii="宋体" w:hAnsi="宋体" w:cs="宋体"/>
                <w:color w:val="auto"/>
                <w:highlight w:val="none"/>
                <w:lang w:eastAsia="zh-CN"/>
              </w:rPr>
              <w:t>）</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业绩要求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拟派工程总承包项目经理</w:t>
            </w:r>
            <w:r>
              <w:rPr>
                <w:rFonts w:hint="eastAsia" w:ascii="宋体" w:hAnsi="宋体" w:cs="宋体"/>
                <w:color w:val="auto"/>
                <w:highlight w:val="none"/>
                <w:lang w:eastAsia="zh-CN"/>
              </w:rPr>
              <w:t>、</w:t>
            </w:r>
            <w:r>
              <w:rPr>
                <w:rFonts w:hint="eastAsia" w:ascii="宋体" w:hAnsi="宋体" w:cs="宋体"/>
                <w:color w:val="auto"/>
                <w:highlight w:val="none"/>
                <w:lang w:val="en-US" w:eastAsia="zh-CN"/>
              </w:rPr>
              <w:t>施工项目负责人、设计负责人</w:t>
            </w:r>
            <w:r>
              <w:rPr>
                <w:rFonts w:hint="eastAsia" w:ascii="宋体" w:hAnsi="宋体" w:cs="宋体"/>
                <w:color w:val="auto"/>
                <w:highlight w:val="none"/>
              </w:rPr>
              <w:t>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58"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ascii="宋体" w:hAnsi="宋体" w:cs="宋体"/>
                <w:color w:val="auto"/>
                <w:kern w:val="0"/>
                <w:szCs w:val="21"/>
                <w:highlight w:val="none"/>
              </w:rPr>
              <w:t>信誉要求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cs="宋体"/>
                <w:color w:val="auto"/>
                <w:highlight w:val="none"/>
              </w:rPr>
            </w:pPr>
            <w:r>
              <w:rPr>
                <w:rFonts w:hint="eastAsia" w:ascii="宋体" w:hAnsi="宋体" w:cs="宋体"/>
                <w:color w:val="auto"/>
                <w:highlight w:val="none"/>
              </w:rPr>
              <w:t>符合第二章“投标人须知”第1.4.1项规定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58"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kern w:val="0"/>
                <w:szCs w:val="21"/>
                <w:highlight w:val="none"/>
              </w:rPr>
            </w:pPr>
            <w:r>
              <w:rPr>
                <w:rFonts w:hint="eastAsia"/>
                <w:color w:val="auto"/>
                <w:highlight w:val="none"/>
              </w:rPr>
              <w:t>联合体投标人</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cs="宋体"/>
                <w:color w:val="auto"/>
                <w:highlight w:val="none"/>
              </w:rPr>
            </w:pPr>
            <w:r>
              <w:rPr>
                <w:rFonts w:hint="eastAsia"/>
                <w:color w:val="auto"/>
                <w:highlight w:val="none"/>
              </w:rPr>
              <w:t>符合第二章“投标人须知”第</w:t>
            </w:r>
            <w:r>
              <w:rPr>
                <w:color w:val="auto"/>
                <w:highlight w:val="none"/>
              </w:rPr>
              <w:t xml:space="preserve"> 1.4.2</w:t>
            </w:r>
            <w:r>
              <w:rPr>
                <w:rFonts w:hint="eastAsia"/>
                <w:color w:val="auto"/>
                <w:highlight w:val="none"/>
              </w:rPr>
              <w:t>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58"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color w:val="auto"/>
                <w:highlight w:val="none"/>
              </w:rPr>
            </w:pPr>
            <w:r>
              <w:rPr>
                <w:rFonts w:ascii="宋体" w:hAnsi="宋体" w:cs="宋体"/>
                <w:color w:val="auto"/>
                <w:szCs w:val="21"/>
                <w:highlight w:val="none"/>
              </w:rPr>
              <w:t>不存在禁止投标的情形</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color w:val="auto"/>
                <w:highlight w:val="none"/>
              </w:rPr>
            </w:pPr>
            <w:r>
              <w:rPr>
                <w:rFonts w:ascii="宋体" w:hAnsi="宋体" w:cs="宋体"/>
                <w:color w:val="auto"/>
                <w:szCs w:val="21"/>
                <w:highlight w:val="none"/>
              </w:rPr>
              <w:t>不存在第二章</w:t>
            </w:r>
            <w:r>
              <w:rPr>
                <w:rFonts w:eastAsia="Times New Roman"/>
                <w:color w:val="auto"/>
                <w:szCs w:val="21"/>
                <w:highlight w:val="none"/>
              </w:rPr>
              <w:t>“</w:t>
            </w:r>
            <w:r>
              <w:rPr>
                <w:rFonts w:ascii="宋体" w:hAnsi="宋体" w:cs="宋体"/>
                <w:color w:val="auto"/>
                <w:szCs w:val="21"/>
                <w:highlight w:val="none"/>
              </w:rPr>
              <w:t>投标人须知</w:t>
            </w:r>
            <w:r>
              <w:rPr>
                <w:rFonts w:eastAsia="Times New Roman"/>
                <w:color w:val="auto"/>
                <w:szCs w:val="21"/>
                <w:highlight w:val="none"/>
              </w:rPr>
              <w:t>”</w:t>
            </w:r>
            <w:r>
              <w:rPr>
                <w:rFonts w:ascii="宋体" w:hAnsi="宋体" w:cs="宋体"/>
                <w:color w:val="auto"/>
                <w:szCs w:val="21"/>
                <w:highlight w:val="none"/>
              </w:rPr>
              <w:t>第</w:t>
            </w:r>
            <w:r>
              <w:rPr>
                <w:rFonts w:eastAsia="Times New Roman"/>
                <w:color w:val="auto"/>
                <w:szCs w:val="21"/>
                <w:highlight w:val="none"/>
              </w:rPr>
              <w:t>1.4.3</w:t>
            </w:r>
            <w:r>
              <w:rPr>
                <w:rFonts w:ascii="宋体" w:hAnsi="宋体" w:cs="宋体"/>
                <w:color w:val="auto"/>
                <w:szCs w:val="21"/>
                <w:highlight w:val="none"/>
              </w:rPr>
              <w:t>项规定的任何一种情形</w:t>
            </w: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781"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459"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2073"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其他要求</w:t>
            </w:r>
          </w:p>
        </w:tc>
        <w:tc>
          <w:tcPr>
            <w:tcW w:w="4142"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符合第二章“投标人须知”第1.4.1项规定的其他要求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ascii="黑体" w:hAnsi="黑体" w:eastAsia="黑体"/>
                <w:color w:val="auto"/>
                <w:sz w:val="24"/>
                <w:highlight w:val="none"/>
              </w:rPr>
              <w:t>设计文件评审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条款号</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评审因素</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b/>
                <w:bCs/>
                <w:color w:val="auto"/>
                <w:highlight w:val="none"/>
              </w:rPr>
            </w:pPr>
            <w:r>
              <w:rPr>
                <w:rFonts w:hint="eastAsia" w:ascii="宋体" w:hAnsi="宋体" w:cs="宋体"/>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rPr>
              <w:t>2.</w:t>
            </w:r>
            <w:r>
              <w:rPr>
                <w:rFonts w:hint="eastAsia" w:ascii="宋体" w:hAnsi="宋体" w:cs="宋体"/>
                <w:color w:val="auto"/>
                <w:highlight w:val="none"/>
                <w:lang w:val="en-US" w:eastAsia="zh-CN"/>
              </w:rPr>
              <w:t>1.6</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设计文件合格性评审</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合格分：</w:t>
            </w:r>
            <w:r>
              <w:rPr>
                <w:rFonts w:hint="eastAsia" w:ascii="宋体" w:hAnsi="宋体" w:cs="宋体"/>
                <w:color w:val="auto"/>
                <w:highlight w:val="none"/>
                <w:u w:val="single"/>
              </w:rPr>
              <w:t xml:space="preserve">   </w:t>
            </w:r>
            <w:r>
              <w:rPr>
                <w:rFonts w:hint="eastAsia" w:ascii="宋体" w:hAnsi="宋体" w:cs="宋体"/>
                <w:color w:val="auto"/>
                <w:highlight w:val="none"/>
              </w:rPr>
              <w:t>（不少于60%）</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rPr>
              <w:t>2.</w:t>
            </w:r>
            <w:r>
              <w:rPr>
                <w:rFonts w:hint="eastAsia" w:ascii="宋体" w:hAnsi="宋体" w:cs="宋体"/>
                <w:color w:val="auto"/>
                <w:highlight w:val="none"/>
                <w:lang w:val="en-US" w:eastAsia="zh-CN"/>
              </w:rPr>
              <w:t>1.6</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择优进入第二阶段评审</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设计文件合格且排名前</w:t>
            </w:r>
            <w:r>
              <w:rPr>
                <w:rFonts w:hint="eastAsia" w:ascii="宋体" w:hAnsi="宋体" w:cs="宋体"/>
                <w:color w:val="auto"/>
                <w:highlight w:val="none"/>
                <w:u w:val="single"/>
              </w:rPr>
              <w:t xml:space="preserve">  </w:t>
            </w:r>
            <w:r>
              <w:rPr>
                <w:rFonts w:hint="eastAsia" w:ascii="宋体" w:hAnsi="宋体" w:cs="宋体"/>
                <w:color w:val="auto"/>
                <w:highlight w:val="none"/>
                <w:lang w:val="en-US" w:eastAsia="zh-CN"/>
              </w:rPr>
              <w:t>家</w:t>
            </w:r>
            <w:r>
              <w:rPr>
                <w:rFonts w:hint="eastAsia" w:ascii="宋体" w:hAnsi="宋体" w:cs="宋体"/>
                <w:color w:val="auto"/>
                <w:highlight w:val="none"/>
              </w:rPr>
              <w:t>（不少于5</w:t>
            </w:r>
            <w:r>
              <w:rPr>
                <w:rFonts w:hint="eastAsia" w:ascii="宋体" w:hAnsi="宋体" w:cs="宋体"/>
                <w:color w:val="auto"/>
                <w:highlight w:val="none"/>
                <w:lang w:val="en-US" w:eastAsia="zh-CN"/>
              </w:rPr>
              <w:t>家；</w:t>
            </w:r>
            <w:r>
              <w:rPr>
                <w:rFonts w:hint="eastAsia" w:ascii="宋体" w:hAnsi="宋体" w:cs="宋体"/>
                <w:color w:val="auto"/>
                <w:szCs w:val="21"/>
                <w:highlight w:val="none"/>
                <w:lang w:val="en-US" w:eastAsia="zh-CN"/>
              </w:rPr>
              <w:t>末位出现得分相同</w:t>
            </w:r>
            <w:r>
              <w:rPr>
                <w:rFonts w:hint="eastAsia" w:ascii="宋体" w:hAnsi="宋体" w:eastAsia="宋体" w:cs="Times New Roman"/>
                <w:b w:val="0"/>
                <w:bCs/>
                <w:color w:val="auto"/>
                <w:kern w:val="2"/>
                <w:sz w:val="21"/>
                <w:szCs w:val="24"/>
                <w:highlight w:val="none"/>
                <w:lang w:val="en-US" w:eastAsia="zh-CN" w:bidi="ar-SA"/>
              </w:rPr>
              <w:t>的情况除外</w:t>
            </w:r>
            <w:r>
              <w:rPr>
                <w:rFonts w:hint="eastAsia" w:ascii="宋体" w:hAnsi="宋体" w:cs="宋体"/>
                <w:color w:val="auto"/>
                <w:szCs w:val="21"/>
                <w:highlight w:val="none"/>
                <w:lang w:val="en-US" w:eastAsia="zh-CN"/>
              </w:rPr>
              <w:t>，若末位出现得分相同</w:t>
            </w:r>
            <w:r>
              <w:rPr>
                <w:rFonts w:hint="eastAsia" w:ascii="宋体" w:hAnsi="宋体" w:eastAsia="宋体" w:cs="Times New Roman"/>
                <w:b w:val="0"/>
                <w:bCs/>
                <w:color w:val="auto"/>
                <w:kern w:val="2"/>
                <w:sz w:val="21"/>
                <w:szCs w:val="24"/>
                <w:highlight w:val="none"/>
                <w:lang w:val="en-US" w:eastAsia="zh-CN" w:bidi="ar-SA"/>
              </w:rPr>
              <w:t>的情况</w:t>
            </w:r>
            <w:r>
              <w:rPr>
                <w:rFonts w:hint="eastAsia" w:ascii="宋体" w:hAnsi="宋体" w:cs="Times New Roman"/>
                <w:b w:val="0"/>
                <w:bCs/>
                <w:color w:val="auto"/>
                <w:kern w:val="2"/>
                <w:sz w:val="21"/>
                <w:szCs w:val="24"/>
                <w:highlight w:val="none"/>
                <w:lang w:val="en-US" w:eastAsia="zh-CN" w:bidi="ar-SA"/>
              </w:rPr>
              <w:t>，则</w:t>
            </w:r>
            <w:r>
              <w:rPr>
                <w:rFonts w:hint="eastAsia" w:ascii="宋体" w:hAnsi="宋体" w:eastAsia="宋体" w:cs="Times New Roman"/>
                <w:b w:val="0"/>
                <w:bCs/>
                <w:color w:val="auto"/>
                <w:kern w:val="2"/>
                <w:sz w:val="21"/>
                <w:szCs w:val="24"/>
                <w:highlight w:val="none"/>
                <w:lang w:val="en-US" w:eastAsia="zh-CN" w:bidi="ar-SA"/>
              </w:rPr>
              <w:t>同分跟进增加</w:t>
            </w:r>
            <w:r>
              <w:rPr>
                <w:rFonts w:hint="eastAsia" w:ascii="宋体" w:hAnsi="宋体" w:cs="Times New Roman"/>
                <w:b w:val="0"/>
                <w:bCs/>
                <w:color w:val="auto"/>
                <w:kern w:val="2"/>
                <w:sz w:val="21"/>
                <w:szCs w:val="24"/>
                <w:highlight w:val="none"/>
                <w:lang w:val="en-US" w:eastAsia="zh-CN" w:bidi="ar-SA"/>
              </w:rPr>
              <w:t>进入</w:t>
            </w:r>
            <w:r>
              <w:rPr>
                <w:rFonts w:ascii="宋体" w:hAnsi="宋体" w:cs="宋体"/>
                <w:color w:val="auto"/>
                <w:szCs w:val="21"/>
                <w:highlight w:val="none"/>
              </w:rPr>
              <w:t>第二阶段</w:t>
            </w:r>
            <w:r>
              <w:rPr>
                <w:rFonts w:hint="eastAsia" w:ascii="宋体" w:hAnsi="宋体" w:cs="宋体"/>
                <w:color w:val="auto"/>
                <w:szCs w:val="21"/>
                <w:highlight w:val="none"/>
              </w:rPr>
              <w:t>评标</w:t>
            </w:r>
            <w:r>
              <w:rPr>
                <w:rFonts w:hint="eastAsia" w:ascii="宋体" w:hAnsi="宋体" w:cs="宋体"/>
                <w:color w:val="auto"/>
                <w:szCs w:val="21"/>
                <w:highlight w:val="none"/>
                <w:lang w:val="en-US" w:eastAsia="zh-CN"/>
              </w:rPr>
              <w:t>的投标人数量</w:t>
            </w:r>
            <w:r>
              <w:rPr>
                <w:rFonts w:hint="eastAsia" w:ascii="宋体" w:hAnsi="宋体" w:cs="宋体"/>
                <w:color w:val="auto"/>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rPr>
              <w:t>2.</w:t>
            </w:r>
            <w:r>
              <w:rPr>
                <w:rFonts w:hint="eastAsia" w:ascii="宋体" w:hAnsi="宋体" w:cs="宋体"/>
                <w:color w:val="auto"/>
                <w:highlight w:val="none"/>
                <w:lang w:val="en-US" w:eastAsia="zh-CN"/>
              </w:rPr>
              <w:t>1.7</w:t>
            </w: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设计文件得分是否带入第二阶段</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□带入</w:t>
            </w:r>
            <w:r>
              <w:rPr>
                <w:rFonts w:hint="eastAsia" w:ascii="宋体" w:hAnsi="宋体" w:cs="宋体"/>
                <w:color w:val="auto"/>
                <w:highlight w:val="none"/>
                <w:lang w:val="en-US" w:eastAsia="zh-CN"/>
              </w:rPr>
              <w:t xml:space="preserve"> </w:t>
            </w:r>
            <w:r>
              <w:rPr>
                <w:rFonts w:hint="eastAsia" w:ascii="宋体" w:hAnsi="宋体" w:cs="宋体"/>
                <w:color w:val="auto"/>
                <w:highlight w:val="none"/>
              </w:rPr>
              <w:t>□不带入</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781" w:type="dxa"/>
            <w:tcBorders>
              <w:top w:val="outset" w:color="auto" w:sz="6" w:space="0"/>
              <w:left w:val="outset" w:color="auto" w:sz="6" w:space="0"/>
              <w:bottom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353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szCs w:val="21"/>
                <w:highlight w:val="none"/>
              </w:rPr>
              <w:t>……</w:t>
            </w:r>
          </w:p>
        </w:tc>
        <w:tc>
          <w:tcPr>
            <w:tcW w:w="4142"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szCs w:val="21"/>
                <w:highlight w:val="none"/>
              </w:rPr>
              <w:t>……</w:t>
            </w:r>
          </w:p>
        </w:tc>
      </w:tr>
    </w:tbl>
    <w:p>
      <w:pPr>
        <w:spacing w:line="360" w:lineRule="auto"/>
        <w:rPr>
          <w:rFonts w:ascii="宋体" w:hAnsi="宋体" w:cs="宋体"/>
          <w:color w:val="auto"/>
          <w:szCs w:val="21"/>
          <w:highlight w:val="none"/>
        </w:rPr>
      </w:pP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第二阶段：评标委员会按照招标文件规定的评标方法对商务技术标进行评审。设计文件得分是否带入第二阶段，由招标人根据招标项目的实际情况在招标文件中明确。</w:t>
      </w:r>
    </w:p>
    <w:p>
      <w:pPr>
        <w:spacing w:line="360" w:lineRule="auto"/>
        <w:ind w:firstLine="420" w:firstLineChars="200"/>
        <w:rPr>
          <w:color w:val="auto"/>
          <w:highlight w:val="none"/>
        </w:rPr>
      </w:pPr>
      <w:r>
        <w:rPr>
          <w:rFonts w:hint="eastAsia" w:ascii="宋体" w:hAnsi="宋体" w:cs="宋体"/>
          <w:color w:val="auto"/>
          <w:szCs w:val="21"/>
          <w:highlight w:val="none"/>
        </w:rPr>
        <w:t>在初步设计完成后进行招标的工程总承包项目，可以不采用两阶段评标。如果采用，则第一阶段评审“资格审查材料、项目管理组织方案”，第二阶段评审“工程总承包报价以及工程业绩”等。</w:t>
      </w:r>
    </w:p>
    <w:tbl>
      <w:tblPr>
        <w:tblStyle w:val="44"/>
        <w:tblW w:w="8455" w:type="dxa"/>
        <w:tblInd w:w="0" w:type="dxa"/>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Layout w:type="fixed"/>
        <w:tblCellMar>
          <w:top w:w="0" w:type="dxa"/>
          <w:left w:w="0" w:type="dxa"/>
          <w:bottom w:w="0" w:type="dxa"/>
          <w:right w:w="0" w:type="dxa"/>
        </w:tblCellMar>
      </w:tblPr>
      <w:tblGrid>
        <w:gridCol w:w="808"/>
        <w:gridCol w:w="1754"/>
        <w:gridCol w:w="1696"/>
        <w:gridCol w:w="4197"/>
      </w:tblGrid>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初步评审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c>
          <w:tcPr>
            <w:tcW w:w="2562"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条款号</w:t>
            </w: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评审因素</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b/>
                <w:bCs/>
                <w:color w:val="auto"/>
                <w:highlight w:val="none"/>
              </w:rPr>
              <w:t>评审标准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1.1.1</w:t>
            </w:r>
          </w:p>
        </w:tc>
        <w:tc>
          <w:tcPr>
            <w:tcW w:w="1754" w:type="dxa"/>
            <w:vMerge w:val="restart"/>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形式性评审标准</w:t>
            </w: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投标人名称</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与营业执照、资质证书、安全生产许可证一致；</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w:t>
            </w:r>
            <w:r>
              <w:rPr>
                <w:rFonts w:hint="eastAsia" w:ascii="宋体" w:hAnsi="宋体" w:cs="宋体"/>
                <w:color w:val="auto"/>
                <w:highlight w:val="none"/>
                <w:lang w:val="en-US" w:eastAsia="zh-CN"/>
              </w:rPr>
              <w:t>文件</w:t>
            </w:r>
            <w:r>
              <w:rPr>
                <w:rFonts w:hint="eastAsia" w:ascii="宋体" w:hAnsi="宋体" w:cs="宋体"/>
                <w:color w:val="auto"/>
                <w:highlight w:val="none"/>
              </w:rPr>
              <w:t>签字盖章</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lang w:val="en-US" w:eastAsia="zh-CN"/>
              </w:rPr>
              <w:t>符合第二章投标人须知3.7.6签字、盖章要求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报价唯一</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只能有一个有效报价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暗标</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textAlignment w:val="center"/>
              <w:rPr>
                <w:rFonts w:ascii="宋体" w:hAnsi="宋体" w:cs="宋体"/>
                <w:color w:val="auto"/>
                <w:szCs w:val="21"/>
                <w:highlight w:val="none"/>
              </w:rPr>
            </w:pPr>
            <w:r>
              <w:rPr>
                <w:rFonts w:hint="eastAsia" w:ascii="宋体" w:hAnsi="宋体" w:cs="宋体"/>
                <w:color w:val="auto"/>
                <w:szCs w:val="21"/>
                <w:highlight w:val="none"/>
              </w:rPr>
              <w:t>符合招标文件有关暗标的要求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754" w:type="dxa"/>
            <w:vMerge w:val="continue"/>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textAlignment w:val="center"/>
              <w:rPr>
                <w:rFonts w:ascii="宋体" w:hAnsi="宋体" w:cs="宋体"/>
                <w:color w:val="auto"/>
                <w:szCs w:val="21"/>
                <w:highlight w:val="none"/>
              </w:rPr>
            </w:pPr>
            <w:r>
              <w:rPr>
                <w:rFonts w:hint="eastAsia" w:ascii="宋体" w:hAnsi="宋体" w:cs="宋体"/>
                <w:color w:val="auto"/>
                <w:szCs w:val="21"/>
                <w:highlight w:val="none"/>
              </w:rPr>
              <w:t>……</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center"/>
              <w:textAlignment w:val="center"/>
              <w:rPr>
                <w:rFonts w:ascii="宋体" w:hAnsi="宋体" w:cs="宋体"/>
                <w:color w:val="auto"/>
                <w:szCs w:val="21"/>
                <w:highlight w:val="none"/>
              </w:rPr>
            </w:pPr>
            <w:r>
              <w:rPr>
                <w:rFonts w:hint="eastAsia" w:ascii="宋体" w:hAnsi="宋体" w:cs="宋体"/>
                <w:color w:val="auto"/>
                <w:szCs w:val="21"/>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restart"/>
            <w:tcBorders>
              <w:top w:val="outset" w:color="auto" w:sz="6" w:space="0"/>
              <w:left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1.1.3</w:t>
            </w:r>
          </w:p>
        </w:tc>
        <w:tc>
          <w:tcPr>
            <w:tcW w:w="1754" w:type="dxa"/>
            <w:vMerge w:val="restart"/>
            <w:tcBorders>
              <w:top w:val="outset" w:color="auto" w:sz="6" w:space="0"/>
              <w:left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响应性评审标准</w:t>
            </w: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投标内容</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1020"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工期</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符合第二章“投标人须知”第1.3.2项规定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工程质量</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符合第二章“投标人须知”第1.3.3项规定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907"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288" w:lineRule="auto"/>
              <w:jc w:val="center"/>
              <w:rPr>
                <w:rFonts w:ascii="宋体" w:hAnsi="宋体" w:cs="宋体"/>
                <w:color w:val="auto"/>
                <w:highlight w:val="none"/>
              </w:rPr>
            </w:pPr>
            <w:r>
              <w:rPr>
                <w:rFonts w:hint="eastAsia" w:ascii="宋体" w:hAnsi="宋体" w:cs="宋体"/>
                <w:color w:val="auto"/>
                <w:highlight w:val="none"/>
              </w:rPr>
              <w:t>投标有效期</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ascii="宋体" w:hAnsi="宋体" w:cs="宋体"/>
                <w:color w:val="auto"/>
                <w:highlight w:val="none"/>
              </w:rPr>
            </w:pPr>
            <w:r>
              <w:rPr>
                <w:rFonts w:hint="eastAsia" w:ascii="宋体" w:hAnsi="宋体" w:cs="宋体"/>
                <w:color w:val="auto"/>
                <w:highlight w:val="none"/>
              </w:rPr>
              <w:t>投标函附录中承诺的投标有效期符合第二章“投标人须知”第3.3.1项规定</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highlight w:val="none"/>
              </w:rPr>
            </w:pPr>
            <w:r>
              <w:rPr>
                <w:rFonts w:hint="eastAsia" w:ascii="宋体" w:hAnsi="宋体" w:cs="宋体"/>
                <w:color w:val="auto"/>
                <w:highlight w:val="none"/>
              </w:rPr>
              <w:t>投标保证金</w:t>
            </w:r>
            <w:r>
              <w:rPr>
                <w:rFonts w:hint="eastAsia" w:ascii="宋体" w:hAnsi="宋体" w:cs="宋体"/>
                <w:color w:val="auto"/>
                <w:highlight w:val="none"/>
                <w:lang w:eastAsia="zh-CN"/>
              </w:rPr>
              <w:t>（</w:t>
            </w:r>
            <w:r>
              <w:rPr>
                <w:rFonts w:hint="eastAsia" w:ascii="宋体" w:hAnsi="宋体" w:cs="宋体"/>
                <w:color w:val="auto"/>
                <w:highlight w:val="none"/>
                <w:lang w:val="en-US" w:eastAsia="zh-CN"/>
              </w:rPr>
              <w:t>如有</w:t>
            </w:r>
            <w:r>
              <w:rPr>
                <w:rFonts w:hint="eastAsia" w:ascii="宋体" w:hAnsi="宋体" w:cs="宋体"/>
                <w:color w:val="auto"/>
                <w:highlight w:val="none"/>
                <w:lang w:eastAsia="zh-CN"/>
              </w:rPr>
              <w:t>）</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eastAsia" w:ascii="宋体" w:hAnsi="宋体" w:eastAsia="宋体" w:cs="宋体"/>
                <w:color w:val="auto"/>
                <w:highlight w:val="none"/>
                <w:lang w:eastAsia="zh-CN"/>
              </w:rPr>
            </w:pPr>
            <w:r>
              <w:rPr>
                <w:rFonts w:hint="eastAsia" w:ascii="宋体" w:hAnsi="宋体" w:cs="宋体"/>
                <w:color w:val="auto"/>
                <w:highlight w:val="none"/>
              </w:rPr>
              <w:t>符合第二章“投标人须知”第3.4.1项规定</w:t>
            </w:r>
            <w:r>
              <w:rPr>
                <w:rFonts w:hint="eastAsia" w:ascii="宋体" w:hAnsi="宋体" w:cs="宋体"/>
                <w:color w:val="auto"/>
                <w:highlight w:val="none"/>
                <w:lang w:eastAsia="zh-CN"/>
              </w:rPr>
              <w:t>（</w:t>
            </w:r>
            <w:r>
              <w:rPr>
                <w:rFonts w:hint="eastAsia" w:ascii="宋体" w:hAnsi="宋体" w:cs="宋体"/>
                <w:color w:val="auto"/>
                <w:highlight w:val="none"/>
                <w:lang w:val="en-US" w:eastAsia="zh-CN"/>
              </w:rPr>
              <w:t>如有</w:t>
            </w:r>
            <w:r>
              <w:rPr>
                <w:rFonts w:hint="eastAsia" w:ascii="宋体" w:hAnsi="宋体" w:cs="宋体"/>
                <w:color w:val="auto"/>
                <w:highlight w:val="none"/>
                <w:lang w:eastAsia="zh-CN"/>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cs="宋体"/>
                <w:color w:val="auto"/>
                <w:highlight w:val="none"/>
              </w:rPr>
            </w:pPr>
            <w:r>
              <w:rPr>
                <w:rFonts w:hint="eastAsia"/>
                <w:color w:val="auto"/>
                <w:highlight w:val="none"/>
              </w:rPr>
              <w:t>投标价格</w:t>
            </w:r>
          </w:p>
        </w:tc>
        <w:tc>
          <w:tcPr>
            <w:tcW w:w="4197" w:type="dxa"/>
            <w:tcBorders>
              <w:top w:val="outset" w:color="auto" w:sz="6" w:space="0"/>
              <w:left w:val="outset" w:color="auto" w:sz="6" w:space="0"/>
              <w:bottom w:val="outset" w:color="auto" w:sz="6" w:space="0"/>
              <w:right w:val="outset" w:color="auto" w:sz="6" w:space="0"/>
            </w:tcBorders>
            <w:vAlign w:val="center"/>
          </w:tcPr>
          <w:p>
            <w:pPr>
              <w:spacing w:line="288" w:lineRule="auto"/>
              <w:ind w:left="105" w:leftChars="50"/>
              <w:jc w:val="left"/>
              <w:rPr>
                <w:rFonts w:hint="default" w:ascii="宋体" w:hAnsi="宋体" w:eastAsia="宋体" w:cs="宋体"/>
                <w:color w:val="auto"/>
                <w:highlight w:val="none"/>
                <w:lang w:val="en-US" w:eastAsia="zh-CN"/>
              </w:rPr>
            </w:pPr>
            <w:r>
              <w:rPr>
                <w:rFonts w:hint="eastAsia"/>
                <w:color w:val="auto"/>
                <w:highlight w:val="none"/>
                <w:lang w:val="en-US" w:eastAsia="zh-CN"/>
              </w:rPr>
              <w:t>不高于</w:t>
            </w:r>
            <w:r>
              <w:rPr>
                <w:rFonts w:hint="eastAsia"/>
                <w:color w:val="auto"/>
                <w:highlight w:val="none"/>
              </w:rPr>
              <w:t>第二章</w:t>
            </w:r>
            <w:r>
              <w:rPr>
                <w:color w:val="auto"/>
                <w:highlight w:val="none"/>
              </w:rPr>
              <w:fldChar w:fldCharType="begin"/>
            </w:r>
            <w:r>
              <w:rPr>
                <w:color w:val="auto"/>
                <w:highlight w:val="none"/>
              </w:rPr>
              <w:instrText xml:space="preserve">HYPERLINK "file:///H:\\泰州招标文件范本\\泰州市房屋建筑和市政工程施工2016.4.docx" \l "_10.2"</w:instrText>
            </w:r>
            <w:r>
              <w:rPr>
                <w:color w:val="auto"/>
                <w:highlight w:val="none"/>
              </w:rPr>
              <w:fldChar w:fldCharType="separate"/>
            </w:r>
            <w:r>
              <w:rPr>
                <w:rFonts w:hint="eastAsia"/>
                <w:color w:val="auto"/>
                <w:highlight w:val="none"/>
              </w:rPr>
              <w:t>投标人须知前附表第2.4项</w:t>
            </w:r>
            <w:r>
              <w:rPr>
                <w:color w:val="auto"/>
                <w:highlight w:val="none"/>
              </w:rPr>
              <w:fldChar w:fldCharType="end"/>
            </w:r>
            <w:r>
              <w:rPr>
                <w:rFonts w:hint="eastAsia"/>
                <w:color w:val="auto"/>
                <w:highlight w:val="none"/>
              </w:rPr>
              <w:t>载明</w:t>
            </w:r>
            <w:r>
              <w:rPr>
                <w:rFonts w:hint="eastAsia"/>
                <w:color w:val="auto"/>
                <w:highlight w:val="none"/>
                <w:lang w:val="en-US" w:eastAsia="zh-CN"/>
              </w:rPr>
              <w:t>的最高投标限价</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highlight w:val="none"/>
                <w:lang w:val="en-US" w:eastAsia="zh-CN"/>
              </w:rPr>
            </w:pPr>
            <w:r>
              <w:rPr>
                <w:rFonts w:hint="eastAsia" w:ascii="宋体" w:hAnsi="宋体" w:cs="宋体"/>
                <w:color w:val="auto"/>
                <w:highlight w:val="none"/>
                <w:lang w:val="en-US" w:eastAsia="zh-CN"/>
              </w:rPr>
              <w:t>诚信投标承诺书</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符合招标文件要求</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754" w:type="dxa"/>
            <w:vMerge w:val="continue"/>
            <w:tcBorders>
              <w:left w:val="outset" w:color="auto" w:sz="6" w:space="0"/>
              <w:right w:val="outset" w:color="auto" w:sz="6" w:space="0"/>
            </w:tcBorders>
            <w:vAlign w:val="center"/>
          </w:tcPr>
          <w:p>
            <w:pPr>
              <w:spacing w:line="400" w:lineRule="exact"/>
              <w:jc w:val="left"/>
              <w:rPr>
                <w:rFonts w:ascii="宋体" w:hAnsi="宋体" w:cs="宋体"/>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highlight w:val="none"/>
              </w:rPr>
              <w:t>其他要求</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szCs w:val="21"/>
                <w:highlight w:val="none"/>
              </w:rPr>
            </w:pPr>
            <w:r>
              <w:rPr>
                <w:rFonts w:hint="eastAsia" w:ascii="宋体" w:hAnsi="宋体" w:cs="宋体"/>
                <w:color w:val="auto"/>
                <w:highlight w:val="none"/>
              </w:rPr>
              <w:t>无评标办法第2.2.1.5 条所列情形</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454" w:hRule="atLeast"/>
        </w:trPr>
        <w:tc>
          <w:tcPr>
            <w:tcW w:w="808" w:type="dxa"/>
            <w:vMerge w:val="continue"/>
            <w:tcBorders>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1754" w:type="dxa"/>
            <w:vMerge w:val="continue"/>
            <w:tcBorders>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1696"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color w:val="auto"/>
                <w:highlight w:val="none"/>
              </w:rPr>
              <w:t>……</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color w:val="auto"/>
                <w:highlight w:val="none"/>
              </w:rPr>
            </w:pPr>
            <w:r>
              <w:rPr>
                <w:rFonts w:hint="eastAsia"/>
                <w:color w:val="auto"/>
                <w:highlight w:val="none"/>
              </w:rPr>
              <w:t>……</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455" w:type="dxa"/>
            <w:gridSpan w:val="4"/>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黑体" w:hAnsi="黑体" w:eastAsia="黑体"/>
                <w:color w:val="auto"/>
                <w:sz w:val="24"/>
                <w:highlight w:val="none"/>
              </w:rPr>
            </w:pPr>
            <w:r>
              <w:rPr>
                <w:rFonts w:hint="eastAsia" w:ascii="黑体" w:hAnsi="黑体" w:eastAsia="黑体"/>
                <w:color w:val="auto"/>
                <w:sz w:val="24"/>
                <w:highlight w:val="none"/>
              </w:rPr>
              <w:t>详细评审</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条款号</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评审因素</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b/>
                <w:bCs/>
                <w:color w:val="auto"/>
                <w:highlight w:val="none"/>
              </w:rPr>
            </w:pPr>
            <w:r>
              <w:rPr>
                <w:rFonts w:hint="eastAsia"/>
                <w:b/>
                <w:bCs/>
                <w:color w:val="auto"/>
                <w:highlight w:val="none"/>
              </w:rPr>
              <w:t>分值</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1.2.1</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商务标</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firstLine="1260" w:firstLineChars="600"/>
              <w:jc w:val="left"/>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highlight w:val="none"/>
                <w:lang w:eastAsia="zh-CN"/>
              </w:rPr>
            </w:pPr>
            <w:r>
              <w:rPr>
                <w:rFonts w:hint="eastAsia" w:ascii="宋体" w:hAnsi="宋体" w:cs="宋体"/>
                <w:color w:val="auto"/>
                <w:highlight w:val="none"/>
                <w:lang w:val="en-US" w:eastAsia="zh-CN"/>
              </w:rPr>
              <w:t>1.2.2</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highlight w:val="none"/>
                <w:lang w:eastAsia="zh-CN"/>
              </w:rPr>
            </w:pPr>
            <w:r>
              <w:rPr>
                <w:rFonts w:hint="eastAsia" w:ascii="宋体" w:hAnsi="宋体" w:cs="宋体"/>
                <w:color w:val="auto"/>
                <w:highlight w:val="none"/>
              </w:rPr>
              <w:t>经济标</w:t>
            </w:r>
          </w:p>
        </w:tc>
        <w:tc>
          <w:tcPr>
            <w:tcW w:w="4197" w:type="dxa"/>
            <w:tcBorders>
              <w:top w:val="outset" w:color="auto" w:sz="6" w:space="0"/>
              <w:left w:val="outset" w:color="auto" w:sz="6" w:space="0"/>
              <w:bottom w:val="outset" w:color="auto" w:sz="6" w:space="0"/>
              <w:right w:val="outset" w:color="auto" w:sz="6" w:space="0"/>
            </w:tcBorders>
          </w:tcPr>
          <w:p>
            <w:pPr>
              <w:ind w:firstLine="1260" w:firstLineChars="600"/>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1.2.3</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eastAsia" w:ascii="宋体" w:hAnsi="宋体" w:eastAsia="宋体" w:cs="宋体"/>
                <w:color w:val="auto"/>
                <w:highlight w:val="none"/>
                <w:lang w:eastAsia="zh-CN"/>
              </w:rPr>
            </w:pPr>
            <w:r>
              <w:rPr>
                <w:rFonts w:hint="eastAsia" w:ascii="宋体" w:hAnsi="宋体" w:cs="宋体"/>
                <w:color w:val="auto"/>
                <w:highlight w:val="none"/>
                <w:lang w:val="en-US" w:eastAsia="zh-CN"/>
              </w:rPr>
              <w:t>技术标</w:t>
            </w:r>
          </w:p>
        </w:tc>
        <w:tc>
          <w:tcPr>
            <w:tcW w:w="4197" w:type="dxa"/>
            <w:tcBorders>
              <w:top w:val="outset" w:color="auto" w:sz="6" w:space="0"/>
              <w:left w:val="outset" w:color="auto" w:sz="6" w:space="0"/>
              <w:bottom w:val="outset" w:color="auto" w:sz="6" w:space="0"/>
              <w:right w:val="outset" w:color="auto" w:sz="6" w:space="0"/>
            </w:tcBorders>
          </w:tcPr>
          <w:p>
            <w:pPr>
              <w:ind w:firstLine="1260" w:firstLineChars="600"/>
              <w:rPr>
                <w:rFonts w:ascii="宋体" w:hAnsi="宋体" w:cs="宋体"/>
                <w:color w:val="auto"/>
                <w:highlight w:val="none"/>
              </w:rPr>
            </w:pPr>
            <w:r>
              <w:rPr>
                <w:rFonts w:hint="eastAsia" w:ascii="宋体" w:hAnsi="宋体" w:cs="宋体"/>
                <w:color w:val="auto"/>
                <w:highlight w:val="none"/>
                <w:u w:val="single"/>
              </w:rPr>
              <w:t xml:space="preserve">     分</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hint="default" w:eastAsia="宋体"/>
                <w:color w:val="auto"/>
                <w:highlight w:val="none"/>
                <w:lang w:val="en-US" w:eastAsia="zh-CN"/>
              </w:rPr>
            </w:pPr>
            <w:r>
              <w:rPr>
                <w:rFonts w:hint="eastAsia"/>
                <w:color w:val="auto"/>
                <w:highlight w:val="none"/>
                <w:lang w:val="en-US" w:eastAsia="zh-CN"/>
              </w:rPr>
              <w:t>2.2.2.1</w:t>
            </w: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color w:val="auto"/>
                <w:highlight w:val="none"/>
              </w:rPr>
            </w:pPr>
            <w:r>
              <w:rPr>
                <w:rFonts w:hint="eastAsia" w:ascii="宋体" w:hAnsi="宋体" w:cs="宋体"/>
                <w:color w:val="auto"/>
                <w:highlight w:val="none"/>
              </w:rPr>
              <w:t>评标方式、评审因素及评审顺序</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1、评标方式</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□定性评审</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□定量评审</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□定性+定量评审</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2、评审因素：</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□商务标</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□经济标</w:t>
            </w:r>
          </w:p>
          <w:p>
            <w:pPr>
              <w:spacing w:line="400" w:lineRule="exact"/>
              <w:ind w:left="105" w:leftChars="50"/>
              <w:jc w:val="left"/>
              <w:rPr>
                <w:rFonts w:ascii="宋体" w:hAnsi="宋体" w:cs="宋体"/>
                <w:color w:val="auto"/>
                <w:highlight w:val="none"/>
              </w:rPr>
            </w:pPr>
            <w:r>
              <w:rPr>
                <w:rFonts w:hint="eastAsia" w:ascii="宋体" w:hAnsi="宋体" w:cs="宋体"/>
                <w:color w:val="auto"/>
                <w:highlight w:val="none"/>
              </w:rPr>
              <w:t>□技术标</w:t>
            </w:r>
          </w:p>
          <w:p>
            <w:pPr>
              <w:spacing w:line="400" w:lineRule="exact"/>
              <w:ind w:left="105" w:leftChars="50"/>
              <w:jc w:val="left"/>
              <w:rPr>
                <w:color w:val="auto"/>
                <w:highlight w:val="none"/>
              </w:rPr>
            </w:pPr>
            <w:r>
              <w:rPr>
                <w:rFonts w:hint="eastAsia" w:ascii="宋体" w:hAnsi="宋体" w:cs="宋体"/>
                <w:color w:val="auto"/>
                <w:highlight w:val="none"/>
              </w:rPr>
              <w:t xml:space="preserve">3、评审顺序： </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w:t>
            </w:r>
          </w:p>
        </w:tc>
      </w:tr>
      <w:tr>
        <w:tblPrEx>
          <w:tblBorders>
            <w:top w:val="outset" w:color="auto" w:sz="12" w:space="0"/>
            <w:left w:val="outset" w:color="auto" w:sz="12" w:space="0"/>
            <w:bottom w:val="outset" w:color="auto" w:sz="12" w:space="0"/>
            <w:right w:val="outset" w:color="auto" w:sz="12" w:space="0"/>
            <w:insideH w:val="none" w:color="auto" w:sz="0" w:space="0"/>
            <w:insideV w:val="none" w:color="auto" w:sz="0" w:space="0"/>
          </w:tblBorders>
          <w:tblCellMar>
            <w:top w:w="0" w:type="dxa"/>
            <w:left w:w="0" w:type="dxa"/>
            <w:bottom w:w="0" w:type="dxa"/>
            <w:right w:w="0" w:type="dxa"/>
          </w:tblCellMar>
        </w:tblPrEx>
        <w:trPr>
          <w:trHeight w:val="375" w:hRule="atLeast"/>
        </w:trPr>
        <w:tc>
          <w:tcPr>
            <w:tcW w:w="808" w:type="dxa"/>
            <w:tcBorders>
              <w:top w:val="outset" w:color="auto" w:sz="6" w:space="0"/>
              <w:left w:val="outset" w:color="auto" w:sz="6" w:space="0"/>
              <w:bottom w:val="outset" w:color="auto" w:sz="6" w:space="0"/>
              <w:right w:val="outset" w:color="auto" w:sz="6" w:space="0"/>
            </w:tcBorders>
            <w:vAlign w:val="center"/>
          </w:tcPr>
          <w:p>
            <w:pPr>
              <w:spacing w:line="400" w:lineRule="exact"/>
              <w:jc w:val="left"/>
              <w:rPr>
                <w:color w:val="auto"/>
                <w:highlight w:val="none"/>
              </w:rPr>
            </w:pPr>
          </w:p>
        </w:tc>
        <w:tc>
          <w:tcPr>
            <w:tcW w:w="3450" w:type="dxa"/>
            <w:gridSpan w:val="2"/>
            <w:tcBorders>
              <w:top w:val="outset" w:color="auto" w:sz="6" w:space="0"/>
              <w:left w:val="outset" w:color="auto" w:sz="6" w:space="0"/>
              <w:bottom w:val="outset" w:color="auto" w:sz="6" w:space="0"/>
              <w:right w:val="outset" w:color="auto" w:sz="6" w:space="0"/>
            </w:tcBorders>
            <w:vAlign w:val="center"/>
          </w:tcPr>
          <w:p>
            <w:pPr>
              <w:spacing w:line="400" w:lineRule="exact"/>
              <w:jc w:val="center"/>
              <w:rPr>
                <w:rFonts w:ascii="宋体" w:hAnsi="宋体"/>
                <w:color w:val="auto"/>
                <w:szCs w:val="21"/>
                <w:highlight w:val="none"/>
              </w:rPr>
            </w:pPr>
            <w:r>
              <w:rPr>
                <w:rFonts w:ascii="宋体" w:hAnsi="宋体"/>
                <w:color w:val="auto"/>
                <w:szCs w:val="21"/>
                <w:highlight w:val="none"/>
              </w:rPr>
              <w:t>……</w:t>
            </w:r>
          </w:p>
        </w:tc>
        <w:tc>
          <w:tcPr>
            <w:tcW w:w="4197" w:type="dxa"/>
            <w:tcBorders>
              <w:top w:val="outset" w:color="auto" w:sz="6" w:space="0"/>
              <w:left w:val="outset" w:color="auto" w:sz="6" w:space="0"/>
              <w:bottom w:val="outset" w:color="auto" w:sz="6" w:space="0"/>
              <w:right w:val="outset" w:color="auto" w:sz="6" w:space="0"/>
            </w:tcBorders>
            <w:vAlign w:val="center"/>
          </w:tcPr>
          <w:p>
            <w:pPr>
              <w:spacing w:line="400" w:lineRule="exact"/>
              <w:ind w:left="105" w:leftChars="50"/>
              <w:jc w:val="center"/>
              <w:rPr>
                <w:rFonts w:ascii="宋体" w:hAnsi="宋体"/>
                <w:color w:val="auto"/>
                <w:szCs w:val="21"/>
                <w:highlight w:val="none"/>
              </w:rPr>
            </w:pPr>
            <w:r>
              <w:rPr>
                <w:rFonts w:ascii="宋体" w:hAnsi="宋体"/>
                <w:color w:val="auto"/>
                <w:szCs w:val="21"/>
                <w:highlight w:val="none"/>
              </w:rPr>
              <w:t>……</w:t>
            </w:r>
          </w:p>
        </w:tc>
      </w:tr>
    </w:tbl>
    <w:p>
      <w:pPr>
        <w:pStyle w:val="5"/>
        <w:spacing w:line="360" w:lineRule="auto"/>
        <w:jc w:val="center"/>
        <w:rPr>
          <w:rFonts w:hint="eastAsia" w:ascii="宋体" w:hAnsi="宋体" w:cs="宋体"/>
          <w:color w:val="auto"/>
          <w:sz w:val="28"/>
          <w:szCs w:val="28"/>
          <w:highlight w:val="none"/>
          <w:lang w:val="en-US" w:eastAsia="zh-CN"/>
        </w:rPr>
      </w:pPr>
    </w:p>
    <w:p>
      <w:pPr>
        <w:rPr>
          <w:rFonts w:hint="eastAsia" w:ascii="宋体" w:hAnsi="宋体" w:cs="宋体"/>
          <w:color w:val="auto"/>
          <w:sz w:val="28"/>
          <w:szCs w:val="28"/>
          <w:highlight w:val="none"/>
          <w:lang w:val="en-US" w:eastAsia="zh-CN"/>
        </w:rPr>
      </w:pPr>
    </w:p>
    <w:p>
      <w:pPr>
        <w:pStyle w:val="2"/>
        <w:rPr>
          <w:rFonts w:hint="eastAsia" w:ascii="宋体" w:hAnsi="宋体" w:cs="宋体"/>
          <w:color w:val="auto"/>
          <w:sz w:val="28"/>
          <w:szCs w:val="28"/>
          <w:highlight w:val="none"/>
          <w:lang w:val="en-US" w:eastAsia="zh-CN"/>
        </w:rPr>
      </w:pPr>
    </w:p>
    <w:p>
      <w:pPr>
        <w:pStyle w:val="2"/>
        <w:rPr>
          <w:rFonts w:hint="eastAsia" w:ascii="宋体" w:hAnsi="宋体" w:cs="宋体"/>
          <w:color w:val="auto"/>
          <w:sz w:val="28"/>
          <w:szCs w:val="28"/>
          <w:highlight w:val="none"/>
          <w:lang w:val="en-US" w:eastAsia="zh-CN"/>
        </w:rPr>
      </w:pPr>
    </w:p>
    <w:p>
      <w:pPr>
        <w:pStyle w:val="2"/>
        <w:rPr>
          <w:rFonts w:hint="eastAsia" w:ascii="宋体" w:hAnsi="宋体" w:cs="宋体"/>
          <w:color w:val="auto"/>
          <w:sz w:val="28"/>
          <w:szCs w:val="28"/>
          <w:highlight w:val="none"/>
          <w:lang w:val="en-US" w:eastAsia="zh-CN"/>
        </w:rPr>
      </w:pPr>
    </w:p>
    <w:p>
      <w:pPr>
        <w:pStyle w:val="5"/>
        <w:rPr>
          <w:rFonts w:ascii="黑体" w:hAnsi="黑体" w:eastAsia="黑体" w:cs="黑体"/>
          <w:b w:val="0"/>
          <w:bCs w:val="0"/>
          <w:color w:val="auto"/>
          <w:sz w:val="32"/>
          <w:highlight w:val="none"/>
        </w:rPr>
      </w:pPr>
      <w:bookmarkStart w:id="750" w:name="_Toc30201"/>
      <w:bookmarkStart w:id="751" w:name="_Toc26188"/>
      <w:r>
        <w:rPr>
          <w:rFonts w:hint="eastAsia" w:ascii="黑体" w:hAnsi="黑体" w:eastAsia="黑体" w:cs="黑体"/>
          <w:b w:val="0"/>
          <w:bCs w:val="0"/>
          <w:color w:val="auto"/>
          <w:sz w:val="32"/>
          <w:highlight w:val="none"/>
        </w:rPr>
        <w:t>综合评估法一：适用于可行性研究完成阶段工程总承包招标</w:t>
      </w:r>
      <w:bookmarkEnd w:id="750"/>
      <w:bookmarkEnd w:id="751"/>
    </w:p>
    <w:tbl>
      <w:tblPr>
        <w:tblStyle w:val="44"/>
        <w:tblW w:w="8483"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09"/>
        <w:gridCol w:w="1315"/>
        <w:gridCol w:w="2371"/>
        <w:gridCol w:w="408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color w:val="auto"/>
                <w:szCs w:val="21"/>
                <w:highlight w:val="none"/>
              </w:rPr>
            </w:pPr>
            <w:r>
              <w:rPr>
                <w:rFonts w:hint="eastAsia" w:ascii="宋体" w:hAnsi="宋体" w:cs="宋体"/>
                <w:color w:val="auto"/>
                <w:szCs w:val="21"/>
                <w:highlight w:val="none"/>
              </w:rPr>
              <w:t>(总分100分)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技术标：方案设计文件：</w:t>
            </w:r>
            <w:r>
              <w:rPr>
                <w:rFonts w:hint="eastAsia" w:ascii="宋体" w:hAnsi="宋体" w:cs="宋体"/>
                <w:color w:val="auto"/>
                <w:szCs w:val="21"/>
                <w:highlight w:val="none"/>
                <w:u w:val="single"/>
              </w:rPr>
              <w:t>≤3</w:t>
            </w:r>
            <w:r>
              <w:rPr>
                <w:rFonts w:hint="eastAsia" w:ascii="宋体" w:hAnsi="宋体" w:cs="宋体"/>
                <w:color w:val="auto"/>
                <w:szCs w:val="21"/>
                <w:highlight w:val="none"/>
                <w:u w:val="single"/>
                <w:lang w:val="en-US" w:eastAsia="zh-CN"/>
              </w:rPr>
              <w:t>5</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项目管理组织方案：</w:t>
            </w:r>
            <w:r>
              <w:rPr>
                <w:rFonts w:hint="eastAsia" w:ascii="宋体" w:hAnsi="宋体" w:cs="宋体"/>
                <w:color w:val="auto"/>
                <w:szCs w:val="21"/>
                <w:highlight w:val="none"/>
                <w:u w:val="single"/>
              </w:rPr>
              <w:t>≤9</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≥50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≤3</w:t>
            </w:r>
            <w:r>
              <w:rPr>
                <w:rFonts w:hint="eastAsia" w:ascii="宋体" w:hAnsi="宋体" w:cs="宋体"/>
                <w:color w:val="auto"/>
                <w:szCs w:val="21"/>
                <w:highlight w:val="none"/>
              </w:rPr>
              <w:t>分</w:t>
            </w:r>
          </w:p>
          <w:p>
            <w:pPr>
              <w:spacing w:line="440" w:lineRule="exact"/>
              <w:rPr>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≤3</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315"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评审项</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1</w:t>
            </w:r>
          </w:p>
        </w:tc>
        <w:tc>
          <w:tcPr>
            <w:tcW w:w="1315" w:type="dxa"/>
            <w:vMerge w:val="restart"/>
            <w:tcBorders>
              <w:left w:val="single" w:color="000000" w:sz="4" w:space="0"/>
              <w:right w:val="single" w:color="auto"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1.1方案设计文件（≤3</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分、适用于房屋建筑工程）</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1．设计说明（2－4分）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1．设计说明能对项目解读充分，理解深刻，分析准确，构思新颖。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2．项目规划设计各项指标满足任务书及规划设计要点并科学、合理。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3．技术指标满足任务书要求，符合规划要求。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4．各专业设计说明。</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5、投资估算与经济评价。</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070"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2．总平面布局（6－8分）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1．功能介绍、规划构思与布局新颖、合理。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2．是否合理利用土地;与周边环境协调。</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3．是否满足交通流线及开口要求。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4．停车位布局合理可行。</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5．是否满足消防间距要求、是否满足日照间距要求。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6．总平面布局、竖向设计符合规划要求。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3．建筑功能（7－9分）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1．项目功能要求是否满足设计任务书要求。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2．工艺系统流程设计符合设计任务书要求，且先进合理。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3.对项目的设计思路把握准确、设计合理。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938"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4．建筑造型（2－4分）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1．建筑创意、空间处理是否合理。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2．立面造型、比例尺度和谐美观，建筑的功能和形式统一。</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3．功能与形式统一，与周围环境相协调，能够很好的体现建筑风格。</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4．对设计的规划分析图、鸟瞰图、透视图、平立剖面图、交通分析图、模型等进行评比。</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07"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5．结构方案（1－3分）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1．结构方案的选型合理可行、满足设计任务书要求。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2．结构方案的设计依据符合规范及标准要求。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99"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1"/>
                <w:highlight w:val="none"/>
              </w:rPr>
              <w:t>6．设备方案（1－2分）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1．设备方案的选型合理可行、满足设计任务书要求。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2．设备方案的设计依据符合规范及标准要求。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7．绿色建筑（含建筑节能）与装配式建筑设计（1－3分）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1．采用科学合理的绿色建筑（建筑节能）措施。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2．提出切实可行的生态建筑理念与措施。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3．是否符合国家及地方的有关绿色建筑标准。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4、工程采用装配式技术。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Calibri" w:hAnsi="Calibri"/>
                <w:color w:val="auto"/>
                <w:szCs w:val="22"/>
                <w:highlight w:val="none"/>
              </w:rPr>
            </w:pPr>
            <w:r>
              <w:rPr>
                <w:rFonts w:hint="eastAsia" w:ascii="宋体" w:hAnsi="宋体" w:cs="宋体"/>
                <w:color w:val="auto"/>
                <w:szCs w:val="22"/>
                <w:highlight w:val="none"/>
              </w:rPr>
              <w:t>8.设计深度（</w:t>
            </w:r>
            <w:r>
              <w:rPr>
                <w:rFonts w:hint="eastAsia" w:ascii="宋体" w:hAnsi="宋体" w:cs="宋体"/>
                <w:color w:val="auto"/>
                <w:szCs w:val="22"/>
                <w:highlight w:val="none"/>
                <w:lang w:val="en-US" w:eastAsia="zh-CN"/>
              </w:rPr>
              <w:t>1</w:t>
            </w:r>
            <w:r>
              <w:rPr>
                <w:rFonts w:hint="eastAsia" w:ascii="宋体" w:hAnsi="宋体" w:cs="宋体"/>
                <w:color w:val="auto"/>
                <w:szCs w:val="22"/>
                <w:highlight w:val="none"/>
              </w:rPr>
              <w:t>－</w:t>
            </w:r>
            <w:r>
              <w:rPr>
                <w:rFonts w:hint="eastAsia" w:ascii="宋体" w:hAnsi="宋体" w:cs="宋体"/>
                <w:color w:val="auto"/>
                <w:szCs w:val="22"/>
                <w:highlight w:val="none"/>
                <w:lang w:val="en-US" w:eastAsia="zh-CN"/>
              </w:rPr>
              <w:t>2</w:t>
            </w:r>
            <w:r>
              <w:rPr>
                <w:rFonts w:hint="eastAsia" w:ascii="宋体" w:hAnsi="宋体" w:cs="宋体"/>
                <w:color w:val="auto"/>
                <w:szCs w:val="22"/>
                <w:highlight w:val="none"/>
              </w:rPr>
              <w:t>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2．是否符合国家规定的《建筑工程设计文件编制深度规定》。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w:t>
            </w:r>
            <w:r>
              <w:rPr>
                <w:rFonts w:hint="eastAsia" w:ascii="宋体" w:hAnsi="宋体" w:cs="宋体"/>
                <w:color w:val="auto"/>
                <w:szCs w:val="21"/>
                <w:highlight w:val="none"/>
                <w:lang w:val="en-US" w:eastAsia="zh-CN"/>
              </w:rPr>
              <w:t>0</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45"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tcPr>
          <w:p>
            <w:pPr>
              <w:spacing w:line="440" w:lineRule="exact"/>
              <w:rPr>
                <w:color w:val="auto"/>
                <w:szCs w:val="21"/>
                <w:highlight w:val="none"/>
              </w:rPr>
            </w:pPr>
            <w:r>
              <w:rPr>
                <w:rFonts w:hint="eastAsia"/>
                <w:color w:val="auto"/>
                <w:szCs w:val="21"/>
                <w:highlight w:val="none"/>
              </w:rPr>
              <w:t>注：招标人可以根据项目具体情况适当选择增减评标因素，但“评审项”分值不得调整；招标人也可以在招标文件中细化明确评分标准的内容，但一般不得突破各评分因素的规定分值。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color w:val="auto"/>
                <w:szCs w:val="21"/>
                <w:highlight w:val="none"/>
              </w:rPr>
            </w:pPr>
          </w:p>
        </w:tc>
        <w:tc>
          <w:tcPr>
            <w:tcW w:w="1315" w:type="dxa"/>
            <w:vMerge w:val="restart"/>
            <w:tcBorders>
              <w:left w:val="single" w:color="000000"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1.2方案设计文件（≤35分，适用于园林和景观等市政工程）</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1.设计说明（4-7分）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1．设计说明能对项目解读充分，理解深刻，分析准确，构思新颖。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2．项目规划设计各项指标满足任务书及规划设计要点并科学、合理。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3．技术指标满足任务书要求，符合规划要求。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4．设计理念、各专业（附属）工程设计说明。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2.技术方案（10-15分）</w:t>
            </w:r>
          </w:p>
        </w:tc>
        <w:tc>
          <w:tcPr>
            <w:tcW w:w="4088" w:type="dxa"/>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1．总体布置方案、节点方案。</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2．专业（附属）工程设计方案。</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3．设计依据的技术标准、采用的设计指标等。</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4．环境影响分析。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266"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3.设计深度（3-5分）</w:t>
            </w:r>
          </w:p>
        </w:tc>
        <w:tc>
          <w:tcPr>
            <w:tcW w:w="4088" w:type="dxa"/>
            <w:tcBorders>
              <w:top w:val="single" w:color="auto" w:sz="4" w:space="0"/>
              <w:left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2．是否符合国家规定的《市政公用工程设计文件编制深度规定》。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注：本项可视设计深度符合程度在0~5分之间酌情打分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214"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4.绿色设计与新技术应用（1-3分）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1．提出切实可行的生态理念与措施。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2．是否符合国家及地方的有关绿色标准。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3．采用的新技术、新材料、新工艺等。</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29"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Calibri" w:hAnsi="Calibri"/>
                <w:color w:val="auto"/>
                <w:szCs w:val="22"/>
                <w:highlight w:val="none"/>
              </w:rPr>
            </w:pPr>
            <w:r>
              <w:rPr>
                <w:rFonts w:hint="eastAsia" w:ascii="宋体" w:hAnsi="宋体" w:cs="宋体"/>
                <w:color w:val="auto"/>
                <w:szCs w:val="22"/>
                <w:highlight w:val="none"/>
              </w:rPr>
              <w:t>5.经济分析（3-5分）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1．估算文件编制内容完整、合理。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2．是否符合设计说明书要求。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3．是否符合国家法律法规及规范标准的规定。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4．是否符合地方政府有关的政策文件规定。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57"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tcPr>
          <w:p>
            <w:pPr>
              <w:spacing w:line="440" w:lineRule="exact"/>
              <w:rPr>
                <w:color w:val="auto"/>
                <w:szCs w:val="21"/>
                <w:highlight w:val="none"/>
              </w:rPr>
            </w:pPr>
            <w:r>
              <w:rPr>
                <w:rFonts w:hint="eastAsia"/>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83" w:hRule="atLeast"/>
        </w:trPr>
        <w:tc>
          <w:tcPr>
            <w:tcW w:w="709" w:type="dxa"/>
            <w:vMerge w:val="restart"/>
            <w:tcBorders>
              <w:top w:val="single" w:color="auto" w:sz="4" w:space="0"/>
              <w:right w:val="single" w:color="000000" w:sz="4" w:space="0"/>
            </w:tcBorders>
            <w:vAlign w:val="center"/>
          </w:tcPr>
          <w:p>
            <w:pPr>
              <w:spacing w:line="440" w:lineRule="exact"/>
              <w:ind w:firstLine="210" w:firstLineChars="100"/>
              <w:rPr>
                <w:color w:val="auto"/>
                <w:szCs w:val="21"/>
                <w:highlight w:val="none"/>
              </w:rPr>
            </w:pPr>
            <w:r>
              <w:rPr>
                <w:rFonts w:hint="eastAsia" w:ascii="宋体" w:hAnsi="宋体" w:cs="宋体"/>
                <w:color w:val="auto"/>
                <w:szCs w:val="21"/>
                <w:highlight w:val="none"/>
              </w:rPr>
              <w:t>2</w:t>
            </w:r>
          </w:p>
        </w:tc>
        <w:tc>
          <w:tcPr>
            <w:tcW w:w="1315" w:type="dxa"/>
            <w:vMerge w:val="restart"/>
            <w:tcBorders>
              <w:top w:val="single" w:color="auto" w:sz="4" w:space="0"/>
              <w:left w:val="single" w:color="000000" w:sz="4" w:space="0"/>
              <w:right w:val="single" w:color="auto"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工程总承包报价（≥50分）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报价评审（工程总承包范围内的所有费用）（≥46分）</w:t>
            </w: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方法一：</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以有效投标文件的最低评标价为评标基准价。投标报价等于评标基准价的得满分，每高1%的扣</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方法二：</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评标价进行算术平均，该平均值下浮3%-7%（具体数值由招标人在3%、3.5%、4%、4.5%、5%、5.5%、6%、6.5%、7%中确定四个及以上数值，开标时随机抽取）为评标基准价。评标价等于评标基准价的得满分；每低于评标基准价1%扣0.1分；每高于评标基准价1%扣0.6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21"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2．工程总承包报价是否与投标方案设计文件相匹配；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20" w:hRule="atLeast"/>
        </w:trPr>
        <w:tc>
          <w:tcPr>
            <w:tcW w:w="709" w:type="dxa"/>
            <w:vMerge w:val="continue"/>
            <w:tcBorders>
              <w:bottom w:val="single" w:color="000000"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000000" w:sz="4" w:space="0"/>
              <w:right w:val="single" w:color="auto" w:sz="4" w:space="0"/>
            </w:tcBorders>
            <w:vAlign w:val="center"/>
          </w:tcPr>
          <w:p>
            <w:pPr>
              <w:spacing w:line="440" w:lineRule="exact"/>
              <w:jc w:val="center"/>
              <w:rPr>
                <w:color w:val="auto"/>
                <w:szCs w:val="21"/>
                <w:highlight w:val="none"/>
              </w:rPr>
            </w:pPr>
          </w:p>
        </w:tc>
        <w:tc>
          <w:tcPr>
            <w:tcW w:w="2371"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top w:val="single" w:color="000000" w:sz="4" w:space="0"/>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3</w:t>
            </w:r>
          </w:p>
        </w:tc>
        <w:tc>
          <w:tcPr>
            <w:tcW w:w="1315"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项目管理组织方案（≤9分）</w:t>
            </w: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1．总体概述（1-2分）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2．设计管理方案（≤1分）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对设计执行计划、设计组织实施方案、设计控制措施、设计收尾等内容进行评分。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3．施工管理方案（1-2分）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对施工执行计划、施工进度控制、施工费用控制、施工质量控制、施工安全管理、施工现场管理、施工变更管理等内容进行评分。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155"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4．</w:t>
            </w:r>
            <w:r>
              <w:rPr>
                <w:rFonts w:hint="eastAsia" w:ascii="宋体" w:hAnsi="宋体" w:cs="宋体"/>
                <w:color w:val="auto"/>
                <w:szCs w:val="21"/>
                <w:highlight w:val="none"/>
              </w:rPr>
              <w:t>采购管理方案（</w:t>
            </w:r>
            <w:r>
              <w:rPr>
                <w:rFonts w:hint="eastAsia" w:ascii="宋体" w:hAnsi="宋体" w:cs="宋体"/>
                <w:color w:val="auto"/>
                <w:szCs w:val="22"/>
                <w:highlight w:val="none"/>
              </w:rPr>
              <w:t>≤1分</w:t>
            </w:r>
            <w:r>
              <w:rPr>
                <w:rFonts w:hint="eastAsia" w:ascii="宋体" w:hAnsi="宋体" w:cs="宋体"/>
                <w:color w:val="auto"/>
                <w:szCs w:val="21"/>
                <w:highlight w:val="none"/>
              </w:rPr>
              <w:t>）</w:t>
            </w:r>
          </w:p>
          <w:p>
            <w:pPr>
              <w:rPr>
                <w:rFonts w:ascii="宋体" w:hAnsi="宋体" w:cs="宋体"/>
                <w:color w:val="auto"/>
                <w:szCs w:val="22"/>
                <w:highlight w:val="none"/>
              </w:rPr>
            </w:pPr>
          </w:p>
        </w:tc>
        <w:tc>
          <w:tcPr>
            <w:tcW w:w="4088"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对采购工作程序、采购执行计划、采买、催交与检验、运输与交付、采购变更管理、仓储管理等内容进行评分。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5．建筑信息模型（BIM）技术（≤1分）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对建筑信息模型（BIM）技术的使用等内容进行评分。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6．工程总承包项目经理陈述及答辩（≤2分）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2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4</w:t>
            </w:r>
          </w:p>
        </w:tc>
        <w:tc>
          <w:tcPr>
            <w:tcW w:w="1315" w:type="dxa"/>
            <w:tcBorders>
              <w:left w:val="single" w:color="000000" w:sz="4" w:space="0"/>
              <w:bottom w:val="single" w:color="auto" w:sz="4" w:space="0"/>
              <w:right w:val="single" w:color="auto" w:sz="4" w:space="0"/>
            </w:tcBorders>
            <w:vAlign w:val="center"/>
          </w:tcPr>
          <w:p>
            <w:pPr>
              <w:spacing w:line="440" w:lineRule="exact"/>
              <w:jc w:val="center"/>
              <w:rPr>
                <w:color w:val="auto"/>
                <w:szCs w:val="21"/>
                <w:highlight w:val="none"/>
              </w:rPr>
            </w:pPr>
            <w:r>
              <w:rPr>
                <w:rFonts w:hint="eastAsia"/>
                <w:color w:val="auto"/>
                <w:szCs w:val="21"/>
                <w:highlight w:val="none"/>
              </w:rPr>
              <w:t>项目管理机构（≤3分）</w:t>
            </w:r>
          </w:p>
        </w:tc>
        <w:tc>
          <w:tcPr>
            <w:tcW w:w="645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709" w:type="dxa"/>
            <w:vMerge w:val="restart"/>
            <w:tcBorders>
              <w:right w:val="single" w:color="000000" w:sz="4" w:space="0"/>
            </w:tcBorders>
            <w:vAlign w:val="center"/>
          </w:tcPr>
          <w:p>
            <w:pPr>
              <w:spacing w:line="440" w:lineRule="exact"/>
              <w:jc w:val="center"/>
              <w:rPr>
                <w:color w:val="auto"/>
                <w:szCs w:val="21"/>
                <w:highlight w:val="none"/>
              </w:rPr>
            </w:pPr>
            <w:r>
              <w:rPr>
                <w:rFonts w:hint="eastAsia" w:ascii="宋体" w:hAnsi="宋体" w:cs="宋体"/>
                <w:color w:val="auto"/>
                <w:szCs w:val="21"/>
                <w:highlight w:val="none"/>
              </w:rPr>
              <w:t>5</w:t>
            </w:r>
          </w:p>
        </w:tc>
        <w:tc>
          <w:tcPr>
            <w:tcW w:w="1315" w:type="dxa"/>
            <w:vMerge w:val="restart"/>
            <w:tcBorders>
              <w:left w:val="single" w:color="000000" w:sz="4" w:space="0"/>
              <w:right w:val="single" w:color="auto" w:sz="4" w:space="0"/>
            </w:tcBorders>
            <w:vAlign w:val="center"/>
          </w:tcPr>
          <w:p>
            <w:pPr>
              <w:spacing w:line="440" w:lineRule="exact"/>
              <w:rPr>
                <w:color w:val="auto"/>
                <w:szCs w:val="21"/>
                <w:highlight w:val="none"/>
              </w:rPr>
            </w:pPr>
            <w:r>
              <w:rPr>
                <w:rFonts w:hint="eastAsia" w:ascii="宋体" w:hAnsi="宋体" w:cs="宋体"/>
                <w:color w:val="auto"/>
                <w:szCs w:val="21"/>
                <w:highlight w:val="none"/>
              </w:rPr>
              <w:t>工程业绩（≤3分）</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1．投标人类似工程业绩（≤1分）</w:t>
            </w:r>
          </w:p>
        </w:tc>
        <w:tc>
          <w:tcPr>
            <w:tcW w:w="4088"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210" w:firstLineChars="10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ind w:firstLine="210" w:firstLineChars="100"/>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210" w:firstLineChars="10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ind w:firstLine="210" w:firstLineChars="100"/>
              <w:rPr>
                <w:rFonts w:hint="eastAsia" w:ascii="宋体" w:hAnsi="宋体" w:eastAsia="宋体" w:cs="宋体"/>
                <w:color w:val="auto"/>
                <w:szCs w:val="21"/>
                <w:highlight w:val="none"/>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2．工程总承包项目经理类似工程业绩（≤2分）</w:t>
            </w:r>
          </w:p>
        </w:tc>
        <w:tc>
          <w:tcPr>
            <w:tcW w:w="408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的工程总承包业绩加分，累计不超过2分</w:t>
            </w:r>
            <w:r>
              <w:rPr>
                <w:rFonts w:hint="eastAsia" w:ascii="宋体" w:hAnsi="宋体" w:cs="宋体"/>
                <w:color w:val="auto"/>
                <w:szCs w:val="21"/>
                <w:highlight w:val="none"/>
                <w:lang w:eastAsia="zh-CN"/>
              </w:rPr>
              <w:t>；</w:t>
            </w:r>
          </w:p>
          <w:p>
            <w:pPr>
              <w:adjustRightInd w:val="0"/>
              <w:snapToGrid w:val="0"/>
              <w:ind w:firstLine="210" w:firstLineChars="10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hint="eastAsia" w:ascii="宋体" w:hAnsi="宋体" w:eastAsia="宋体" w:cs="宋体"/>
                <w:color w:val="auto"/>
                <w:szCs w:val="21"/>
                <w:highlight w:val="none"/>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459"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cs="宋体"/>
                <w:color w:val="auto"/>
                <w:szCs w:val="21"/>
                <w:highlight w:val="none"/>
              </w:rPr>
            </w:pPr>
            <w:r>
              <w:rPr>
                <w:rFonts w:hint="eastAsia" w:ascii="宋体" w:hAnsi="宋体" w:cs="宋体"/>
                <w:color w:val="auto"/>
                <w:szCs w:val="21"/>
                <w:highlight w:val="none"/>
              </w:rPr>
              <w:t>注：1.类似工程执行苏建规字〔2017〕1号文的相应规定，招标文件中应当明确投标人和项目经理承担过单个类似及以上工程的分值。</w:t>
            </w:r>
          </w:p>
        </w:tc>
      </w:tr>
    </w:tbl>
    <w:p>
      <w:pPr>
        <w:pStyle w:val="5"/>
        <w:jc w:val="center"/>
        <w:rPr>
          <w:color w:val="auto"/>
          <w:kern w:val="44"/>
          <w:sz w:val="32"/>
          <w:highlight w:val="none"/>
        </w:rPr>
      </w:pPr>
      <w:r>
        <w:rPr>
          <w:rFonts w:ascii="Calibri" w:hAnsi="Calibri"/>
          <w:color w:val="auto"/>
          <w:szCs w:val="22"/>
          <w:highlight w:val="none"/>
        </w:rPr>
        <w:br w:type="page"/>
      </w:r>
      <w:bookmarkStart w:id="752" w:name="_Toc22134"/>
      <w:bookmarkStart w:id="753" w:name="_Toc13524"/>
      <w:r>
        <w:rPr>
          <w:rStyle w:val="56"/>
          <w:rFonts w:hint="eastAsia" w:ascii="黑体" w:hAnsi="黑体" w:eastAsia="黑体" w:cs="黑体"/>
          <w:b w:val="0"/>
          <w:bCs w:val="0"/>
          <w:color w:val="auto"/>
          <w:sz w:val="32"/>
          <w:highlight w:val="none"/>
        </w:rPr>
        <w:t>综合评估法二：适用于方案设计完成之后的工程总承包招标</w:t>
      </w:r>
      <w:bookmarkEnd w:id="752"/>
      <w:bookmarkEnd w:id="753"/>
    </w:p>
    <w:tbl>
      <w:tblPr>
        <w:tblStyle w:val="44"/>
        <w:tblW w:w="8483"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09"/>
        <w:gridCol w:w="1315"/>
        <w:gridCol w:w="2371"/>
        <w:gridCol w:w="89"/>
        <w:gridCol w:w="16"/>
        <w:gridCol w:w="3983"/>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(总分100分)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技术标：初步设计文件：</w:t>
            </w:r>
            <w:r>
              <w:rPr>
                <w:rFonts w:hint="eastAsia" w:ascii="宋体" w:hAnsi="宋体" w:cs="宋体"/>
                <w:color w:val="auto"/>
                <w:szCs w:val="21"/>
                <w:highlight w:val="none"/>
                <w:u w:val="single"/>
              </w:rPr>
              <w:t>≤25</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项目管理组织方案：</w:t>
            </w:r>
            <w:r>
              <w:rPr>
                <w:rFonts w:hint="eastAsia" w:ascii="宋体" w:hAnsi="宋体" w:cs="宋体"/>
                <w:color w:val="auto"/>
                <w:szCs w:val="21"/>
                <w:highlight w:val="none"/>
                <w:u w:val="single"/>
              </w:rPr>
              <w:t>≤10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≥60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≤3</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315"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评分项</w:t>
            </w:r>
          </w:p>
        </w:tc>
        <w:tc>
          <w:tcPr>
            <w:tcW w:w="2371"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w:t>
            </w:r>
          </w:p>
        </w:tc>
        <w:tc>
          <w:tcPr>
            <w:tcW w:w="1315" w:type="dxa"/>
            <w:vMerge w:val="restart"/>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1.1初步设计文件（≤25分、适用于房屋建筑工程）</w:t>
            </w:r>
          </w:p>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 xml:space="preserve">1．设计说明书（2-4分） </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1．设计说明能对项目的设计方案解读准确，构思新颖。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2．简述各专业的设计特点和系统组成。</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3．项目设计的各项主要技术经济指标是否满足招标人功能需求。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4．项目设计是否符合国家规范标准及地方规划要求。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16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2．总平面设计（2-4分）</w:t>
            </w:r>
          </w:p>
        </w:tc>
        <w:tc>
          <w:tcPr>
            <w:tcW w:w="4088" w:type="dxa"/>
            <w:gridSpan w:val="3"/>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1．总平面设计构思及指导思想。</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2．总平面设计结合自然环境和地域文脉，综合考虑地形、地质、日照、通风、防火、卫生、交通及环境保护等要求进行总体布局，使其满足使用功能、城市规划要求。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3．总平面设计技术安全、经济合理性、节能、节地、节水、节材等。</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3．建筑设计（2-4分）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1．建筑设计各项内容完整合理并满足设计任务书要求。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2．建筑设计是否符合国家规范标准及地方规划要求。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3．各项经济技术指标是否满足招标人功能需求。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4．结构设计（2-3分）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1．结构设计各项内容完整合理并符合计任务书要求。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2．结构设计是否符合国家规范标准要求。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3．结构布置图和计算书是否符合国家法律法规及规范标准要求。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5．</w:t>
            </w:r>
            <w:r>
              <w:rPr>
                <w:rFonts w:hint="eastAsia" w:ascii="宋体" w:hAnsi="宋体" w:cs="宋体"/>
                <w:color w:val="auto"/>
                <w:szCs w:val="22"/>
                <w:highlight w:val="none"/>
              </w:rPr>
              <w:t>设备设计（建筑电气、给水排水、供暖通风与空气调节、热能动力等专项设计，总分2-4分）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1．各专业设计内容完整合理并满足设计任务书要求。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2．各专业设计是否符合国家规范标准及地方规划要求。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3．各专业设计的经济技术指标是否满足招标人功能需求。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6. 新技术、新材料、新设备和新结构应用（1-2分）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1．对采用新技术、新材料、新设备和新结构的情况进行评分。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7．绿色建筑与建筑产业化设计（1-2分）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1.采用科学合理的绿色建筑（建筑节能）措施。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2.提出切实可行的生态建筑理念与措施。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3.是否符合国家及地方的有关绿色建筑标准。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4．工程采用装配式技术。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8、经济分析（≤1分）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1．概算文件编制内容完整、合理。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2．是否符合设计说明书要求。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3．是否符合国家法律法规及规范标准的规定。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4．是否符合地方政府有关的政策文件规定。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color w:val="auto"/>
                <w:szCs w:val="21"/>
                <w:highlight w:val="none"/>
              </w:rPr>
            </w:pPr>
          </w:p>
        </w:tc>
        <w:tc>
          <w:tcPr>
            <w:tcW w:w="2371"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9、设计深度（≤1分）</w:t>
            </w:r>
          </w:p>
        </w:tc>
        <w:tc>
          <w:tcPr>
            <w:tcW w:w="4088"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2．是否符合国家规定的《建筑工程设计文件编制深度规定》。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注：本项可视设计深度符合程度在0~1分之间酌情打分。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00"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p>
          <w:p>
            <w:pPr>
              <w:spacing w:line="440" w:lineRule="exact"/>
              <w:jc w:val="center"/>
              <w:rPr>
                <w:rFonts w:ascii="宋体" w:hAnsi="宋体" w:cs="宋体"/>
                <w:color w:val="auto"/>
                <w:szCs w:val="21"/>
                <w:highlight w:val="none"/>
              </w:rPr>
            </w:pPr>
          </w:p>
        </w:tc>
        <w:tc>
          <w:tcPr>
            <w:tcW w:w="1315" w:type="dxa"/>
            <w:vMerge w:val="restart"/>
            <w:tcBorders>
              <w:left w:val="single" w:color="000000"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1.2初步设计文件（≤25分、适用于市政工程）</w:t>
            </w:r>
          </w:p>
          <w:p>
            <w:pPr>
              <w:spacing w:line="440" w:lineRule="exact"/>
              <w:rPr>
                <w:rFonts w:ascii="宋体" w:hAnsi="宋体" w:cs="宋体"/>
                <w:color w:val="auto"/>
                <w:szCs w:val="21"/>
                <w:highlight w:val="none"/>
              </w:rPr>
            </w:pPr>
          </w:p>
        </w:tc>
        <w:tc>
          <w:tcPr>
            <w:tcW w:w="2460"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1．设计说明书（2-4分）</w:t>
            </w:r>
          </w:p>
        </w:tc>
        <w:tc>
          <w:tcPr>
            <w:tcW w:w="3999"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1.设计说明能对项目的设计方案解读准确，构思新颖。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2.简述各专业（附属）工程的设计特点。</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3.项目设计的各项主要技术指标是否满足招标人功能需求。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4.项目设计是否符合国家规范标准及地方规划要求。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2．技术方案（6-12分）</w:t>
            </w:r>
          </w:p>
        </w:tc>
        <w:tc>
          <w:tcPr>
            <w:tcW w:w="3999" w:type="dxa"/>
            <w:gridSpan w:val="2"/>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1．总体布置（总平面设计）。</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2．设计原则。</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3．设计依据。</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4．各专项（附属）工程设计方案。</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3．设计深度（2-4分）</w:t>
            </w:r>
          </w:p>
        </w:tc>
        <w:tc>
          <w:tcPr>
            <w:tcW w:w="3999" w:type="dxa"/>
            <w:gridSpan w:val="2"/>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2．是否符合国家规定的《市政公用工程设计文件编制深度规定》。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注：本项可视设计深度符合程度在0~4分之间酌情打分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04"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4．绿色设计与新技术应用（2－3分）</w:t>
            </w:r>
          </w:p>
        </w:tc>
        <w:tc>
          <w:tcPr>
            <w:tcW w:w="3999" w:type="dxa"/>
            <w:gridSpan w:val="2"/>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1．提出切实可行的生态理念与措施。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2．是否符合国家及地方的有关绿色标准。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3．采用的新技术、新材料、新设备、新工艺等。</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18"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60" w:type="dxa"/>
            <w:gridSpan w:val="2"/>
            <w:tcBorders>
              <w:top w:val="single" w:color="auto" w:sz="4" w:space="0"/>
              <w:left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1"/>
                <w:highlight w:val="none"/>
              </w:rPr>
              <w:t>5．</w:t>
            </w:r>
            <w:r>
              <w:rPr>
                <w:rFonts w:hint="eastAsia" w:ascii="宋体" w:hAnsi="宋体" w:cs="宋体"/>
                <w:color w:val="auto"/>
                <w:szCs w:val="22"/>
                <w:highlight w:val="none"/>
              </w:rPr>
              <w:t>经济分析（1-2分）</w:t>
            </w:r>
          </w:p>
        </w:tc>
        <w:tc>
          <w:tcPr>
            <w:tcW w:w="3999" w:type="dxa"/>
            <w:gridSpan w:val="2"/>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1．概算文件编制内容完整、合理。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2．是否符合设计说明书。</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3．是否符合国家法律法规及规范标准。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4．是否符合地方政府有关的政策文件规定。</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25" w:hRule="atLeast"/>
        </w:trPr>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83" w:hRule="atLeast"/>
        </w:trPr>
        <w:tc>
          <w:tcPr>
            <w:tcW w:w="709" w:type="dxa"/>
            <w:vMerge w:val="restart"/>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w:t>
            </w:r>
          </w:p>
        </w:tc>
        <w:tc>
          <w:tcPr>
            <w:tcW w:w="1315" w:type="dxa"/>
            <w:vMerge w:val="restart"/>
            <w:tcBorders>
              <w:top w:val="single" w:color="auto" w:sz="4" w:space="0"/>
              <w:left w:val="single" w:color="000000" w:sz="4" w:space="0"/>
              <w:right w:val="single" w:color="auto" w:sz="4" w:space="0"/>
            </w:tcBorders>
            <w:vAlign w:val="center"/>
          </w:tcPr>
          <w:p>
            <w:pPr>
              <w:spacing w:line="440" w:lineRule="exact"/>
              <w:jc w:val="both"/>
              <w:rPr>
                <w:rFonts w:ascii="宋体" w:hAnsi="宋体" w:cs="宋体"/>
                <w:color w:val="auto"/>
                <w:szCs w:val="21"/>
                <w:highlight w:val="none"/>
              </w:rPr>
            </w:pPr>
            <w:r>
              <w:rPr>
                <w:rFonts w:hint="eastAsia" w:ascii="宋体" w:hAnsi="宋体" w:cs="宋体"/>
                <w:color w:val="auto"/>
                <w:szCs w:val="21"/>
                <w:highlight w:val="none"/>
              </w:rPr>
              <w:t>工程总承包报价（≥60分）</w:t>
            </w:r>
          </w:p>
        </w:tc>
        <w:tc>
          <w:tcPr>
            <w:tcW w:w="2476"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报价评审（工程总承包范围内的所有费用）（≥58分）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方法一：</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以有效投标文件的最低评标价为评标基准价。投标报价等于评标基准价的得满分，每高1%的扣</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方法二：</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评标价进行算术平均，该平均值下浮3%-7%（具体数值由招标人在3%、3.5%、4%、4.5%、5%、5.5%、6%、6.5%、7%中确定四个及以上数值，开标时随机抽取）为评标基准价。评标价等于评标基准价的得满分；每低于评标基准价1%扣0.1分；每高于评标基准价1%扣0.6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868" w:hRule="atLeast"/>
        </w:trPr>
        <w:tc>
          <w:tcPr>
            <w:tcW w:w="709" w:type="dxa"/>
            <w:vMerge w:val="continue"/>
            <w:tcBorders>
              <w:top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top w:val="single" w:color="auto" w:sz="4" w:space="0"/>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vMerge w:val="restart"/>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该项评审因素是否设立，由招标人自主确定，本项指标用于对工程总承包报价中不合理报价的评价，以下评审方法供参考：</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2．工程总承包报价是否与投标初步设计文件相匹配；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55" w:hRule="atLeast"/>
        </w:trPr>
        <w:tc>
          <w:tcPr>
            <w:tcW w:w="709" w:type="dxa"/>
            <w:vMerge w:val="continue"/>
            <w:tcBorders>
              <w:bottom w:val="single" w:color="000000"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vMerge w:val="continue"/>
            <w:tcBorders>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3983"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top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w:t>
            </w:r>
          </w:p>
        </w:tc>
        <w:tc>
          <w:tcPr>
            <w:tcW w:w="1315"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项目管理组织方案（≤10分）</w:t>
            </w:r>
          </w:p>
        </w:tc>
        <w:tc>
          <w:tcPr>
            <w:tcW w:w="2476"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1．总体概述（1-2分）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对工程总承包的总体设想、组织形式、各项管理目标及控制措施、设计、施工实施计划、设计与施工的协调措施等内容进行评分。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2．</w:t>
            </w:r>
            <w:r>
              <w:rPr>
                <w:rFonts w:hint="eastAsia" w:ascii="宋体" w:hAnsi="宋体" w:cs="宋体"/>
                <w:color w:val="auto"/>
                <w:szCs w:val="21"/>
                <w:highlight w:val="none"/>
              </w:rPr>
              <w:t>采购管理方案（≤1分）</w:t>
            </w:r>
          </w:p>
        </w:tc>
        <w:tc>
          <w:tcPr>
            <w:tcW w:w="3983" w:type="dxa"/>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1"/>
                <w:highlight w:val="none"/>
              </w:rPr>
              <w:t>对采购工作程序、采购执行计划、采买、催交与检验、运输与交付、采购变更管理、仓储管理等内容进行评分。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41"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11"/>
              </w:numPr>
              <w:kinsoku/>
              <w:wordWrap/>
              <w:overflowPunct/>
              <w:topLinePunct w:val="0"/>
              <w:autoSpaceDE/>
              <w:autoSpaceDN/>
              <w:bidi w:val="0"/>
              <w:adjustRightInd/>
              <w:snapToGrid/>
              <w:spacing w:line="440" w:lineRule="exact"/>
              <w:textAlignment w:val="auto"/>
              <w:outlineLvl w:val="9"/>
              <w:rPr>
                <w:rFonts w:ascii="宋体" w:hAnsi="宋体" w:cs="宋体"/>
                <w:color w:val="auto"/>
                <w:szCs w:val="21"/>
                <w:highlight w:val="none"/>
              </w:rPr>
            </w:pPr>
            <w:r>
              <w:rPr>
                <w:rFonts w:hint="eastAsia" w:ascii="宋体" w:hAnsi="宋体" w:cs="宋体"/>
                <w:color w:val="auto"/>
                <w:szCs w:val="21"/>
                <w:highlight w:val="none"/>
              </w:rPr>
              <w:t>施工平面布置规划（≤1分）</w:t>
            </w:r>
          </w:p>
        </w:tc>
        <w:tc>
          <w:tcPr>
            <w:tcW w:w="398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对施工现场平面布置和临时设施、临时道路布置等内容进行评分。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20"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4．施工的重点难点（1-2分）</w:t>
            </w:r>
          </w:p>
        </w:tc>
        <w:tc>
          <w:tcPr>
            <w:tcW w:w="398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对关键施工技术、工艺及工程项目实施的重点、难点和解决方案等内容进行评分。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86"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5．施工资源投入计划（≤1分）</w:t>
            </w:r>
          </w:p>
        </w:tc>
        <w:tc>
          <w:tcPr>
            <w:tcW w:w="3983"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对劳动力、机械设备和材料投入计划进行评分。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6</w:t>
            </w:r>
            <w:r>
              <w:rPr>
                <w:rFonts w:hint="eastAsia" w:ascii="宋体" w:hAnsi="宋体" w:cs="宋体"/>
                <w:color w:val="auto"/>
                <w:szCs w:val="21"/>
                <w:highlight w:val="none"/>
              </w:rPr>
              <w:t>．</w:t>
            </w:r>
            <w:r>
              <w:rPr>
                <w:rFonts w:hint="eastAsia" w:ascii="宋体" w:hAnsi="宋体" w:cs="宋体"/>
                <w:color w:val="auto"/>
                <w:szCs w:val="22"/>
                <w:highlight w:val="none"/>
              </w:rPr>
              <w:t>新技术、新产品、新工艺、新材料（≤1分）</w:t>
            </w:r>
          </w:p>
        </w:tc>
        <w:tc>
          <w:tcPr>
            <w:tcW w:w="3983" w:type="dxa"/>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对采用新技术、新产品、新工艺、新材料的情况进行评分。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42" w:hRule="atLeast"/>
        </w:trPr>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7．建筑信息模型（BIM）技术（≤1分）</w:t>
            </w:r>
          </w:p>
        </w:tc>
        <w:tc>
          <w:tcPr>
            <w:tcW w:w="398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ascii="宋体" w:hAnsi="宋体" w:cs="宋体"/>
                <w:color w:val="auto"/>
                <w:szCs w:val="22"/>
                <w:highlight w:val="none"/>
              </w:rPr>
            </w:pPr>
            <w:r>
              <w:rPr>
                <w:rFonts w:hint="eastAsia" w:ascii="宋体" w:hAnsi="宋体" w:cs="宋体"/>
                <w:color w:val="auto"/>
                <w:szCs w:val="22"/>
                <w:highlight w:val="none"/>
              </w:rPr>
              <w:t>对建筑信息模型（BIM）技术的使用等内容进行评分。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right w:val="single" w:color="auto" w:sz="4" w:space="0"/>
            </w:tcBorders>
            <w:vAlign w:val="center"/>
          </w:tcPr>
          <w:p>
            <w:pPr>
              <w:spacing w:line="440" w:lineRule="exact"/>
              <w:jc w:val="center"/>
              <w:rPr>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8．工程总承包项目经理陈述及答辩（≤1分）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1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color w:val="auto"/>
                <w:szCs w:val="21"/>
                <w:highlight w:val="none"/>
              </w:rPr>
            </w:pPr>
          </w:p>
        </w:tc>
        <w:tc>
          <w:tcPr>
            <w:tcW w:w="1315" w:type="dxa"/>
            <w:vMerge w:val="continue"/>
            <w:tcBorders>
              <w:left w:val="single" w:color="000000" w:sz="4" w:space="0"/>
              <w:bottom w:val="single" w:color="auto" w:sz="4" w:space="0"/>
              <w:right w:val="single" w:color="auto" w:sz="4" w:space="0"/>
            </w:tcBorders>
            <w:vAlign w:val="center"/>
          </w:tcPr>
          <w:p>
            <w:pPr>
              <w:spacing w:line="440" w:lineRule="exact"/>
              <w:jc w:val="center"/>
              <w:rPr>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w:t>
            </w:r>
          </w:p>
        </w:tc>
        <w:tc>
          <w:tcPr>
            <w:tcW w:w="1315" w:type="dxa"/>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项目管理机构（≤2分）</w:t>
            </w:r>
          </w:p>
        </w:tc>
        <w:tc>
          <w:tcPr>
            <w:tcW w:w="6459" w:type="dxa"/>
            <w:gridSpan w:val="4"/>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5</w:t>
            </w:r>
          </w:p>
        </w:tc>
        <w:tc>
          <w:tcPr>
            <w:tcW w:w="1315" w:type="dxa"/>
            <w:vMerge w:val="restart"/>
            <w:tcBorders>
              <w:left w:val="single" w:color="000000"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工程业绩（≤3分）</w:t>
            </w:r>
          </w:p>
        </w:tc>
        <w:tc>
          <w:tcPr>
            <w:tcW w:w="2476"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1．投标人类似工程业绩（≤1分）</w:t>
            </w:r>
          </w:p>
        </w:tc>
        <w:tc>
          <w:tcPr>
            <w:tcW w:w="3983"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210" w:firstLineChars="10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ind w:firstLine="210" w:firstLineChars="100"/>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210" w:firstLineChars="10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ind w:firstLine="210" w:firstLineChars="100"/>
              <w:rPr>
                <w:rFonts w:ascii="宋体" w:hAnsi="宋体" w:cs="宋体"/>
                <w:color w:val="auto"/>
                <w:szCs w:val="21"/>
                <w:highlight w:val="none"/>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476"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2．工程总承包项目经理类似工程业绩（≤2分）</w:t>
            </w:r>
          </w:p>
        </w:tc>
        <w:tc>
          <w:tcPr>
            <w:tcW w:w="398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的工程总承包业绩加分，累计不超过2分</w:t>
            </w:r>
            <w:r>
              <w:rPr>
                <w:rFonts w:hint="eastAsia" w:ascii="宋体" w:hAnsi="宋体" w:cs="宋体"/>
                <w:color w:val="auto"/>
                <w:szCs w:val="21"/>
                <w:highlight w:val="none"/>
                <w:lang w:eastAsia="zh-CN"/>
              </w:rPr>
              <w:t>；</w:t>
            </w:r>
          </w:p>
          <w:p>
            <w:pPr>
              <w:adjustRightInd w:val="0"/>
              <w:snapToGrid w:val="0"/>
              <w:ind w:firstLine="210" w:firstLineChars="10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ascii="宋体" w:hAnsi="宋体" w:cs="宋体"/>
                <w:color w:val="auto"/>
                <w:szCs w:val="21"/>
                <w:highlight w:val="none"/>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315"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459" w:type="dxa"/>
            <w:gridSpan w:val="4"/>
            <w:tcBorders>
              <w:top w:val="single" w:color="auto" w:sz="4" w:space="0"/>
              <w:left w:val="single" w:color="auto" w:sz="4" w:space="0"/>
              <w:bottom w:val="single" w:color="auto" w:sz="4" w:space="0"/>
              <w:right w:val="single" w:color="auto" w:sz="4" w:space="0"/>
            </w:tcBorders>
            <w:vAlign w:val="center"/>
          </w:tcPr>
          <w:p>
            <w:pPr>
              <w:spacing w:line="440" w:lineRule="exact"/>
              <w:ind w:firstLine="0" w:firstLineChars="0"/>
              <w:rPr>
                <w:rFonts w:ascii="宋体" w:hAnsi="宋体" w:cs="宋体"/>
                <w:color w:val="auto"/>
                <w:szCs w:val="21"/>
                <w:highlight w:val="none"/>
              </w:rPr>
            </w:pPr>
            <w:r>
              <w:rPr>
                <w:rFonts w:hint="eastAsia" w:ascii="宋体" w:hAnsi="宋体" w:cs="宋体"/>
                <w:color w:val="auto"/>
                <w:szCs w:val="21"/>
                <w:highlight w:val="none"/>
              </w:rPr>
              <w:t>注：1.类似工程执行苏建规字〔2017〕1号文的相应规定，招标文件中应当明确投标人和项目经理承担过单个类似及以上工程的分值。</w:t>
            </w:r>
          </w:p>
        </w:tc>
      </w:tr>
    </w:tbl>
    <w:p>
      <w:pPr>
        <w:pStyle w:val="5"/>
        <w:jc w:val="center"/>
        <w:rPr>
          <w:color w:val="auto"/>
          <w:kern w:val="44"/>
          <w:sz w:val="28"/>
          <w:szCs w:val="28"/>
          <w:highlight w:val="none"/>
        </w:rPr>
      </w:pPr>
      <w:r>
        <w:rPr>
          <w:color w:val="auto"/>
          <w:kern w:val="44"/>
          <w:sz w:val="32"/>
          <w:highlight w:val="none"/>
        </w:rPr>
        <w:br w:type="page"/>
      </w:r>
      <w:bookmarkStart w:id="754" w:name="_Toc20189"/>
      <w:bookmarkStart w:id="755" w:name="_Toc32425"/>
      <w:r>
        <w:rPr>
          <w:rStyle w:val="56"/>
          <w:rFonts w:hint="eastAsia" w:ascii="黑体" w:hAnsi="黑体" w:eastAsia="黑体" w:cs="黑体"/>
          <w:b w:val="0"/>
          <w:bCs w:val="0"/>
          <w:color w:val="auto"/>
          <w:sz w:val="32"/>
          <w:highlight w:val="none"/>
        </w:rPr>
        <w:t>综合评估法四：适用于专业工程工程总承包招标</w:t>
      </w:r>
      <w:bookmarkEnd w:id="754"/>
      <w:bookmarkEnd w:id="755"/>
    </w:p>
    <w:tbl>
      <w:tblPr>
        <w:tblStyle w:val="44"/>
        <w:tblW w:w="8496" w:type="dxa"/>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09"/>
        <w:gridCol w:w="1134"/>
        <w:gridCol w:w="2552"/>
        <w:gridCol w:w="105"/>
        <w:gridCol w:w="399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4395" w:type="dxa"/>
            <w:gridSpan w:val="3"/>
            <w:tcBorders>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分值构成</w:t>
            </w:r>
          </w:p>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(总分100分)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技术标：专业工程设计文件：</w:t>
            </w:r>
            <w:r>
              <w:rPr>
                <w:rFonts w:hint="eastAsia" w:ascii="宋体" w:hAnsi="宋体" w:cs="宋体"/>
                <w:color w:val="auto"/>
                <w:szCs w:val="21"/>
                <w:highlight w:val="none"/>
                <w:u w:val="single"/>
              </w:rPr>
              <w:t>≤20</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项目管理组织方案：</w:t>
            </w:r>
            <w:r>
              <w:rPr>
                <w:rFonts w:hint="eastAsia" w:ascii="宋体" w:hAnsi="宋体" w:cs="宋体"/>
                <w:color w:val="auto"/>
                <w:szCs w:val="21"/>
                <w:highlight w:val="none"/>
                <w:u w:val="single"/>
              </w:rPr>
              <w:t>≤8</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经济标：工程总承包报价：</w:t>
            </w:r>
            <w:r>
              <w:rPr>
                <w:rFonts w:hint="eastAsia" w:ascii="宋体" w:hAnsi="宋体" w:cs="宋体"/>
                <w:color w:val="auto"/>
                <w:szCs w:val="21"/>
                <w:highlight w:val="none"/>
                <w:u w:val="single"/>
              </w:rPr>
              <w:t>≥68</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商务标：项目管理机构：</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w:t>
            </w:r>
            <w:r>
              <w:rPr>
                <w:rFonts w:hint="eastAsia" w:ascii="宋体" w:hAnsi="宋体" w:cs="宋体"/>
                <w:color w:val="auto"/>
                <w:szCs w:val="21"/>
                <w:highlight w:val="none"/>
                <w:u w:val="single"/>
              </w:rPr>
              <w:t>≤2</w:t>
            </w:r>
            <w:r>
              <w:rPr>
                <w:rFonts w:hint="eastAsia" w:ascii="宋体" w:hAnsi="宋体" w:cs="宋体"/>
                <w:color w:val="auto"/>
                <w:szCs w:val="21"/>
                <w:highlight w:val="none"/>
              </w:rPr>
              <w:t>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序号</w:t>
            </w:r>
          </w:p>
        </w:tc>
        <w:tc>
          <w:tcPr>
            <w:tcW w:w="1134" w:type="dxa"/>
            <w:tcBorders>
              <w:bottom w:val="single" w:color="auto" w:sz="4" w:space="0"/>
              <w:right w:val="single" w:color="auto" w:sz="4" w:space="0"/>
            </w:tcBorders>
            <w:vAlign w:val="center"/>
          </w:tcPr>
          <w:p>
            <w:pPr>
              <w:spacing w:line="440" w:lineRule="exact"/>
              <w:jc w:val="center"/>
              <w:rPr>
                <w:b/>
                <w:bCs/>
                <w:color w:val="auto"/>
                <w:szCs w:val="21"/>
                <w:highlight w:val="none"/>
              </w:rPr>
            </w:pPr>
            <w:r>
              <w:rPr>
                <w:rFonts w:hint="eastAsia"/>
                <w:b/>
                <w:bCs/>
                <w:color w:val="auto"/>
                <w:szCs w:val="21"/>
                <w:highlight w:val="none"/>
              </w:rPr>
              <w:t>评分项</w:t>
            </w:r>
          </w:p>
        </w:tc>
        <w:tc>
          <w:tcPr>
            <w:tcW w:w="2552" w:type="dxa"/>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评分因素（偏差率）</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jc w:val="center"/>
              <w:rPr>
                <w:b/>
                <w:bCs/>
                <w:color w:val="auto"/>
                <w:szCs w:val="21"/>
                <w:highlight w:val="none"/>
              </w:rPr>
            </w:pPr>
            <w:r>
              <w:rPr>
                <w:b/>
                <w:bCs/>
                <w:color w:val="auto"/>
                <w:szCs w:val="21"/>
                <w:highlight w:val="none"/>
              </w:rPr>
              <w:t>评分标准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w:t>
            </w:r>
          </w:p>
        </w:tc>
        <w:tc>
          <w:tcPr>
            <w:tcW w:w="1134" w:type="dxa"/>
            <w:vMerge w:val="restart"/>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专业工程设计文件（≤20分）</w:t>
            </w: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1．设计说明（2-5分）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1．设计说明能对项目的设计方案解读准确，构思新颖。</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2．项目设计的各项主要技术经济指标是否满足招标人功能需求。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3．项目设计是否国家规范标准及地方规划要求。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2．专业工程设计文件（5-10分）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1．设计文件是否满足设计任务书要求。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2．设计文件是否符合国家规范标准及地方规划要求。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3．工程设计文件的先进性、完整性、实用性以及工程造价等方面进行评分。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4、与建筑的协调性。</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3. 新技术、新材料、新设备和新结构应用（1-2分）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1.对采用新技术、新材料、新设备和新结构的内容进行评分。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4．绿色设计和装配化（</w:t>
            </w:r>
            <w:r>
              <w:rPr>
                <w:rFonts w:hint="eastAsia" w:ascii="宋体" w:hAnsi="宋体" w:cs="宋体"/>
                <w:color w:val="auto"/>
                <w:szCs w:val="21"/>
                <w:highlight w:val="none"/>
                <w:u w:val="none"/>
              </w:rPr>
              <w:t>≤1</w:t>
            </w:r>
            <w:r>
              <w:rPr>
                <w:rFonts w:hint="eastAsia" w:ascii="宋体" w:hAnsi="宋体" w:cs="宋体"/>
                <w:color w:val="auto"/>
                <w:szCs w:val="21"/>
                <w:highlight w:val="none"/>
              </w:rPr>
              <w:t>分</w:t>
            </w:r>
            <w:r>
              <w:rPr>
                <w:rFonts w:hint="eastAsia" w:ascii="宋体" w:hAnsi="宋体" w:cs="宋体"/>
                <w:color w:val="auto"/>
                <w:szCs w:val="22"/>
                <w:highlight w:val="none"/>
              </w:rPr>
              <w:t>）</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1.采用科学合理的绿色建筑（建筑节能）措施。</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2.提出切实可行的生态建筑理念与措施，符合国家及地方的有关绿色建筑标准。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3.对装配式建筑设计先进性、合理性、规范符合性进行评分。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5. 设计深度（0-2分）</w:t>
            </w:r>
          </w:p>
        </w:tc>
        <w:tc>
          <w:tcPr>
            <w:tcW w:w="4101"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1．是否符合设计任务书要求。</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2．是否符合国家规定的《建筑工程设计文件编制深度规定》。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注：本项可视设计深度符合程度在0~2分之间酌情打分。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653" w:type="dxa"/>
            <w:gridSpan w:val="3"/>
            <w:tcBorders>
              <w:top w:val="single" w:color="auto" w:sz="4" w:space="0"/>
              <w:left w:val="single" w:color="auto" w:sz="4" w:space="0"/>
              <w:bottom w:val="single" w:color="auto" w:sz="4" w:space="0"/>
              <w:right w:val="single" w:color="auto" w:sz="4" w:space="0"/>
            </w:tcBorders>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注：招标人可根据项目的实际情况选择增加上述各评分因素，但“评审项”分值不得调整；也可在招标文件中细化明确评分标准的内容，但一般不得突破各评分因素的规定分值。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709" w:type="dxa"/>
            <w:vMerge w:val="restart"/>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w:t>
            </w:r>
          </w:p>
        </w:tc>
        <w:tc>
          <w:tcPr>
            <w:tcW w:w="1134" w:type="dxa"/>
            <w:vMerge w:val="restart"/>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工程总承包报价（≥68分）</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报价评审（工程总承包范围内的所有费用）（≥66分）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w:t>
            </w:r>
            <w:r>
              <w:rPr>
                <w:rFonts w:hint="eastAsia"/>
                <w:color w:val="auto"/>
                <w:kern w:val="0"/>
                <w:szCs w:val="21"/>
                <w:highlight w:val="none"/>
              </w:rPr>
              <w:t>评标基准值计算方法的确定</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方法一：</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以有效投标文件的最低评标价为评标基准价。投标报价等于评标基准价的得满分，每高1%的扣</w:t>
            </w:r>
            <w:r>
              <w:rPr>
                <w:rFonts w:hint="eastAsia" w:ascii="宋体" w:hAnsi="宋体" w:cs="宋体"/>
                <w:color w:val="auto"/>
                <w:szCs w:val="21"/>
                <w:highlight w:val="none"/>
                <w:u w:val="single"/>
                <w:lang w:val="en-US" w:eastAsia="zh-CN"/>
              </w:rPr>
              <w:t xml:space="preserve">       </w:t>
            </w:r>
            <w:r>
              <w:rPr>
                <w:rFonts w:hint="eastAsia" w:ascii="宋体" w:hAnsi="宋体" w:cs="宋体"/>
                <w:color w:val="auto"/>
                <w:szCs w:val="21"/>
                <w:highlight w:val="none"/>
              </w:rPr>
              <w:t>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方法二：</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以有效投标文件的评标价进行算术平均，该平均值下浮3%-7%（具体数值由招标人在3%、3.5%、4%、4.5%、5%、5.5%、6%、6.5%、7%中确定四个及以上数值，开标时随机抽取）为评标基准价。评标价等于评标基准价的得满分；每低于评标基准价1%扣0.1分；每高于评标基准价1%扣0.6分。偏离不足1%的，按照插入法计算得分。</w:t>
            </w:r>
          </w:p>
          <w:p>
            <w:pPr>
              <w:spacing w:line="440" w:lineRule="exact"/>
              <w:rPr>
                <w:rFonts w:ascii="宋体" w:hAnsi="宋体" w:cs="宋体"/>
                <w:color w:val="auto"/>
                <w:szCs w:val="21"/>
                <w:highlight w:val="none"/>
              </w:rPr>
            </w:pPr>
            <w:r>
              <w:rPr>
                <w:rFonts w:hint="eastAsia" w:ascii="宋体" w:hAnsi="宋体" w:cs="宋体"/>
                <w:color w:val="auto"/>
                <w:highlight w:val="none"/>
              </w:rPr>
              <w:t>2.</w:t>
            </w:r>
            <w:r>
              <w:rPr>
                <w:rFonts w:hint="eastAsia" w:ascii="宋体" w:hAnsi="宋体" w:cs="宋体"/>
                <w:color w:val="auto"/>
                <w:szCs w:val="21"/>
                <w:highlight w:val="none"/>
                <w:lang w:val="en-US" w:eastAsia="zh-CN"/>
              </w:rPr>
              <w:t>评标委员会在评标报告签字后</w:t>
            </w:r>
            <w:r>
              <w:rPr>
                <w:rFonts w:hint="eastAsia" w:ascii="宋体" w:hAnsi="宋体" w:cs="宋体"/>
                <w:color w:val="auto"/>
                <w:szCs w:val="21"/>
                <w:highlight w:val="none"/>
              </w:rPr>
              <w:t>，评标基准价调整方式：</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□除确认存在评委评审和计算错误外，评标基准价不因招投标当事人</w:t>
            </w:r>
            <w:r>
              <w:rPr>
                <w:rFonts w:hint="default" w:ascii="宋体" w:hAnsi="宋体" w:cs="宋体"/>
                <w:color w:val="auto"/>
                <w:szCs w:val="21"/>
                <w:highlight w:val="none"/>
                <w:lang w:val="en-US"/>
              </w:rPr>
              <w:t>质疑</w:t>
            </w:r>
            <w:r>
              <w:rPr>
                <w:rFonts w:hint="eastAsia" w:ascii="宋体" w:hAnsi="宋体" w:cs="宋体"/>
                <w:color w:val="auto"/>
                <w:szCs w:val="21"/>
                <w:highlight w:val="none"/>
              </w:rPr>
              <w:t>、投诉、复议以及其它任何情形而改变。</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前款所称评审错误仅限于评标委员会基于招标文件中约定的查询方式、查询地址以及投标文件进行评审时发生的错误。投标人提供虚假材料、或者隐瞒事实、或者作出虚假承诺等情形，造成招标人、投标人对评标结果产生争议的，不属于评委评审错误。</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12" w:hRule="atLeast"/>
        </w:trPr>
        <w:tc>
          <w:tcPr>
            <w:tcW w:w="709" w:type="dxa"/>
            <w:vMerge w:val="continue"/>
            <w:tcBorders>
              <w:top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top w:val="single" w:color="auto"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vMerge w:val="restart"/>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投标报价合理性（≤2 分）</w:t>
            </w:r>
          </w:p>
          <w:p>
            <w:pPr>
              <w:spacing w:line="440" w:lineRule="exact"/>
              <w:jc w:val="center"/>
              <w:rPr>
                <w:rFonts w:ascii="宋体" w:hAnsi="宋体" w:cs="宋体"/>
                <w:color w:val="auto"/>
                <w:szCs w:val="21"/>
                <w:highlight w:val="none"/>
              </w:rPr>
            </w:pP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1．工程总承包报价是否与招标范围相一致；</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2．工程总承包报价是否与投标专业工程设计文件相匹配；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3．工程总承包报价是否与投标项目管理组织方案相匹配；</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4．工程总承包报价中的风险金计取是否明确、合理。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30" w:hRule="atLeast"/>
        </w:trPr>
        <w:tc>
          <w:tcPr>
            <w:tcW w:w="709" w:type="dxa"/>
            <w:vMerge w:val="continue"/>
            <w:tcBorders>
              <w:bottom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bottom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vMerge w:val="continue"/>
            <w:tcBorders>
              <w:left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3996"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说明：</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1.评标价指经澄清、补正和修正算术计算错误的投标报价；</w:t>
            </w:r>
          </w:p>
          <w:p>
            <w:pPr>
              <w:spacing w:line="440" w:lineRule="exact"/>
              <w:rPr>
                <w:rFonts w:ascii="宋体" w:hAnsi="宋体" w:cs="宋体"/>
                <w:color w:val="auto"/>
                <w:szCs w:val="21"/>
                <w:highlight w:val="none"/>
              </w:rPr>
            </w:pPr>
            <w:r>
              <w:rPr>
                <w:rFonts w:hint="eastAsia" w:ascii="宋体" w:hAnsi="宋体" w:cs="宋体"/>
                <w:color w:val="auto"/>
                <w:szCs w:val="21"/>
                <w:highlight w:val="none"/>
              </w:rPr>
              <w:t>2.有效投标文件是指未被评标委员会判定为无效标的投标文件。</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restart"/>
            <w:tcBorders>
              <w:top w:val="single" w:color="000000"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w:t>
            </w:r>
          </w:p>
        </w:tc>
        <w:tc>
          <w:tcPr>
            <w:tcW w:w="1134" w:type="dxa"/>
            <w:vMerge w:val="restart"/>
            <w:tcBorders>
              <w:top w:val="single" w:color="000000" w:sz="4" w:space="0"/>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项目管理组织方案（≤8分）</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1．总体概述（1-2分）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对工程总承包的总体设想、组织形式、各项管理目标及控制措施、设计、施工实施计划、设计与施工的协调措施等内容进行评分。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2．施工的重点难点（1-2分）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对关键施工技术、工艺及工程项目实施的重点、难点和解决方案等内容进行评分。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3. 施工资源投入计划（≤1分）</w:t>
            </w:r>
          </w:p>
        </w:tc>
        <w:tc>
          <w:tcPr>
            <w:tcW w:w="3996"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auto"/>
                <w:szCs w:val="22"/>
                <w:highlight w:val="none"/>
              </w:rPr>
            </w:pPr>
            <w:r>
              <w:rPr>
                <w:rFonts w:hint="eastAsia" w:ascii="宋体" w:hAnsi="宋体" w:cs="宋体"/>
                <w:color w:val="auto"/>
                <w:szCs w:val="22"/>
                <w:highlight w:val="none"/>
              </w:rPr>
              <w:t>对劳动力、机械设备和材料投入计划进行评分。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7"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4.新技术、新产品、新工艺、新材料应用（≤1分）</w:t>
            </w:r>
          </w:p>
        </w:tc>
        <w:tc>
          <w:tcPr>
            <w:tcW w:w="3996" w:type="dxa"/>
            <w:tcBorders>
              <w:top w:val="single" w:color="auto" w:sz="4" w:space="0"/>
              <w:left w:val="single" w:color="auto" w:sz="4" w:space="0"/>
              <w:bottom w:val="single" w:color="auto" w:sz="4" w:space="0"/>
              <w:right w:val="single" w:color="auto" w:sz="4" w:space="0"/>
            </w:tcBorders>
            <w:vAlign w:val="center"/>
          </w:tcPr>
          <w:p>
            <w:pPr>
              <w:jc w:val="both"/>
              <w:rPr>
                <w:rFonts w:ascii="宋体" w:hAnsi="宋体" w:cs="宋体"/>
                <w:color w:val="auto"/>
                <w:szCs w:val="22"/>
                <w:highlight w:val="none"/>
              </w:rPr>
            </w:pPr>
            <w:r>
              <w:rPr>
                <w:rFonts w:hint="eastAsia" w:ascii="宋体" w:hAnsi="宋体" w:cs="宋体"/>
                <w:color w:val="auto"/>
                <w:szCs w:val="22"/>
                <w:highlight w:val="none"/>
              </w:rPr>
              <w:t>对采用新技术、新产品、新工艺、新材料的情况进行评分。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321"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right w:val="single" w:color="auto" w:sz="4" w:space="0"/>
            </w:tcBorders>
            <w:vAlign w:val="center"/>
          </w:tcPr>
          <w:p>
            <w:pPr>
              <w:rPr>
                <w:rFonts w:ascii="宋体" w:hAnsi="宋体" w:cs="宋体"/>
                <w:color w:val="auto"/>
                <w:szCs w:val="21"/>
                <w:highlight w:val="none"/>
              </w:rPr>
            </w:pPr>
            <w:r>
              <w:rPr>
                <w:rFonts w:hint="eastAsia" w:ascii="宋体" w:hAnsi="宋体" w:cs="宋体"/>
                <w:color w:val="auto"/>
                <w:szCs w:val="21"/>
                <w:highlight w:val="none"/>
              </w:rPr>
              <w:t>5．工程总承包项目经理陈述及答辩（≤2分）</w:t>
            </w:r>
          </w:p>
          <w:p>
            <w:pPr>
              <w:rPr>
                <w:rFonts w:ascii="宋体" w:hAnsi="宋体" w:cs="宋体"/>
                <w:color w:val="auto"/>
                <w:szCs w:val="21"/>
                <w:highlight w:val="none"/>
              </w:rPr>
            </w:pPr>
          </w:p>
        </w:tc>
        <w:tc>
          <w:tcPr>
            <w:tcW w:w="3996" w:type="dxa"/>
            <w:tcBorders>
              <w:top w:val="single" w:color="auto" w:sz="4" w:space="0"/>
              <w:left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招标人可以要求投标工程总承包项目经理在评标环节陈述项目管理组织方案的主要内容或者现场回答评标委员会提出的问题（以书面为主），评分分值控制在2分以内。评标委员会拟定答辩题目时，应同时明确答案及得分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vMerge w:val="continue"/>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p>
        </w:tc>
        <w:tc>
          <w:tcPr>
            <w:tcW w:w="6653"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注：1．招标人可根据项目的实际情况选择增加上述各评分因素，但“评审项”分值不得调整；也可在招标文件中细化明确评分标准的内容，但一般不得突破各评分因素的规定分值。</w:t>
            </w:r>
          </w:p>
          <w:p>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项目管理组织方案各评分点得分应当取所有技术标评委评分中分别去掉一个最高和最低评分后的平均值为最终得分。项目管理组织方案中（项目管理机构评分点除外）除缺少相应内容的评审要点不得分外，其它各项评审要点得分不应低于该评审要点满分的70%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709"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w:t>
            </w:r>
          </w:p>
        </w:tc>
        <w:tc>
          <w:tcPr>
            <w:tcW w:w="1134" w:type="dxa"/>
            <w:tcBorders>
              <w:left w:val="single" w:color="000000" w:sz="4" w:space="0"/>
              <w:bottom w:val="single" w:color="auto" w:sz="4" w:space="0"/>
              <w:right w:val="single" w:color="auto"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项目管理机构（≤</w:t>
            </w:r>
            <w:r>
              <w:rPr>
                <w:rFonts w:hint="eastAsia" w:ascii="宋体" w:hAnsi="宋体" w:cs="宋体"/>
                <w:color w:val="auto"/>
                <w:szCs w:val="22"/>
                <w:highlight w:val="none"/>
              </w:rPr>
              <w:t>2</w:t>
            </w:r>
            <w:r>
              <w:rPr>
                <w:rFonts w:hint="eastAsia" w:ascii="宋体" w:hAnsi="宋体" w:cs="宋体"/>
                <w:color w:val="auto"/>
                <w:szCs w:val="21"/>
                <w:highlight w:val="none"/>
              </w:rPr>
              <w:t>分）</w:t>
            </w:r>
          </w:p>
        </w:tc>
        <w:tc>
          <w:tcPr>
            <w:tcW w:w="6653"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对工程总承包项目经理、设计负责人、施工项目经理、项目管理机构人员配置情况及取得的专业类别、技术职称级别、岗位证书、执业资格、工作经历等，招标文件中明确一定的标准进行评分。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6" w:hRule="atLeast"/>
        </w:trPr>
        <w:tc>
          <w:tcPr>
            <w:tcW w:w="709" w:type="dxa"/>
            <w:vMerge w:val="restart"/>
            <w:tcBorders>
              <w:right w:val="single" w:color="000000" w:sz="4" w:space="0"/>
            </w:tcBorders>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5</w:t>
            </w:r>
          </w:p>
        </w:tc>
        <w:tc>
          <w:tcPr>
            <w:tcW w:w="1134" w:type="dxa"/>
            <w:vMerge w:val="restart"/>
            <w:tcBorders>
              <w:left w:val="single" w:color="000000"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工程业绩（≤2分）</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1．投标人类似工程业绩（≤1分）</w:t>
            </w:r>
          </w:p>
        </w:tc>
        <w:tc>
          <w:tcPr>
            <w:tcW w:w="3996" w:type="dxa"/>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spacing w:line="240" w:lineRule="auto"/>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对单位承担过类似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的工程总承包业绩加分，累计不超过1分，如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工程的</w:t>
            </w:r>
            <w:r>
              <w:rPr>
                <w:rFonts w:hint="eastAsia" w:ascii="宋体" w:hAnsi="宋体" w:eastAsia="宋体" w:cs="宋体"/>
                <w:color w:val="auto"/>
                <w:szCs w:val="21"/>
                <w:highlight w:val="none"/>
              </w:rPr>
              <w:t>设计</w:t>
            </w:r>
            <w:r>
              <w:rPr>
                <w:rFonts w:hint="eastAsia" w:ascii="宋体" w:hAnsi="宋体" w:cs="宋体"/>
                <w:color w:val="auto"/>
                <w:szCs w:val="21"/>
                <w:highlight w:val="none"/>
                <w:lang w:val="en-US" w:eastAsia="zh-CN"/>
              </w:rPr>
              <w:t>和施工</w:t>
            </w:r>
            <w:r>
              <w:rPr>
                <w:rFonts w:hint="eastAsia" w:ascii="宋体" w:hAnsi="宋体" w:eastAsia="宋体" w:cs="宋体"/>
                <w:color w:val="auto"/>
                <w:szCs w:val="21"/>
                <w:highlight w:val="none"/>
              </w:rPr>
              <w:t>乘</w:t>
            </w:r>
            <w:r>
              <w:rPr>
                <w:rFonts w:hint="eastAsia" w:ascii="宋体" w:hAnsi="宋体" w:cs="宋体"/>
                <w:color w:val="auto"/>
                <w:szCs w:val="21"/>
                <w:highlight w:val="none"/>
                <w:lang w:val="en-US" w:eastAsia="zh-CN"/>
              </w:rPr>
              <w:t>系数1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如单位在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设计乘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0.8</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如</w:t>
            </w:r>
            <w:r>
              <w:rPr>
                <w:rFonts w:hint="eastAsia" w:ascii="宋体" w:hAnsi="宋体" w:cs="宋体"/>
                <w:color w:val="auto"/>
                <w:szCs w:val="21"/>
                <w:highlight w:val="none"/>
                <w:lang w:val="en-US" w:eastAsia="zh-CN"/>
              </w:rPr>
              <w:t>单位在</w:t>
            </w:r>
            <w:r>
              <w:rPr>
                <w:rFonts w:hint="eastAsia" w:ascii="宋体" w:hAnsi="宋体" w:eastAsia="宋体" w:cs="宋体"/>
                <w:color w:val="auto"/>
                <w:szCs w:val="21"/>
                <w:highlight w:val="none"/>
              </w:rPr>
              <w:t>工程总承包业绩</w:t>
            </w:r>
            <w:r>
              <w:rPr>
                <w:rFonts w:hint="eastAsia" w:ascii="宋体" w:hAnsi="宋体" w:cs="宋体"/>
                <w:color w:val="auto"/>
                <w:szCs w:val="21"/>
                <w:highlight w:val="none"/>
                <w:lang w:val="en-US" w:eastAsia="zh-CN"/>
              </w:rPr>
              <w:t>中</w:t>
            </w:r>
            <w:r>
              <w:rPr>
                <w:rFonts w:hint="eastAsia" w:ascii="宋体" w:hAnsi="宋体" w:eastAsia="宋体" w:cs="宋体"/>
                <w:color w:val="auto"/>
                <w:szCs w:val="21"/>
                <w:highlight w:val="none"/>
              </w:rPr>
              <w:t>仅</w:t>
            </w:r>
            <w:r>
              <w:rPr>
                <w:rFonts w:hint="eastAsia" w:ascii="宋体" w:hAnsi="宋体" w:cs="宋体"/>
                <w:color w:val="auto"/>
                <w:szCs w:val="21"/>
                <w:highlight w:val="none"/>
                <w:lang w:val="en-US" w:eastAsia="zh-CN"/>
              </w:rPr>
              <w:t>承接了</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施工乘</w:t>
            </w:r>
            <w:r>
              <w:rPr>
                <w:rFonts w:hint="eastAsia" w:ascii="宋体" w:hAnsi="宋体" w:cs="宋体"/>
                <w:color w:val="auto"/>
                <w:szCs w:val="21"/>
                <w:highlight w:val="none"/>
                <w:lang w:val="en-US" w:eastAsia="zh-CN"/>
              </w:rPr>
              <w:t>系数</w:t>
            </w:r>
            <w:r>
              <w:rPr>
                <w:rFonts w:hint="eastAsia" w:ascii="宋体" w:hAnsi="宋体" w:eastAsia="宋体" w:cs="宋体"/>
                <w:color w:val="auto"/>
                <w:szCs w:val="21"/>
                <w:highlight w:val="none"/>
              </w:rPr>
              <w:t>0.7。</w:t>
            </w:r>
          </w:p>
          <w:p>
            <w:pPr>
              <w:pStyle w:val="2"/>
              <w:spacing w:before="0" w:line="240" w:lineRule="auto"/>
              <w:ind w:firstLine="0" w:firstLineChars="0"/>
              <w:rPr>
                <w:rFonts w:hint="eastAsia" w:cs="宋体"/>
                <w:color w:val="auto"/>
                <w:szCs w:val="21"/>
                <w:highlight w:val="none"/>
                <w:lang w:val="en-US" w:eastAsia="zh-CN"/>
              </w:rPr>
            </w:pPr>
            <w:r>
              <w:rPr>
                <w:rFonts w:hint="eastAsia" w:cs="宋体"/>
                <w:color w:val="auto"/>
                <w:szCs w:val="21"/>
                <w:highlight w:val="none"/>
                <w:lang w:val="en-US" w:eastAsia="zh-CN"/>
              </w:rPr>
              <w:t>注：</w:t>
            </w:r>
          </w:p>
          <w:p>
            <w:pPr>
              <w:pStyle w:val="2"/>
              <w:numPr>
                <w:ilvl w:val="-1"/>
                <w:numId w:val="0"/>
              </w:numPr>
              <w:spacing w:before="0" w:line="240" w:lineRule="auto"/>
              <w:ind w:firstLine="210" w:firstLineChars="100"/>
              <w:rPr>
                <w:rFonts w:hint="eastAsia" w:cs="宋体"/>
                <w:color w:val="auto"/>
                <w:szCs w:val="21"/>
                <w:highlight w:val="none"/>
                <w:lang w:val="en-US" w:eastAsia="zh-CN"/>
              </w:rPr>
            </w:pPr>
            <w:r>
              <w:rPr>
                <w:rFonts w:hint="eastAsia" w:cs="宋体"/>
                <w:color w:val="auto"/>
                <w:szCs w:val="21"/>
                <w:highlight w:val="none"/>
                <w:lang w:val="en-US" w:eastAsia="zh-CN"/>
              </w:rPr>
              <w:t>（1）</w:t>
            </w:r>
            <w:r>
              <w:rPr>
                <w:rFonts w:hint="eastAsia" w:ascii="宋体" w:hAnsi="宋体" w:cs="宋体"/>
                <w:color w:val="auto"/>
                <w:szCs w:val="21"/>
                <w:highlight w:val="none"/>
              </w:rPr>
              <w:t>本次以联合体方式投标的，只对参加本次投标联合体牵头方承担过的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业绩加分。</w:t>
            </w:r>
          </w:p>
          <w:p>
            <w:pPr>
              <w:spacing w:line="240" w:lineRule="auto"/>
              <w:ind w:firstLine="210" w:firstLineChars="100"/>
              <w:rPr>
                <w:rFonts w:hint="eastAsia" w:cs="宋体"/>
                <w:color w:val="auto"/>
                <w:szCs w:val="21"/>
                <w:highlight w:val="none"/>
                <w:lang w:eastAsia="zh-CN"/>
              </w:rPr>
            </w:pPr>
            <w:r>
              <w:rPr>
                <w:rFonts w:hint="eastAsia" w:cs="宋体"/>
                <w:color w:val="auto"/>
                <w:szCs w:val="21"/>
                <w:highlight w:val="none"/>
                <w:lang w:val="en-US" w:eastAsia="zh-CN"/>
              </w:rPr>
              <w:t>（2）</w:t>
            </w:r>
            <w:r>
              <w:rPr>
                <w:rFonts w:hint="eastAsia" w:ascii="宋体" w:hAnsi="宋体" w:cs="宋体"/>
                <w:color w:val="auto"/>
                <w:szCs w:val="21"/>
                <w:highlight w:val="none"/>
              </w:rPr>
              <w:t>投标人以联合体方式承担过的工程总承包业绩分值计算方法为：牵头方按该项分值的100%记取、参与方按该项分值的60%记取。</w:t>
            </w:r>
            <w:r>
              <w:rPr>
                <w:rFonts w:hint="eastAsia" w:cs="宋体"/>
                <w:color w:val="auto"/>
                <w:szCs w:val="21"/>
                <w:highlight w:val="none"/>
                <w:lang w:eastAsia="zh-CN"/>
              </w:rPr>
              <w:t>（</w:t>
            </w:r>
            <w:r>
              <w:rPr>
                <w:rFonts w:hint="eastAsia" w:cs="宋体"/>
                <w:color w:val="auto"/>
                <w:szCs w:val="21"/>
                <w:highlight w:val="none"/>
                <w:lang w:val="en-US" w:eastAsia="zh-CN"/>
              </w:rPr>
              <w:t>本条</w:t>
            </w:r>
            <w:r>
              <w:rPr>
                <w:rFonts w:hint="eastAsia" w:ascii="宋体" w:hAnsi="宋体" w:cs="宋体"/>
                <w:color w:val="auto"/>
                <w:szCs w:val="21"/>
                <w:highlight w:val="none"/>
              </w:rPr>
              <w:t>该项分值</w:t>
            </w:r>
            <w:r>
              <w:rPr>
                <w:rFonts w:hint="eastAsia" w:cs="宋体"/>
                <w:color w:val="auto"/>
                <w:szCs w:val="21"/>
                <w:highlight w:val="none"/>
                <w:lang w:val="en-US" w:eastAsia="zh-CN"/>
              </w:rPr>
              <w:t>是指已按本项要求乘以1或0.8或0.7系数的分值</w:t>
            </w:r>
            <w:r>
              <w:rPr>
                <w:rFonts w:hint="eastAsia" w:cs="宋体"/>
                <w:color w:val="auto"/>
                <w:szCs w:val="21"/>
                <w:highlight w:val="none"/>
                <w:lang w:eastAsia="zh-CN"/>
              </w:rPr>
              <w:t>）。</w:t>
            </w:r>
          </w:p>
          <w:p>
            <w:pPr>
              <w:pStyle w:val="2"/>
              <w:spacing w:before="0" w:line="240" w:lineRule="auto"/>
              <w:ind w:firstLine="210" w:firstLineChars="100"/>
              <w:rPr>
                <w:rFonts w:hint="eastAsia" w:ascii="宋体" w:hAnsi="宋体" w:cs="宋体"/>
                <w:color w:val="auto"/>
                <w:szCs w:val="21"/>
                <w:u w:val="single"/>
              </w:rPr>
            </w:pPr>
            <w:r>
              <w:rPr>
                <w:rFonts w:hint="eastAsia" w:cs="宋体"/>
                <w:color w:val="auto"/>
                <w:szCs w:val="21"/>
                <w:highlight w:val="none"/>
                <w:lang w:eastAsia="zh-CN"/>
              </w:rPr>
              <w:t>（</w:t>
            </w:r>
            <w:r>
              <w:rPr>
                <w:rFonts w:hint="eastAsia" w:cs="宋体"/>
                <w:color w:val="auto"/>
                <w:szCs w:val="21"/>
                <w:highlight w:val="none"/>
                <w:lang w:val="en-US" w:eastAsia="zh-CN"/>
              </w:rPr>
              <w:t>3</w:t>
            </w:r>
            <w:r>
              <w:rPr>
                <w:rFonts w:hint="eastAsia" w:cs="宋体"/>
                <w:color w:val="auto"/>
                <w:szCs w:val="21"/>
                <w:highlight w:val="none"/>
                <w:lang w:eastAsia="zh-CN"/>
              </w:rPr>
              <w:t>）</w:t>
            </w:r>
            <w:r>
              <w:rPr>
                <w:rFonts w:hint="eastAsia" w:ascii="宋体" w:hAnsi="宋体" w:cs="宋体"/>
                <w:color w:val="auto"/>
                <w:szCs w:val="21"/>
              </w:rPr>
              <w:t>业绩证明材料：</w:t>
            </w:r>
            <w:r>
              <w:rPr>
                <w:rFonts w:hint="eastAsia" w:ascii="宋体" w:hAnsi="宋体" w:cs="宋体"/>
                <w:color w:val="auto"/>
                <w:szCs w:val="21"/>
                <w:u w:val="single"/>
              </w:rPr>
              <w:t>详见招标文件第二章投标人须知前附表 10.5 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highlight w:val="none"/>
                <w:lang w:val="en-US" w:eastAsia="zh-CN"/>
              </w:rPr>
              <w:t>证明材料</w:t>
            </w:r>
            <w:r>
              <w:rPr>
                <w:rFonts w:hint="eastAsia" w:ascii="宋体" w:hAnsi="宋体" w:cs="宋体"/>
                <w:color w:val="auto"/>
                <w:szCs w:val="21"/>
                <w:u w:val="single"/>
                <w:lang w:val="en-US" w:eastAsia="zh-CN"/>
              </w:rPr>
              <w:t>”关于约定</w:t>
            </w:r>
            <w:r>
              <w:rPr>
                <w:rFonts w:hint="eastAsia" w:ascii="宋体" w:hAnsi="宋体" w:cs="宋体"/>
                <w:color w:val="auto"/>
                <w:szCs w:val="21"/>
                <w:u w:val="single"/>
              </w:rPr>
              <w:t>。</w:t>
            </w:r>
          </w:p>
          <w:p>
            <w:pPr>
              <w:pStyle w:val="2"/>
              <w:spacing w:before="0" w:line="240" w:lineRule="auto"/>
              <w:ind w:firstLine="210" w:firstLineChars="100"/>
              <w:rPr>
                <w:rFonts w:ascii="宋体" w:hAnsi="宋体" w:cs="宋体"/>
                <w:color w:val="auto"/>
                <w:szCs w:val="21"/>
                <w:highlight w:val="none"/>
              </w:rPr>
            </w:pPr>
            <w:r>
              <w:rPr>
                <w:rFonts w:hint="eastAsia" w:ascii="宋体" w:hAnsi="宋体" w:cs="宋体"/>
                <w:color w:val="auto"/>
                <w:szCs w:val="21"/>
                <w:u w:val="single"/>
                <w:lang w:eastAsia="zh-CN"/>
              </w:rPr>
              <w:t>（</w:t>
            </w:r>
            <w:r>
              <w:rPr>
                <w:rFonts w:hint="eastAsia" w:ascii="宋体" w:hAnsi="宋体" w:cs="宋体"/>
                <w:color w:val="auto"/>
                <w:szCs w:val="21"/>
                <w:u w:val="single"/>
                <w:lang w:val="en-US" w:eastAsia="zh-CN"/>
              </w:rPr>
              <w:t>4</w:t>
            </w:r>
            <w:r>
              <w:rPr>
                <w:rFonts w:hint="eastAsia" w:ascii="宋体" w:hAnsi="宋体" w:cs="宋体"/>
                <w:color w:val="auto"/>
                <w:szCs w:val="21"/>
                <w:u w:val="single"/>
                <w:lang w:eastAsia="zh-CN"/>
              </w:rPr>
              <w:t>）</w:t>
            </w:r>
            <w:r>
              <w:rPr>
                <w:rFonts w:hint="eastAsia" w:cs="宋体"/>
                <w:color w:val="auto"/>
                <w:szCs w:val="21"/>
                <w:u w:val="single"/>
              </w:rPr>
              <w:t>“其它辅助证明材料”</w:t>
            </w:r>
            <w:r>
              <w:rPr>
                <w:rFonts w:hint="eastAsia" w:cs="宋体"/>
                <w:color w:val="auto"/>
                <w:szCs w:val="21"/>
                <w:u w:val="single"/>
                <w:lang w:eastAsia="zh-CN"/>
              </w:rPr>
              <w:t>（</w:t>
            </w:r>
            <w:r>
              <w:rPr>
                <w:rFonts w:hint="eastAsia" w:cs="宋体"/>
                <w:color w:val="auto"/>
                <w:szCs w:val="21"/>
                <w:u w:val="single"/>
                <w:lang w:val="en-US" w:eastAsia="zh-CN"/>
              </w:rPr>
              <w:t>如有</w:t>
            </w:r>
            <w:r>
              <w:rPr>
                <w:rFonts w:hint="eastAsia" w:cs="宋体"/>
                <w:color w:val="auto"/>
                <w:szCs w:val="21"/>
                <w:u w:val="single"/>
                <w:lang w:eastAsia="zh-CN"/>
              </w:rPr>
              <w:t>）：</w:t>
            </w:r>
            <w:r>
              <w:rPr>
                <w:rFonts w:hint="eastAsia" w:cs="宋体"/>
                <w:color w:val="auto"/>
                <w:szCs w:val="21"/>
                <w:u w:val="single"/>
              </w:rPr>
              <w:t>详见招标文件第二章投标人须知前附</w:t>
            </w:r>
            <w:r>
              <w:rPr>
                <w:rFonts w:hint="eastAsia" w:ascii="宋体" w:hAnsi="宋体" w:cs="宋体"/>
                <w:color w:val="auto"/>
                <w:szCs w:val="21"/>
                <w:u w:val="single"/>
              </w:rPr>
              <w:t>表10.6条</w:t>
            </w:r>
            <w:r>
              <w:rPr>
                <w:rFonts w:hint="eastAsia" w:ascii="宋体" w:hAnsi="宋体" w:cs="宋体"/>
                <w:color w:val="auto"/>
                <w:szCs w:val="21"/>
                <w:u w:val="single"/>
                <w:lang w:val="en-US" w:eastAsia="zh-CN"/>
              </w:rPr>
              <w:t>中“</w:t>
            </w:r>
            <w:r>
              <w:rPr>
                <w:rFonts w:hint="eastAsia" w:ascii="宋体" w:hAnsi="宋体" w:eastAsia="宋体" w:cs="宋体"/>
                <w:color w:val="auto"/>
                <w:szCs w:val="21"/>
                <w:highlight w:val="none"/>
              </w:rPr>
              <w:t>工程总承包业绩</w:t>
            </w:r>
            <w:r>
              <w:rPr>
                <w:rFonts w:hint="eastAsia" w:cs="宋体"/>
                <w:color w:val="auto"/>
                <w:szCs w:val="21"/>
                <w:u w:val="single"/>
              </w:rPr>
              <w:t>其它辅助证明材料</w:t>
            </w:r>
            <w:r>
              <w:rPr>
                <w:rFonts w:hint="eastAsia" w:ascii="宋体" w:hAnsi="宋体" w:cs="宋体"/>
                <w:color w:val="auto"/>
                <w:szCs w:val="21"/>
                <w:u w:val="single"/>
                <w:lang w:val="en-US" w:eastAsia="zh-CN"/>
              </w:rPr>
              <w:t>”关于约定</w:t>
            </w:r>
            <w:r>
              <w:rPr>
                <w:rFonts w:hint="eastAsia" w:cs="宋体"/>
                <w:color w:val="auto"/>
                <w:szCs w:val="21"/>
                <w:u w:val="singl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vMerge w:val="continue"/>
            <w:tcBorders>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vMerge w:val="continue"/>
            <w:tcBorders>
              <w:left w:val="single" w:color="000000" w:sz="4" w:space="0"/>
              <w:right w:val="single" w:color="auto" w:sz="4" w:space="0"/>
            </w:tcBorders>
          </w:tcPr>
          <w:p>
            <w:pPr>
              <w:spacing w:line="440" w:lineRule="exact"/>
              <w:jc w:val="center"/>
              <w:rPr>
                <w:rFonts w:ascii="宋体" w:hAnsi="宋体" w:cs="宋体"/>
                <w:color w:val="auto"/>
                <w:szCs w:val="21"/>
                <w:highlight w:val="none"/>
              </w:rPr>
            </w:pPr>
          </w:p>
        </w:tc>
        <w:tc>
          <w:tcPr>
            <w:tcW w:w="2657" w:type="dxa"/>
            <w:gridSpan w:val="2"/>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2．工程总承包项目经理类似工程业绩（≤1分）</w:t>
            </w:r>
          </w:p>
        </w:tc>
        <w:tc>
          <w:tcPr>
            <w:tcW w:w="399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hint="default" w:ascii="宋体" w:hAnsi="宋体" w:eastAsia="宋体" w:cs="宋体"/>
                <w:color w:val="auto"/>
                <w:szCs w:val="21"/>
                <w:highlight w:val="none"/>
                <w:lang w:val="en-US" w:eastAsia="zh-CN"/>
              </w:rPr>
            </w:pPr>
            <w:r>
              <w:rPr>
                <w:rFonts w:hint="eastAsia" w:ascii="宋体" w:hAnsi="宋体" w:cs="宋体"/>
                <w:color w:val="auto"/>
                <w:szCs w:val="21"/>
                <w:lang w:val="en-US" w:eastAsia="zh-CN"/>
              </w:rPr>
              <w:t>类似工程指</w:t>
            </w:r>
            <w:r>
              <w:rPr>
                <w:rFonts w:ascii="宋体" w:hAnsi="宋体" w:cs="宋体"/>
                <w:color w:val="auto"/>
                <w:szCs w:val="21"/>
              </w:rPr>
              <w:t>：</w:t>
            </w:r>
            <w:r>
              <w:rPr>
                <w:rFonts w:hint="eastAsia" w:ascii="宋体" w:hAnsi="宋体" w:cs="宋体"/>
                <w:color w:val="auto"/>
                <w:szCs w:val="21"/>
                <w:u w:val="single"/>
                <w:lang w:val="en-US" w:eastAsia="zh-CN"/>
              </w:rPr>
              <w:t xml:space="preserve">                   </w:t>
            </w:r>
            <w:r>
              <w:rPr>
                <w:rFonts w:hint="eastAsia" w:ascii="宋体" w:hAnsi="宋体" w:cs="宋体"/>
                <w:color w:val="auto"/>
                <w:szCs w:val="21"/>
                <w:lang w:val="en-US" w:eastAsia="zh-CN"/>
              </w:rPr>
              <w:t xml:space="preserve">                       </w:t>
            </w:r>
          </w:p>
          <w:p>
            <w:pPr>
              <w:adjustRightInd w:val="0"/>
              <w:snapToGrid w:val="0"/>
              <w:spacing w:line="240" w:lineRule="auto"/>
              <w:ind w:firstLine="210"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cs="宋体"/>
                <w:color w:val="auto"/>
                <w:szCs w:val="21"/>
                <w:highlight w:val="none"/>
                <w:lang w:val="en-US" w:eastAsia="zh-CN"/>
              </w:rPr>
              <w:t>拟派</w:t>
            </w:r>
            <w:r>
              <w:rPr>
                <w:rFonts w:hint="eastAsia" w:ascii="宋体" w:hAnsi="宋体" w:eastAsia="宋体" w:cs="宋体"/>
                <w:color w:val="auto"/>
                <w:szCs w:val="21"/>
                <w:highlight w:val="none"/>
              </w:rPr>
              <w:t>工程总承包项目经理</w:t>
            </w:r>
            <w:r>
              <w:rPr>
                <w:rFonts w:hint="eastAsia" w:cs="宋体"/>
                <w:color w:val="auto"/>
                <w:szCs w:val="21"/>
                <w:u w:val="single"/>
              </w:rPr>
              <w:t>以工程</w:t>
            </w:r>
            <w:r>
              <w:rPr>
                <w:rFonts w:hint="eastAsia" w:ascii="宋体" w:hAnsi="宋体" w:cs="宋体"/>
                <w:color w:val="auto"/>
                <w:szCs w:val="21"/>
                <w:u w:val="single"/>
              </w:rPr>
              <w:t>总承包项目经理身份承担过</w:t>
            </w:r>
            <w:r>
              <w:rPr>
                <w:rFonts w:hint="eastAsia" w:ascii="宋体" w:hAnsi="宋体" w:eastAsia="宋体" w:cs="宋体"/>
                <w:color w:val="auto"/>
                <w:szCs w:val="21"/>
                <w:highlight w:val="none"/>
              </w:rPr>
              <w:t>类似</w:t>
            </w:r>
            <w:r>
              <w:rPr>
                <w:rFonts w:hint="eastAsia" w:ascii="宋体" w:hAnsi="宋体" w:cs="宋体"/>
                <w:color w:val="auto"/>
                <w:szCs w:val="21"/>
                <w:highlight w:val="none"/>
                <w:lang w:val="en-US" w:eastAsia="zh-CN"/>
              </w:rPr>
              <w:t>工程</w:t>
            </w:r>
            <w:r>
              <w:rPr>
                <w:rFonts w:hint="eastAsia" w:ascii="宋体" w:hAnsi="宋体" w:eastAsia="宋体" w:cs="宋体"/>
                <w:color w:val="auto"/>
                <w:szCs w:val="21"/>
                <w:highlight w:val="none"/>
              </w:rPr>
              <w:t>的工程总承包业绩加分，累计不超过</w:t>
            </w:r>
            <w:r>
              <w:rPr>
                <w:rFonts w:hint="eastAsia" w:ascii="宋体" w:hAnsi="宋体" w:cs="宋体"/>
                <w:color w:val="auto"/>
                <w:szCs w:val="21"/>
                <w:highlight w:val="none"/>
                <w:lang w:val="en-US" w:eastAsia="zh-CN"/>
              </w:rPr>
              <w:t>1</w:t>
            </w:r>
            <w:r>
              <w:rPr>
                <w:rFonts w:hint="eastAsia" w:ascii="宋体" w:hAnsi="宋体" w:eastAsia="宋体" w:cs="宋体"/>
                <w:color w:val="auto"/>
                <w:szCs w:val="21"/>
                <w:highlight w:val="none"/>
              </w:rPr>
              <w:t>分</w:t>
            </w:r>
            <w:r>
              <w:rPr>
                <w:rFonts w:hint="eastAsia" w:ascii="宋体" w:hAnsi="宋体" w:cs="宋体"/>
                <w:color w:val="auto"/>
                <w:szCs w:val="21"/>
                <w:highlight w:val="none"/>
                <w:lang w:eastAsia="zh-CN"/>
              </w:rPr>
              <w:t>；</w:t>
            </w:r>
          </w:p>
          <w:p>
            <w:pPr>
              <w:adjustRightInd w:val="0"/>
              <w:snapToGrid w:val="0"/>
              <w:ind w:firstLine="210" w:firstLineChars="100"/>
              <w:rPr>
                <w:rFonts w:hint="eastAsia" w:ascii="宋体" w:hAnsi="宋体" w:cs="宋体"/>
                <w:color w:val="auto"/>
                <w:szCs w:val="21"/>
              </w:rPr>
            </w:pPr>
            <w:r>
              <w:rPr>
                <w:rFonts w:hint="eastAsia" w:ascii="宋体" w:hAnsi="宋体" w:cs="宋体"/>
                <w:color w:val="auto"/>
                <w:szCs w:val="21"/>
              </w:rPr>
              <w:t>注：</w:t>
            </w:r>
          </w:p>
          <w:p>
            <w:pPr>
              <w:adjustRightInd w:val="0"/>
              <w:snapToGrid w:val="0"/>
              <w:ind w:firstLine="210" w:firstLineChars="100"/>
              <w:rPr>
                <w:rFonts w:hint="eastAsia" w:ascii="宋体" w:hAnsi="宋体" w:eastAsia="宋体" w:cs="宋体"/>
                <w:color w:val="auto"/>
                <w:szCs w:val="21"/>
                <w:lang w:eastAsia="zh-CN"/>
              </w:rPr>
            </w:pPr>
            <w:r>
              <w:rPr>
                <w:rFonts w:hint="eastAsia" w:ascii="宋体" w:hAnsi="宋体" w:cs="宋体"/>
                <w:color w:val="auto"/>
                <w:szCs w:val="21"/>
                <w:lang w:eastAsia="zh-CN"/>
              </w:rPr>
              <w:t>（</w:t>
            </w:r>
            <w:r>
              <w:rPr>
                <w:rFonts w:hint="eastAsia" w:ascii="宋体" w:hAnsi="宋体" w:cs="宋体"/>
                <w:color w:val="auto"/>
                <w:szCs w:val="21"/>
                <w:lang w:val="en-US" w:eastAsia="zh-CN"/>
              </w:rPr>
              <w:t>1</w:t>
            </w:r>
            <w:r>
              <w:rPr>
                <w:rFonts w:hint="eastAsia" w:ascii="宋体" w:hAnsi="宋体" w:cs="宋体"/>
                <w:color w:val="auto"/>
                <w:szCs w:val="21"/>
                <w:lang w:eastAsia="zh-CN"/>
              </w:rPr>
              <w:t>）</w:t>
            </w:r>
            <w:r>
              <w:rPr>
                <w:rFonts w:hint="eastAsia" w:ascii="宋体" w:hAnsi="宋体" w:cs="宋体"/>
                <w:color w:val="auto"/>
                <w:szCs w:val="21"/>
                <w:u w:val="single"/>
              </w:rPr>
              <w:t>有工程总承包项目经理变更情形的</w:t>
            </w:r>
            <w:r>
              <w:rPr>
                <w:rFonts w:hint="eastAsia" w:ascii="宋体" w:hAnsi="宋体" w:cs="宋体"/>
                <w:color w:val="auto"/>
                <w:szCs w:val="21"/>
                <w:u w:val="single"/>
                <w:lang w:eastAsia="zh-CN"/>
              </w:rPr>
              <w:t>：</w:t>
            </w:r>
            <w:r>
              <w:rPr>
                <w:rFonts w:hint="eastAsia" w:ascii="宋体" w:hAnsi="宋体" w:cs="宋体"/>
                <w:color w:val="auto"/>
                <w:szCs w:val="21"/>
              </w:rPr>
              <w:t>□</w:t>
            </w:r>
            <w:r>
              <w:rPr>
                <w:rFonts w:hint="eastAsia" w:ascii="宋体" w:hAnsi="宋体" w:cs="宋体"/>
                <w:color w:val="auto"/>
                <w:kern w:val="0"/>
                <w:szCs w:val="21"/>
              </w:rPr>
              <w:t>不予认可</w:t>
            </w:r>
            <w:r>
              <w:rPr>
                <w:rFonts w:hint="eastAsia" w:ascii="宋体" w:hAnsi="宋体" w:cs="宋体"/>
                <w:color w:val="auto"/>
                <w:kern w:val="0"/>
                <w:szCs w:val="21"/>
                <w:lang w:val="en-US" w:eastAsia="zh-CN"/>
              </w:rPr>
              <w:t xml:space="preserve"> </w:t>
            </w:r>
            <w:r>
              <w:rPr>
                <w:rFonts w:hint="eastAsia" w:ascii="宋体" w:hAnsi="宋体" w:cs="宋体"/>
                <w:color w:val="auto"/>
                <w:szCs w:val="21"/>
              </w:rPr>
              <w:t>□</w:t>
            </w:r>
            <w:r>
              <w:rPr>
                <w:rFonts w:hint="eastAsia" w:ascii="宋体" w:hAnsi="宋体" w:cs="宋体"/>
                <w:color w:val="auto"/>
                <w:szCs w:val="21"/>
                <w:lang w:val="en-US" w:eastAsia="zh-CN"/>
              </w:rPr>
              <w:t>以下情形予以认可（房屋建筑工程主体结构封顶前、其他工程完成70%工程量前变更</w:t>
            </w:r>
            <w:r>
              <w:rPr>
                <w:rFonts w:hint="eastAsia" w:ascii="宋体" w:hAnsi="宋体" w:cs="宋体"/>
                <w:color w:val="auto"/>
                <w:szCs w:val="21"/>
                <w:u w:val="single"/>
              </w:rPr>
              <w:t>工程总承包项目经理</w:t>
            </w:r>
            <w:r>
              <w:rPr>
                <w:rFonts w:hint="eastAsia" w:ascii="宋体" w:hAnsi="宋体" w:cs="宋体"/>
                <w:color w:val="auto"/>
                <w:szCs w:val="21"/>
                <w:lang w:val="en-US" w:eastAsia="zh-CN"/>
              </w:rPr>
              <w:t>的），个人业绩由变更后的人员所有</w:t>
            </w:r>
            <w:r>
              <w:rPr>
                <w:rFonts w:hint="eastAsia" w:ascii="宋体" w:hAnsi="宋体" w:cs="宋体"/>
                <w:color w:val="auto"/>
                <w:kern w:val="0"/>
                <w:szCs w:val="21"/>
              </w:rPr>
              <w:t>；</w:t>
            </w:r>
          </w:p>
          <w:p>
            <w:pPr>
              <w:spacing w:line="240" w:lineRule="auto"/>
              <w:ind w:firstLine="210" w:firstLineChars="100"/>
              <w:rPr>
                <w:rFonts w:hint="eastAsia"/>
                <w:color w:val="auto"/>
              </w:rPr>
            </w:pPr>
            <w:r>
              <w:rPr>
                <w:rFonts w:hint="eastAsia" w:ascii="宋体" w:hAnsi="宋体" w:cs="宋体"/>
                <w:color w:val="auto"/>
                <w:szCs w:val="21"/>
                <w:lang w:eastAsia="zh-CN"/>
              </w:rPr>
              <w:t>（</w:t>
            </w:r>
            <w:r>
              <w:rPr>
                <w:rFonts w:hint="eastAsia" w:ascii="宋体" w:hAnsi="宋体" w:cs="宋体"/>
                <w:color w:val="auto"/>
                <w:szCs w:val="21"/>
                <w:lang w:val="en-US" w:eastAsia="zh-CN"/>
              </w:rPr>
              <w:t>2</w:t>
            </w:r>
            <w:r>
              <w:rPr>
                <w:rFonts w:hint="eastAsia" w:ascii="宋体" w:hAnsi="宋体" w:cs="宋体"/>
                <w:color w:val="auto"/>
                <w:szCs w:val="21"/>
                <w:lang w:eastAsia="zh-CN"/>
              </w:rPr>
              <w:t>）</w:t>
            </w:r>
            <w:r>
              <w:rPr>
                <w:rFonts w:hint="eastAsia"/>
                <w:color w:val="auto"/>
              </w:rPr>
              <w:t>如果投标人采用非联合体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业绩不是投标人承担的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，不予认可；如果投标人采用联合体</w:t>
            </w:r>
            <w:r>
              <w:rPr>
                <w:rFonts w:hint="eastAsia"/>
                <w:color w:val="auto"/>
                <w:lang w:val="en-US" w:eastAsia="zh-CN"/>
              </w:rPr>
              <w:t>方式</w:t>
            </w:r>
            <w:r>
              <w:rPr>
                <w:rFonts w:hint="eastAsia"/>
                <w:color w:val="auto"/>
              </w:rPr>
              <w:t>参加</w:t>
            </w:r>
            <w:r>
              <w:rPr>
                <w:rFonts w:hint="eastAsia"/>
                <w:color w:val="auto"/>
                <w:lang w:val="en-US" w:eastAsia="zh-CN"/>
              </w:rPr>
              <w:t>本项目</w:t>
            </w:r>
            <w:r>
              <w:rPr>
                <w:rFonts w:hint="eastAsia"/>
                <w:color w:val="auto"/>
              </w:rPr>
              <w:t>投标的，工程总</w:t>
            </w:r>
            <w:r>
              <w:rPr>
                <w:color w:val="auto"/>
              </w:rPr>
              <w:t>承包项目经理承担的</w:t>
            </w:r>
            <w:r>
              <w:rPr>
                <w:rFonts w:hint="eastAsia"/>
                <w:color w:val="auto"/>
              </w:rPr>
              <w:t>类似工程</w:t>
            </w:r>
            <w:r>
              <w:rPr>
                <w:rFonts w:hint="eastAsia" w:ascii="宋体" w:hAnsi="宋体" w:eastAsia="宋体" w:cs="宋体"/>
                <w:color w:val="auto"/>
                <w:szCs w:val="21"/>
                <w:highlight w:val="none"/>
              </w:rPr>
              <w:t>工程总承包</w:t>
            </w:r>
            <w:r>
              <w:rPr>
                <w:rFonts w:hint="eastAsia"/>
                <w:color w:val="auto"/>
              </w:rPr>
              <w:t>业绩不是</w:t>
            </w:r>
            <w:r>
              <w:rPr>
                <w:rFonts w:hint="eastAsia" w:ascii="宋体" w:hAnsi="宋体" w:cs="宋体"/>
                <w:color w:val="auto"/>
                <w:szCs w:val="21"/>
                <w:highlight w:val="none"/>
              </w:rPr>
              <w:t>联合体牵头方</w:t>
            </w:r>
            <w:r>
              <w:rPr>
                <w:rFonts w:hint="eastAsia"/>
                <w:color w:val="auto"/>
              </w:rPr>
              <w:t>承担的</w:t>
            </w:r>
            <w:r>
              <w:rPr>
                <w:rFonts w:hint="eastAsia" w:ascii="宋体" w:hAnsi="宋体" w:cs="宋体"/>
                <w:color w:val="auto"/>
                <w:szCs w:val="21"/>
                <w:highlight w:val="none"/>
                <w:lang w:val="en-US" w:eastAsia="zh-CN"/>
              </w:rPr>
              <w:t>类似工程</w:t>
            </w:r>
            <w:r>
              <w:rPr>
                <w:rFonts w:hint="eastAsia" w:ascii="宋体" w:hAnsi="宋体" w:eastAsia="宋体" w:cs="宋体"/>
                <w:color w:val="auto"/>
                <w:szCs w:val="21"/>
                <w:highlight w:val="none"/>
              </w:rPr>
              <w:t>工程总承包</w:t>
            </w:r>
            <w:r>
              <w:rPr>
                <w:rFonts w:hint="eastAsia" w:ascii="宋体" w:hAnsi="宋体" w:cs="宋体"/>
                <w:color w:val="auto"/>
                <w:szCs w:val="21"/>
                <w:highlight w:val="none"/>
              </w:rPr>
              <w:t>业绩</w:t>
            </w:r>
            <w:r>
              <w:rPr>
                <w:rFonts w:hint="eastAsia"/>
                <w:color w:val="auto"/>
              </w:rPr>
              <w:t>，不予认可；</w:t>
            </w:r>
          </w:p>
          <w:p>
            <w:pPr>
              <w:pStyle w:val="2"/>
              <w:spacing w:before="0" w:line="240" w:lineRule="auto"/>
              <w:ind w:firstLine="210" w:firstLineChars="100"/>
              <w:rPr>
                <w:rFonts w:hint="eastAsia" w:ascii="宋体" w:hAnsi="宋体" w:cs="宋体"/>
                <w:color w:val="auto"/>
                <w:szCs w:val="21"/>
                <w:u w:val="none"/>
              </w:rPr>
            </w:pPr>
            <w:r>
              <w:rPr>
                <w:rFonts w:hint="eastAsia" w:cs="宋体"/>
                <w:color w:val="auto"/>
                <w:szCs w:val="21"/>
                <w:highlight w:val="none"/>
                <w:u w:val="none"/>
                <w:lang w:eastAsia="zh-CN"/>
              </w:rPr>
              <w:t>（</w:t>
            </w:r>
            <w:r>
              <w:rPr>
                <w:rFonts w:hint="eastAsia" w:cs="宋体"/>
                <w:color w:val="auto"/>
                <w:szCs w:val="21"/>
                <w:highlight w:val="none"/>
                <w:u w:val="none"/>
                <w:lang w:val="en-US" w:eastAsia="zh-CN"/>
              </w:rPr>
              <w:t>3</w:t>
            </w:r>
            <w:r>
              <w:rPr>
                <w:rFonts w:hint="eastAsia" w:cs="宋体"/>
                <w:color w:val="auto"/>
                <w:szCs w:val="21"/>
                <w:highlight w:val="none"/>
                <w:u w:val="none"/>
                <w:lang w:eastAsia="zh-CN"/>
              </w:rPr>
              <w:t>）</w:t>
            </w:r>
            <w:r>
              <w:rPr>
                <w:rFonts w:hint="eastAsia" w:ascii="宋体" w:hAnsi="宋体" w:cs="宋体"/>
                <w:color w:val="auto"/>
                <w:szCs w:val="21"/>
                <w:u w:val="none"/>
              </w:rPr>
              <w:t>业绩证明材料：详见招标文件第二章投标人须知前附表 10.5 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highlight w:val="none"/>
                <w:u w:val="none"/>
                <w:lang w:val="en-US" w:eastAsia="zh-CN"/>
              </w:rPr>
              <w:t>证明材料</w:t>
            </w:r>
            <w:r>
              <w:rPr>
                <w:rFonts w:hint="eastAsia" w:ascii="宋体" w:hAnsi="宋体" w:cs="宋体"/>
                <w:color w:val="auto"/>
                <w:szCs w:val="21"/>
                <w:u w:val="none"/>
                <w:lang w:val="en-US" w:eastAsia="zh-CN"/>
              </w:rPr>
              <w:t>”关于约定</w:t>
            </w:r>
            <w:r>
              <w:rPr>
                <w:rFonts w:hint="eastAsia" w:ascii="宋体" w:hAnsi="宋体" w:cs="宋体"/>
                <w:color w:val="auto"/>
                <w:szCs w:val="21"/>
                <w:u w:val="none"/>
              </w:rPr>
              <w:t>。</w:t>
            </w:r>
          </w:p>
          <w:p>
            <w:pPr>
              <w:pStyle w:val="2"/>
              <w:spacing w:before="0" w:line="240" w:lineRule="auto"/>
              <w:ind w:firstLine="210" w:firstLineChars="100"/>
              <w:rPr>
                <w:rFonts w:ascii="宋体" w:hAnsi="宋体" w:cs="宋体"/>
                <w:color w:val="auto"/>
                <w:szCs w:val="21"/>
                <w:highlight w:val="none"/>
              </w:rPr>
            </w:pPr>
            <w:r>
              <w:rPr>
                <w:rFonts w:hint="eastAsia" w:ascii="宋体" w:hAnsi="宋体" w:cs="宋体"/>
                <w:color w:val="auto"/>
                <w:szCs w:val="21"/>
                <w:u w:val="none"/>
                <w:lang w:eastAsia="zh-CN"/>
              </w:rPr>
              <w:t>（</w:t>
            </w:r>
            <w:r>
              <w:rPr>
                <w:rFonts w:hint="eastAsia" w:ascii="宋体" w:hAnsi="宋体" w:cs="宋体"/>
                <w:color w:val="auto"/>
                <w:szCs w:val="21"/>
                <w:u w:val="none"/>
                <w:lang w:val="en-US" w:eastAsia="zh-CN"/>
              </w:rPr>
              <w:t>4</w:t>
            </w:r>
            <w:r>
              <w:rPr>
                <w:rFonts w:hint="eastAsia" w:ascii="宋体" w:hAnsi="宋体" w:cs="宋体"/>
                <w:color w:val="auto"/>
                <w:szCs w:val="21"/>
                <w:u w:val="none"/>
                <w:lang w:eastAsia="zh-CN"/>
              </w:rPr>
              <w:t>）</w:t>
            </w:r>
            <w:r>
              <w:rPr>
                <w:rFonts w:hint="eastAsia" w:cs="宋体"/>
                <w:color w:val="auto"/>
                <w:szCs w:val="21"/>
                <w:u w:val="none"/>
              </w:rPr>
              <w:t>“其它辅助证明材料”</w:t>
            </w:r>
            <w:r>
              <w:rPr>
                <w:rFonts w:hint="eastAsia" w:cs="宋体"/>
                <w:color w:val="auto"/>
                <w:szCs w:val="21"/>
                <w:u w:val="none"/>
                <w:lang w:eastAsia="zh-CN"/>
              </w:rPr>
              <w:t>（</w:t>
            </w:r>
            <w:r>
              <w:rPr>
                <w:rFonts w:hint="eastAsia" w:cs="宋体"/>
                <w:color w:val="auto"/>
                <w:szCs w:val="21"/>
                <w:u w:val="none"/>
                <w:lang w:val="en-US" w:eastAsia="zh-CN"/>
              </w:rPr>
              <w:t>如有</w:t>
            </w:r>
            <w:r>
              <w:rPr>
                <w:rFonts w:hint="eastAsia" w:cs="宋体"/>
                <w:color w:val="auto"/>
                <w:szCs w:val="21"/>
                <w:u w:val="none"/>
                <w:lang w:eastAsia="zh-CN"/>
              </w:rPr>
              <w:t>）：</w:t>
            </w:r>
            <w:r>
              <w:rPr>
                <w:rFonts w:hint="eastAsia" w:cs="宋体"/>
                <w:color w:val="auto"/>
                <w:szCs w:val="21"/>
                <w:u w:val="none"/>
              </w:rPr>
              <w:t>详见招标文件第二章投标人须知前附</w:t>
            </w:r>
            <w:r>
              <w:rPr>
                <w:rFonts w:hint="eastAsia" w:ascii="宋体" w:hAnsi="宋体" w:cs="宋体"/>
                <w:color w:val="auto"/>
                <w:szCs w:val="21"/>
                <w:u w:val="none"/>
              </w:rPr>
              <w:t>表10.6条</w:t>
            </w:r>
            <w:r>
              <w:rPr>
                <w:rFonts w:hint="eastAsia" w:ascii="宋体" w:hAnsi="宋体" w:cs="宋体"/>
                <w:color w:val="auto"/>
                <w:szCs w:val="21"/>
                <w:u w:val="none"/>
                <w:lang w:val="en-US" w:eastAsia="zh-CN"/>
              </w:rPr>
              <w:t>中“</w:t>
            </w:r>
            <w:r>
              <w:rPr>
                <w:rFonts w:hint="eastAsia" w:ascii="宋体" w:hAnsi="宋体" w:eastAsia="宋体" w:cs="宋体"/>
                <w:color w:val="auto"/>
                <w:szCs w:val="21"/>
                <w:highlight w:val="none"/>
                <w:u w:val="none"/>
              </w:rPr>
              <w:t>工程总承包业绩</w:t>
            </w:r>
            <w:r>
              <w:rPr>
                <w:rFonts w:hint="eastAsia" w:cs="宋体"/>
                <w:color w:val="auto"/>
                <w:szCs w:val="21"/>
                <w:u w:val="none"/>
              </w:rPr>
              <w:t>其它辅助证明材料</w:t>
            </w:r>
            <w:r>
              <w:rPr>
                <w:rFonts w:hint="eastAsia" w:ascii="宋体" w:hAnsi="宋体" w:cs="宋体"/>
                <w:color w:val="auto"/>
                <w:szCs w:val="21"/>
                <w:u w:val="none"/>
                <w:lang w:val="en-US" w:eastAsia="zh-CN"/>
              </w:rPr>
              <w:t>”关于约定</w:t>
            </w:r>
            <w:r>
              <w:rPr>
                <w:rFonts w:hint="eastAsia" w:cs="宋体"/>
                <w:color w:val="auto"/>
                <w:szCs w:val="21"/>
                <w:u w:val="none"/>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709" w:type="dxa"/>
            <w:tcBorders>
              <w:bottom w:val="single" w:color="auto" w:sz="4" w:space="0"/>
              <w:right w:val="single" w:color="000000" w:sz="4" w:space="0"/>
            </w:tcBorders>
            <w:vAlign w:val="center"/>
          </w:tcPr>
          <w:p>
            <w:pPr>
              <w:spacing w:line="440" w:lineRule="exact"/>
              <w:jc w:val="center"/>
              <w:rPr>
                <w:rFonts w:ascii="宋体" w:hAnsi="宋体" w:cs="宋体"/>
                <w:color w:val="auto"/>
                <w:szCs w:val="21"/>
                <w:highlight w:val="none"/>
              </w:rPr>
            </w:pPr>
          </w:p>
        </w:tc>
        <w:tc>
          <w:tcPr>
            <w:tcW w:w="1134" w:type="dxa"/>
            <w:tcBorders>
              <w:left w:val="single" w:color="000000" w:sz="4" w:space="0"/>
              <w:bottom w:val="single" w:color="auto" w:sz="4" w:space="0"/>
              <w:right w:val="single" w:color="auto" w:sz="4" w:space="0"/>
            </w:tcBorders>
          </w:tcPr>
          <w:p>
            <w:pPr>
              <w:spacing w:line="440" w:lineRule="exact"/>
              <w:jc w:val="center"/>
              <w:rPr>
                <w:rFonts w:ascii="宋体" w:hAnsi="宋体" w:cs="宋体"/>
                <w:color w:val="auto"/>
                <w:szCs w:val="21"/>
                <w:highlight w:val="none"/>
              </w:rPr>
            </w:pPr>
          </w:p>
        </w:tc>
        <w:tc>
          <w:tcPr>
            <w:tcW w:w="6653" w:type="dxa"/>
            <w:gridSpan w:val="3"/>
            <w:tcBorders>
              <w:top w:val="single" w:color="auto" w:sz="4" w:space="0"/>
              <w:left w:val="single" w:color="auto" w:sz="4" w:space="0"/>
              <w:bottom w:val="single" w:color="auto" w:sz="4" w:space="0"/>
              <w:right w:val="single" w:color="auto" w:sz="4" w:space="0"/>
            </w:tcBorders>
            <w:vAlign w:val="center"/>
          </w:tcPr>
          <w:p>
            <w:pPr>
              <w:spacing w:line="440" w:lineRule="exact"/>
              <w:rPr>
                <w:rFonts w:ascii="宋体" w:hAnsi="宋体" w:cs="宋体"/>
                <w:color w:val="auto"/>
                <w:szCs w:val="21"/>
                <w:highlight w:val="none"/>
              </w:rPr>
            </w:pPr>
            <w:r>
              <w:rPr>
                <w:rFonts w:hint="eastAsia" w:ascii="宋体" w:hAnsi="宋体" w:cs="宋体"/>
                <w:color w:val="auto"/>
                <w:szCs w:val="21"/>
                <w:highlight w:val="none"/>
              </w:rPr>
              <w:t>注：1.类似工程执行苏建规字</w:t>
            </w:r>
            <w:r>
              <w:rPr>
                <w:rFonts w:hint="eastAsia" w:ascii="仿宋" w:hAnsi="仿宋" w:eastAsia="仿宋" w:cs="仿宋"/>
                <w:color w:val="auto"/>
                <w:szCs w:val="21"/>
                <w:highlight w:val="none"/>
              </w:rPr>
              <w:t>〔</w:t>
            </w:r>
            <w:r>
              <w:rPr>
                <w:rFonts w:hint="eastAsia" w:ascii="宋体" w:hAnsi="宋体" w:cs="宋体"/>
                <w:color w:val="auto"/>
                <w:szCs w:val="21"/>
                <w:highlight w:val="none"/>
              </w:rPr>
              <w:t>2017</w:t>
            </w:r>
            <w:r>
              <w:rPr>
                <w:rFonts w:hint="eastAsia" w:ascii="仿宋" w:hAnsi="仿宋" w:eastAsia="仿宋" w:cs="仿宋"/>
                <w:color w:val="auto"/>
                <w:szCs w:val="21"/>
                <w:highlight w:val="none"/>
              </w:rPr>
              <w:t>〕</w:t>
            </w:r>
            <w:r>
              <w:rPr>
                <w:rFonts w:hint="eastAsia" w:ascii="宋体" w:hAnsi="宋体" w:cs="宋体"/>
                <w:color w:val="auto"/>
                <w:szCs w:val="21"/>
                <w:highlight w:val="none"/>
              </w:rPr>
              <w:t>1号文的相应规定，招标文件中应当明确投标人和项目经理承担过单个类似及以上工程的分值。</w:t>
            </w:r>
          </w:p>
        </w:tc>
      </w:tr>
    </w:tbl>
    <w:p>
      <w:pPr>
        <w:pStyle w:val="5"/>
        <w:spacing w:line="360" w:lineRule="auto"/>
        <w:rPr>
          <w:rFonts w:ascii="宋体" w:hAnsi="宋体" w:cs="宋体"/>
          <w:color w:val="auto"/>
          <w:highlight w:val="none"/>
        </w:rPr>
      </w:pPr>
      <w:bookmarkStart w:id="756" w:name="_Toc18921"/>
      <w:bookmarkStart w:id="757" w:name="_Toc889"/>
      <w:bookmarkStart w:id="758" w:name="_Toc26262"/>
      <w:r>
        <w:rPr>
          <w:rFonts w:hint="eastAsia" w:ascii="宋体" w:hAnsi="宋体" w:cs="宋体"/>
          <w:color w:val="auto"/>
          <w:highlight w:val="none"/>
        </w:rPr>
        <w:t>1. 评审标准</w:t>
      </w:r>
      <w:bookmarkEnd w:id="756"/>
      <w:bookmarkEnd w:id="757"/>
      <w:bookmarkEnd w:id="758"/>
    </w:p>
    <w:p>
      <w:pPr>
        <w:pStyle w:val="6"/>
        <w:rPr>
          <w:rFonts w:ascii="宋体" w:hAnsi="宋体" w:cs="宋体"/>
          <w:color w:val="auto"/>
          <w:highlight w:val="none"/>
        </w:rPr>
      </w:pPr>
      <w:bookmarkStart w:id="759" w:name="_Toc9066"/>
      <w:bookmarkStart w:id="760" w:name="_Toc10019"/>
      <w:bookmarkStart w:id="761" w:name="_Toc21202"/>
      <w:r>
        <w:rPr>
          <w:rFonts w:hint="eastAsia" w:ascii="宋体" w:hAnsi="宋体" w:cs="宋体"/>
          <w:color w:val="auto"/>
          <w:highlight w:val="none"/>
        </w:rPr>
        <w:t>1.1初步评审标准</w:t>
      </w:r>
      <w:bookmarkEnd w:id="759"/>
      <w:bookmarkEnd w:id="760"/>
      <w:bookmarkEnd w:id="761"/>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1.1.1 形式性评审标准：见评标办法前附表。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1.1.2 资格评审标准：见评标办法前附表。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1.1.3 响应性评审标准：见评标办法前附表。</w:t>
      </w:r>
    </w:p>
    <w:p>
      <w:pPr>
        <w:pStyle w:val="6"/>
        <w:rPr>
          <w:rFonts w:ascii="宋体" w:hAnsi="宋体" w:cs="宋体"/>
          <w:color w:val="auto"/>
          <w:highlight w:val="none"/>
        </w:rPr>
      </w:pPr>
      <w:bookmarkStart w:id="762" w:name="_Toc30838"/>
      <w:bookmarkStart w:id="763" w:name="_Toc1054"/>
      <w:bookmarkStart w:id="764" w:name="_Toc5518"/>
      <w:r>
        <w:rPr>
          <w:rFonts w:hint="eastAsia" w:ascii="宋体" w:hAnsi="宋体" w:cs="宋体"/>
          <w:color w:val="auto"/>
          <w:highlight w:val="none"/>
        </w:rPr>
        <w:t>1.2详细评审标准</w:t>
      </w:r>
      <w:bookmarkEnd w:id="762"/>
      <w:bookmarkEnd w:id="763"/>
      <w:bookmarkEnd w:id="764"/>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1.2.1 商务标主要由项目管理机构、投标人类似工程业绩、工程总承包项目经理类似工程业绩等组成，具体评审标准见评标办法。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1.2.2 经济标主要由投标报价组成，具体评审标准见评标办法。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1.2.3技术标主要由设计文件、项目管理组织方案组成，具体评审标准见评标办法。</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1.2.4 各评审因素的具体分值由招标人参照综合评估法的评分细则制订。</w:t>
      </w:r>
    </w:p>
    <w:p>
      <w:pPr>
        <w:pStyle w:val="5"/>
        <w:spacing w:line="360" w:lineRule="auto"/>
        <w:rPr>
          <w:rFonts w:ascii="宋体" w:hAnsi="宋体" w:cs="宋体"/>
          <w:color w:val="auto"/>
          <w:highlight w:val="none"/>
        </w:rPr>
      </w:pPr>
      <w:bookmarkStart w:id="765" w:name="_Toc7335"/>
      <w:bookmarkStart w:id="766" w:name="_Toc3771"/>
      <w:bookmarkStart w:id="767" w:name="_Toc20520"/>
      <w:r>
        <w:rPr>
          <w:rFonts w:hint="eastAsia" w:ascii="宋体" w:hAnsi="宋体" w:cs="宋体"/>
          <w:color w:val="auto"/>
          <w:highlight w:val="none"/>
        </w:rPr>
        <w:t>2. 评标程序</w:t>
      </w:r>
      <w:bookmarkEnd w:id="765"/>
      <w:bookmarkEnd w:id="766"/>
      <w:bookmarkEnd w:id="767"/>
    </w:p>
    <w:p>
      <w:pPr>
        <w:pStyle w:val="6"/>
        <w:rPr>
          <w:rFonts w:ascii="宋体" w:hAnsi="宋体" w:cs="宋体"/>
          <w:color w:val="auto"/>
          <w:highlight w:val="none"/>
        </w:rPr>
      </w:pPr>
      <w:bookmarkStart w:id="768" w:name="_Toc20968"/>
      <w:bookmarkStart w:id="769" w:name="_Toc9286"/>
      <w:bookmarkStart w:id="770" w:name="_Toc8803"/>
      <w:r>
        <w:rPr>
          <w:rFonts w:hint="eastAsia" w:ascii="宋体" w:hAnsi="宋体" w:cs="宋体"/>
          <w:color w:val="auto"/>
          <w:highlight w:val="none"/>
        </w:rPr>
        <w:t>2.1第一阶段评审</w:t>
      </w:r>
      <w:bookmarkEnd w:id="768"/>
      <w:bookmarkEnd w:id="769"/>
      <w:bookmarkEnd w:id="770"/>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2.1.1评标前，招标人应当组织进行下列评标准备工作，并向评标委员会提供相关信息；采用电子招标投标的，应当使用电子交易系统自动开展评标准备工作：包括根据招标文件，编制评标使用的相应表格等；</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评标准备工作结束后,评标委员会开始评标；</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2.1.2 评标委员会成员到达评标现场时应在签到表上签到以证明其出席。</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2.1.3 评标委员会成员首先推选一名评标委员会负责人，负责评标活动的组织领导工作。</w:t>
      </w:r>
    </w:p>
    <w:p>
      <w:pPr>
        <w:autoSpaceDE w:val="0"/>
        <w:autoSpaceDN w:val="0"/>
        <w:spacing w:line="360" w:lineRule="auto"/>
        <w:ind w:firstLine="420" w:firstLineChars="200"/>
        <w:jc w:val="left"/>
        <w:rPr>
          <w:rFonts w:ascii="宋体" w:hAnsi="宋体" w:cs="宋体"/>
          <w:color w:val="auto"/>
          <w:kern w:val="0"/>
          <w:highlight w:val="none"/>
        </w:rPr>
      </w:pPr>
      <w:r>
        <w:rPr>
          <w:rFonts w:hint="eastAsia" w:ascii="宋体" w:hAnsi="宋体" w:cs="宋体"/>
          <w:color w:val="auto"/>
          <w:highlight w:val="none"/>
        </w:rPr>
        <w:t>2.1.4 招标人或招标代理机构应向评标委员会提供评标所需的信息和数据。评标委员会负责人应组织评标委员会成员认真研究招标文件，未在招标文件中规定的标准和方法不得作为评标的依据。</w:t>
      </w:r>
    </w:p>
    <w:p>
      <w:pPr>
        <w:autoSpaceDE w:val="0"/>
        <w:autoSpaceDN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2.1.5 评标委员会应当根据招标文件规定，全面、独立评审所有投标文件。</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 xml:space="preserve">2.1.6 </w:t>
      </w:r>
      <w:r>
        <w:rPr>
          <w:rFonts w:hint="eastAsia" w:ascii="宋体" w:hAnsi="宋体" w:cs="宋体"/>
          <w:color w:val="auto"/>
          <w:szCs w:val="21"/>
          <w:highlight w:val="none"/>
        </w:rPr>
        <w:t>先对设计文件及资格审查资料（实行资格后审的）进行评审。在设计文件评审及资格审查（实行资格后审的）合格（得分</w:t>
      </w:r>
      <w:r>
        <w:rPr>
          <w:rFonts w:ascii="宋体" w:hAnsi="宋体" w:cs="宋体"/>
          <w:color w:val="auto"/>
          <w:szCs w:val="21"/>
          <w:highlight w:val="none"/>
        </w:rPr>
        <w:t>60%以上，具体合格分在招标文件中明确）的投标人中，只有设计文件得分汇总排在前若干</w:t>
      </w:r>
      <w:r>
        <w:rPr>
          <w:rFonts w:hint="eastAsia" w:ascii="宋体" w:hAnsi="宋体" w:cs="宋体"/>
          <w:color w:val="auto"/>
          <w:szCs w:val="21"/>
          <w:highlight w:val="none"/>
          <w:lang w:val="en-US" w:eastAsia="zh-CN"/>
        </w:rPr>
        <w:t>家</w:t>
      </w:r>
      <w:r>
        <w:rPr>
          <w:rFonts w:ascii="宋体" w:hAnsi="宋体" w:cs="宋体"/>
          <w:color w:val="auto"/>
          <w:szCs w:val="21"/>
          <w:highlight w:val="none"/>
        </w:rPr>
        <w:t>的（不少于5</w:t>
      </w:r>
      <w:r>
        <w:rPr>
          <w:rFonts w:hint="eastAsia" w:ascii="宋体" w:hAnsi="宋体" w:cs="宋体"/>
          <w:color w:val="auto"/>
          <w:szCs w:val="21"/>
          <w:highlight w:val="none"/>
          <w:lang w:val="en-US" w:eastAsia="zh-CN"/>
        </w:rPr>
        <w:t>家</w:t>
      </w:r>
      <w:r>
        <w:rPr>
          <w:rFonts w:ascii="宋体" w:hAnsi="宋体" w:cs="宋体"/>
          <w:color w:val="auto"/>
          <w:szCs w:val="21"/>
          <w:highlight w:val="none"/>
        </w:rPr>
        <w:t>，具体数量在招标文件中明确</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末位出现得分相同</w:t>
      </w:r>
      <w:r>
        <w:rPr>
          <w:rFonts w:hint="eastAsia" w:ascii="宋体" w:hAnsi="宋体" w:eastAsia="宋体" w:cs="Times New Roman"/>
          <w:b w:val="0"/>
          <w:bCs/>
          <w:color w:val="auto"/>
          <w:kern w:val="2"/>
          <w:sz w:val="21"/>
          <w:szCs w:val="24"/>
          <w:highlight w:val="none"/>
          <w:lang w:val="en-US" w:eastAsia="zh-CN" w:bidi="ar-SA"/>
        </w:rPr>
        <w:t>的情况除外</w:t>
      </w:r>
      <w:r>
        <w:rPr>
          <w:rFonts w:hint="eastAsia" w:ascii="宋体" w:hAnsi="宋体" w:cs="宋体"/>
          <w:color w:val="auto"/>
          <w:szCs w:val="21"/>
          <w:highlight w:val="none"/>
          <w:lang w:val="en-US" w:eastAsia="zh-CN"/>
        </w:rPr>
        <w:t>，若末位出现得分相同</w:t>
      </w:r>
      <w:r>
        <w:rPr>
          <w:rFonts w:hint="eastAsia" w:ascii="宋体" w:hAnsi="宋体" w:eastAsia="宋体" w:cs="Times New Roman"/>
          <w:b w:val="0"/>
          <w:bCs/>
          <w:color w:val="auto"/>
          <w:kern w:val="2"/>
          <w:sz w:val="21"/>
          <w:szCs w:val="24"/>
          <w:highlight w:val="none"/>
          <w:lang w:val="en-US" w:eastAsia="zh-CN" w:bidi="ar-SA"/>
        </w:rPr>
        <w:t>的情况</w:t>
      </w:r>
      <w:r>
        <w:rPr>
          <w:rFonts w:hint="eastAsia" w:ascii="宋体" w:hAnsi="宋体" w:cs="Times New Roman"/>
          <w:b w:val="0"/>
          <w:bCs/>
          <w:color w:val="auto"/>
          <w:kern w:val="2"/>
          <w:sz w:val="21"/>
          <w:szCs w:val="24"/>
          <w:highlight w:val="none"/>
          <w:lang w:val="en-US" w:eastAsia="zh-CN" w:bidi="ar-SA"/>
        </w:rPr>
        <w:t>，则</w:t>
      </w:r>
      <w:r>
        <w:rPr>
          <w:rFonts w:hint="eastAsia" w:ascii="宋体" w:hAnsi="宋体" w:eastAsia="宋体" w:cs="Times New Roman"/>
          <w:b w:val="0"/>
          <w:bCs/>
          <w:color w:val="auto"/>
          <w:kern w:val="2"/>
          <w:sz w:val="21"/>
          <w:szCs w:val="24"/>
          <w:highlight w:val="none"/>
          <w:lang w:val="en-US" w:eastAsia="zh-CN" w:bidi="ar-SA"/>
        </w:rPr>
        <w:t>同分跟进增加</w:t>
      </w:r>
      <w:r>
        <w:rPr>
          <w:rFonts w:hint="eastAsia" w:ascii="宋体" w:hAnsi="宋体" w:cs="Times New Roman"/>
          <w:b w:val="0"/>
          <w:bCs/>
          <w:color w:val="auto"/>
          <w:kern w:val="2"/>
          <w:sz w:val="21"/>
          <w:szCs w:val="24"/>
          <w:highlight w:val="none"/>
          <w:lang w:val="en-US" w:eastAsia="zh-CN" w:bidi="ar-SA"/>
        </w:rPr>
        <w:t>进入</w:t>
      </w:r>
      <w:r>
        <w:rPr>
          <w:rFonts w:ascii="宋体" w:hAnsi="宋体" w:cs="宋体"/>
          <w:color w:val="auto"/>
          <w:szCs w:val="21"/>
          <w:highlight w:val="none"/>
        </w:rPr>
        <w:t>第二阶段</w:t>
      </w:r>
      <w:r>
        <w:rPr>
          <w:rFonts w:hint="eastAsia" w:ascii="宋体" w:hAnsi="宋体" w:cs="宋体"/>
          <w:color w:val="auto"/>
          <w:szCs w:val="21"/>
          <w:highlight w:val="none"/>
        </w:rPr>
        <w:t>评标</w:t>
      </w:r>
      <w:r>
        <w:rPr>
          <w:rFonts w:hint="eastAsia" w:ascii="宋体" w:hAnsi="宋体" w:cs="宋体"/>
          <w:color w:val="auto"/>
          <w:szCs w:val="21"/>
          <w:highlight w:val="none"/>
          <w:lang w:val="en-US" w:eastAsia="zh-CN"/>
        </w:rPr>
        <w:t>的投标人数量</w:t>
      </w:r>
      <w:r>
        <w:rPr>
          <w:rFonts w:ascii="宋体" w:hAnsi="宋体" w:cs="宋体"/>
          <w:color w:val="auto"/>
          <w:szCs w:val="21"/>
          <w:highlight w:val="none"/>
        </w:rPr>
        <w:t>），才能进入第二阶段</w:t>
      </w:r>
      <w:r>
        <w:rPr>
          <w:rFonts w:hint="eastAsia" w:ascii="宋体" w:hAnsi="宋体" w:cs="宋体"/>
          <w:color w:val="auto"/>
          <w:szCs w:val="21"/>
          <w:highlight w:val="none"/>
        </w:rPr>
        <w:t>评标</w:t>
      </w:r>
      <w:r>
        <w:rPr>
          <w:rFonts w:hint="eastAsia" w:ascii="宋体" w:hAnsi="宋体" w:cs="宋体"/>
          <w:color w:val="auto"/>
          <w:szCs w:val="21"/>
          <w:highlight w:val="none"/>
          <w:lang w:eastAsia="zh-CN"/>
        </w:rPr>
        <w:t>，</w:t>
      </w:r>
      <w:r>
        <w:rPr>
          <w:rFonts w:hint="eastAsia" w:ascii="宋体" w:hAnsi="宋体" w:cs="宋体"/>
          <w:color w:val="auto"/>
          <w:szCs w:val="21"/>
          <w:highlight w:val="none"/>
        </w:rPr>
        <w:t>设计文件评审合格的投标人少于</w:t>
      </w:r>
      <w:r>
        <w:rPr>
          <w:rFonts w:ascii="宋体" w:hAnsi="宋体" w:cs="宋体"/>
          <w:color w:val="auto"/>
          <w:szCs w:val="21"/>
          <w:highlight w:val="none"/>
        </w:rPr>
        <w:t>5</w:t>
      </w:r>
      <w:r>
        <w:rPr>
          <w:rFonts w:hint="eastAsia" w:ascii="宋体" w:hAnsi="宋体" w:cs="宋体"/>
          <w:color w:val="auto"/>
          <w:szCs w:val="21"/>
          <w:highlight w:val="none"/>
          <w:lang w:val="en-US" w:eastAsia="zh-CN"/>
        </w:rPr>
        <w:t>家</w:t>
      </w:r>
      <w:r>
        <w:rPr>
          <w:rFonts w:ascii="宋体" w:hAnsi="宋体" w:cs="宋体"/>
          <w:color w:val="auto"/>
          <w:szCs w:val="21"/>
          <w:highlight w:val="none"/>
        </w:rPr>
        <w:t>的，全部进入第二阶段</w:t>
      </w:r>
      <w:r>
        <w:rPr>
          <w:rFonts w:hint="eastAsia" w:ascii="宋体" w:hAnsi="宋体" w:cs="宋体"/>
          <w:color w:val="auto"/>
          <w:szCs w:val="21"/>
          <w:highlight w:val="none"/>
        </w:rPr>
        <w:t>评标。</w:t>
      </w:r>
      <w:r>
        <w:rPr>
          <w:rFonts w:hint="eastAsia" w:ascii="宋体" w:hAnsi="宋体" w:cs="宋体"/>
          <w:color w:val="auto"/>
          <w:highlight w:val="none"/>
        </w:rPr>
        <w:t>设计文件评审合格分及择优数量见本章前附表。</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2.1.7设计文件得分是否带入第二阶段按照本章前附表规定执行。</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2.1.8评分分值计算保留小数点后两位，第三位“四舍五入”。</w:t>
      </w:r>
    </w:p>
    <w:p>
      <w:pPr>
        <w:pStyle w:val="6"/>
        <w:rPr>
          <w:rFonts w:ascii="宋体" w:hAnsi="宋体" w:cs="宋体"/>
          <w:color w:val="auto"/>
          <w:highlight w:val="none"/>
        </w:rPr>
      </w:pPr>
      <w:bookmarkStart w:id="771" w:name="_Toc25928"/>
      <w:bookmarkStart w:id="772" w:name="_Toc14145"/>
      <w:bookmarkStart w:id="773" w:name="_Toc18498"/>
      <w:r>
        <w:rPr>
          <w:rFonts w:hint="eastAsia" w:ascii="宋体" w:hAnsi="宋体" w:cs="宋体"/>
          <w:color w:val="auto"/>
          <w:highlight w:val="none"/>
        </w:rPr>
        <w:t>2.2第二阶段评审</w:t>
      </w:r>
      <w:bookmarkEnd w:id="771"/>
      <w:bookmarkEnd w:id="772"/>
      <w:bookmarkEnd w:id="773"/>
    </w:p>
    <w:p>
      <w:pPr>
        <w:spacing w:line="360" w:lineRule="auto"/>
        <w:ind w:firstLine="420" w:firstLineChars="200"/>
        <w:rPr>
          <w:color w:val="auto"/>
          <w:highlight w:val="none"/>
        </w:rPr>
      </w:pPr>
      <w:r>
        <w:rPr>
          <w:rFonts w:hint="eastAsia"/>
          <w:color w:val="auto"/>
          <w:highlight w:val="none"/>
        </w:rPr>
        <w:t>评标前，招标人应当组织进行下列评标准备工作，并向评标委员会提供相关信息；采用电子招标投标的，应当使用电子交易系统自动开展评标准备工作：</w:t>
      </w:r>
      <w:r>
        <w:rPr>
          <w:rFonts w:hint="eastAsia" w:ascii="宋体" w:hAnsi="宋体" w:cs="宋体"/>
          <w:color w:val="auto"/>
          <w:highlight w:val="none"/>
        </w:rPr>
        <w:t>包括根据招标文件，编制评标使用的相应表格等；</w:t>
      </w:r>
    </w:p>
    <w:p>
      <w:pPr>
        <w:autoSpaceDE w:val="0"/>
        <w:autoSpaceDN w:val="0"/>
        <w:spacing w:line="360" w:lineRule="auto"/>
        <w:ind w:firstLine="420" w:firstLineChars="200"/>
        <w:jc w:val="left"/>
        <w:rPr>
          <w:color w:val="auto"/>
          <w:highlight w:val="none"/>
        </w:rPr>
      </w:pPr>
      <w:r>
        <w:rPr>
          <w:rFonts w:hint="eastAsia"/>
          <w:color w:val="auto"/>
          <w:highlight w:val="none"/>
        </w:rPr>
        <w:t>评标委员会应当根据招标文件规定，全面、独立评审所有投标文件。</w:t>
      </w:r>
    </w:p>
    <w:p>
      <w:pPr>
        <w:spacing w:line="360" w:lineRule="auto"/>
        <w:ind w:firstLine="420" w:firstLineChars="200"/>
        <w:rPr>
          <w:color w:val="auto"/>
          <w:highlight w:val="none"/>
        </w:rPr>
      </w:pPr>
      <w:r>
        <w:rPr>
          <w:rFonts w:hint="eastAsia"/>
          <w:color w:val="auto"/>
          <w:highlight w:val="none"/>
        </w:rPr>
        <w:t>评标准备工作结束后,评标委员会开始评标；评标委员会仅针对进入第二阶段的投标文件进行评审。</w:t>
      </w:r>
    </w:p>
    <w:p>
      <w:pPr>
        <w:spacing w:after="124" w:afterLines="40"/>
        <w:rPr>
          <w:rFonts w:ascii="宋体" w:hAnsi="宋体" w:cs="宋体"/>
          <w:b/>
          <w:bCs/>
          <w:color w:val="auto"/>
          <w:highlight w:val="none"/>
        </w:rPr>
      </w:pPr>
      <w:r>
        <w:rPr>
          <w:rFonts w:hint="eastAsia" w:ascii="宋体" w:hAnsi="宋体" w:cs="宋体"/>
          <w:b/>
          <w:bCs/>
          <w:color w:val="auto"/>
          <w:highlight w:val="none"/>
        </w:rPr>
        <w:t>2.2.1初步评审</w:t>
      </w:r>
    </w:p>
    <w:p>
      <w:pPr>
        <w:adjustRightInd w:val="0"/>
        <w:snapToGrid w:val="0"/>
        <w:spacing w:after="62" w:afterLines="20" w:line="360" w:lineRule="auto"/>
        <w:ind w:firstLine="420" w:firstLineChars="200"/>
        <w:rPr>
          <w:rFonts w:ascii="宋体" w:hAnsi="宋体" w:cs="宋体"/>
          <w:color w:val="auto"/>
          <w:highlight w:val="none"/>
        </w:rPr>
      </w:pPr>
      <w:r>
        <w:rPr>
          <w:rFonts w:hint="eastAsia" w:ascii="宋体" w:hAnsi="宋体" w:cs="宋体"/>
          <w:color w:val="auto"/>
          <w:highlight w:val="none"/>
        </w:rPr>
        <w:t>2.2.1.1形式性评审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2.2.1.2响应性评审</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评标委员会根据本章前附表列出的评审标准，</w:t>
      </w:r>
      <w:r>
        <w:rPr>
          <w:rFonts w:hint="eastAsia" w:ascii="宋体" w:hAnsi="宋体" w:cs="宋体"/>
          <w:color w:val="auto"/>
          <w:kern w:val="0"/>
          <w:szCs w:val="21"/>
          <w:highlight w:val="none"/>
        </w:rPr>
        <w:t>有一项不符合评审标准的，作无效标处理。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2.2.1.3投标报价有算术错误的，评标委员会按以下原则对投标报价进行修正，修正的价格经投标人书面确认后具有约束力。投标人不接受修正价格的，评标委员会应当否决其投标。</w:t>
      </w:r>
      <w:r>
        <w:rPr>
          <w:rFonts w:hint="eastAsia" w:ascii="宋体" w:hAnsi="宋体" w:cs="仿宋_GB2312"/>
          <w:color w:val="auto"/>
          <w:kern w:val="0"/>
          <w:szCs w:val="21"/>
          <w:highlight w:val="none"/>
        </w:rPr>
        <w:t>修正后的投标报价高于招标人设置的</w:t>
      </w:r>
      <w:r>
        <w:rPr>
          <w:rFonts w:hint="eastAsia" w:ascii="宋体" w:hAnsi="宋体" w:cs="宋体"/>
          <w:color w:val="auto"/>
          <w:szCs w:val="32"/>
          <w:highlight w:val="none"/>
          <w:lang w:val="en-US" w:eastAsia="zh-CN"/>
        </w:rPr>
        <w:t>最高投标限价</w:t>
      </w:r>
      <w:r>
        <w:rPr>
          <w:rFonts w:hint="eastAsia" w:ascii="宋体" w:hAnsi="宋体" w:cs="仿宋_GB2312"/>
          <w:color w:val="auto"/>
          <w:kern w:val="0"/>
          <w:szCs w:val="21"/>
          <w:highlight w:val="none"/>
        </w:rPr>
        <w:t>，</w:t>
      </w:r>
      <w:r>
        <w:rPr>
          <w:rFonts w:hint="eastAsia"/>
          <w:color w:val="auto"/>
          <w:highlight w:val="none"/>
        </w:rPr>
        <w:t>评标委员会应当否决其投标。</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（1）投标文件中的大写金额与小写金额不一致的，以大写金额为准；</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（2）总价金额与依据单价计算出的结果不一致的，以单价金额为准修正总价，但单价金额小数点有明显错误、四舍五入原因的除外；</w:t>
      </w:r>
    </w:p>
    <w:p>
      <w:pPr>
        <w:spacing w:line="360" w:lineRule="auto"/>
        <w:ind w:firstLine="424" w:firstLineChars="202"/>
        <w:rPr>
          <w:rFonts w:ascii="宋体" w:hAnsi="宋体" w:cs="宋体"/>
          <w:color w:val="auto"/>
          <w:highlight w:val="none"/>
        </w:rPr>
      </w:pPr>
      <w:r>
        <w:rPr>
          <w:rFonts w:hint="eastAsia" w:ascii="宋体" w:hAnsi="宋体" w:cs="宋体"/>
          <w:color w:val="auto"/>
          <w:highlight w:val="none"/>
        </w:rPr>
        <w:t>2.2.1.4澄清、说明或补正</w:t>
      </w:r>
    </w:p>
    <w:p>
      <w:pPr>
        <w:adjustRightInd w:val="0"/>
        <w:snapToGri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在初步评审过程中，评标委员会应当就投标文件中不明确的内容要求投标人进行澄清、说明或补正，澄清、说明或补正按照本章第2.</w:t>
      </w:r>
      <w:r>
        <w:rPr>
          <w:rFonts w:hint="eastAsia" w:ascii="宋体" w:hAnsi="宋体" w:cs="宋体"/>
          <w:color w:val="auto"/>
          <w:highlight w:val="none"/>
          <w:lang w:val="en-US" w:eastAsia="zh-CN"/>
        </w:rPr>
        <w:t>3</w:t>
      </w:r>
      <w:r>
        <w:rPr>
          <w:rFonts w:hint="eastAsia" w:ascii="宋体" w:hAnsi="宋体" w:cs="宋体"/>
          <w:color w:val="auto"/>
          <w:highlight w:val="none"/>
        </w:rPr>
        <w:t>款的规定进行。</w:t>
      </w:r>
    </w:p>
    <w:p>
      <w:pPr>
        <w:spacing w:line="360" w:lineRule="auto"/>
        <w:rPr>
          <w:rFonts w:ascii="宋体" w:hAnsi="宋体" w:cs="宋体"/>
          <w:color w:val="auto"/>
          <w:highlight w:val="none"/>
        </w:rPr>
      </w:pPr>
      <w:r>
        <w:rPr>
          <w:rFonts w:hint="eastAsia" w:ascii="宋体" w:hAnsi="宋体" w:cs="宋体"/>
          <w:color w:val="auto"/>
          <w:highlight w:val="none"/>
        </w:rPr>
        <w:t xml:space="preserve">    2.2.1.5投标文件有下列情况之一的，属于重大偏差，视为未能对招标文件作出实质性响应，应当作为无效投标予以否决：</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（1）投标文件中的投标函未加盖投标人的公章；</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（2）投标文件中的投标函未加盖企业法定代表人（或企业法定代表人委托代理人）印章（或签字）的；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（3）投标函加盖企业法定代表人委托代理人印章（或签字），企业法定代表人委托代理人没有合法、有效的委托书（原件）的；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（4）投标人资质条件不符合国家有关规定，或不满足招标文件规定的资格条件的；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（5）投标人名称或组织结构与资格预审时不一致的；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（6）除在投标截止时间前经招标人书面同意外，</w:t>
      </w:r>
      <w:r>
        <w:rPr>
          <w:rFonts w:hint="eastAsia" w:ascii="宋体" w:hAnsi="宋体" w:cs="宋体"/>
          <w:color w:val="auto"/>
          <w:highlight w:val="none"/>
          <w:lang w:val="en-US" w:eastAsia="zh-CN"/>
        </w:rPr>
        <w:t>工程</w:t>
      </w:r>
      <w:r>
        <w:rPr>
          <w:rFonts w:hint="eastAsia" w:ascii="宋体" w:hAnsi="宋体" w:cs="宋体"/>
          <w:color w:val="auto"/>
          <w:highlight w:val="none"/>
        </w:rPr>
        <w:t>总承包项目经理与资格预审时不一致的；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（7）组成联合体投标未提供联合体各方共同投标协议的；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（8）在同一招标项目中，联合体成员以自己名义单独投标或者参加其他联合体投标的；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（9）联合体成员与资格预审确定的结果不一致的；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（10）投标报价低于工程成本或者高于招标文件设定的最高投标限价的；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（11）同一投标人提交两个及以上不同的投标文件或者投标报价，但招标文件要求提交备选投标的除外；</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（12）投标文件的报价清单与招标文件明确列出的不可竞争费用项目或费率或计算基础不一致的；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（13）未按招标文件要求提供投标保证金的；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（14）投标文件载明的招标项目完成期限超过招标文件规定的期限的；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（15）明显不符合技术规范、技术标准的要求的；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（16）投标文件载明的货物包装方式、检验标准和方法等不符合招标文件的要求的；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（17）投标文件提出了不能满足招标文件要求或招标人不能接受的工程验收、计量、价款结算和支付办法的；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（18）未按招标文件要求提供电子投标文件，或者投标文件未能解密且按照招标文件明确的投标文件解密失败的补救方案补救不成功的；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（19）不同投标人的投标文件以及投标文件制作过程出现了评标委员会认为不应当雷同的情况的；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（20）以他人的名义投标、串通投标、以行贿手段谋取中标或者以其他弄虚作假方式投标的；</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（21）设计方案（或项目管理组织方案）不符合招标文件有关暗标要求的；</w:t>
      </w:r>
    </w:p>
    <w:p>
      <w:pPr>
        <w:spacing w:line="360" w:lineRule="auto"/>
        <w:ind w:firstLine="420" w:firstLineChars="200"/>
        <w:rPr>
          <w:rFonts w:hint="eastAsia" w:ascii="宋体" w:hAnsi="宋体" w:cs="宋体"/>
          <w:color w:val="auto"/>
          <w:highlight w:val="none"/>
          <w:lang w:eastAsia="zh-CN"/>
        </w:rPr>
      </w:pPr>
      <w:r>
        <w:rPr>
          <w:rFonts w:hint="eastAsia" w:ascii="宋体" w:hAnsi="宋体" w:cs="宋体"/>
          <w:color w:val="auto"/>
          <w:highlight w:val="none"/>
        </w:rPr>
        <w:t>（22）投标文件关键内容模糊、无法辩认的</w:t>
      </w:r>
      <w:r>
        <w:rPr>
          <w:rFonts w:hint="eastAsia" w:ascii="宋体" w:hAnsi="宋体" w:cs="宋体"/>
          <w:color w:val="auto"/>
          <w:highlight w:val="none"/>
          <w:lang w:eastAsia="zh-CN"/>
        </w:rPr>
        <w:t>；</w:t>
      </w:r>
    </w:p>
    <w:p>
      <w:pPr>
        <w:pStyle w:val="190"/>
        <w:spacing w:line="360" w:lineRule="auto"/>
        <w:ind w:firstLine="420" w:firstLineChars="200"/>
        <w:rPr>
          <w:bCs/>
          <w:color w:val="auto"/>
          <w:highlight w:val="none"/>
        </w:rPr>
      </w:pPr>
      <w:r>
        <w:rPr>
          <w:rFonts w:hint="eastAsia"/>
          <w:bCs/>
          <w:color w:val="auto"/>
          <w:highlight w:val="none"/>
        </w:rPr>
        <w:t>（2</w:t>
      </w:r>
      <w:r>
        <w:rPr>
          <w:rFonts w:hint="eastAsia"/>
          <w:bCs/>
          <w:color w:val="auto"/>
          <w:highlight w:val="none"/>
          <w:lang w:val="en-US" w:eastAsia="zh-CN"/>
        </w:rPr>
        <w:t>3</w:t>
      </w:r>
      <w:r>
        <w:rPr>
          <w:rFonts w:hint="eastAsia"/>
          <w:bCs/>
          <w:color w:val="auto"/>
          <w:highlight w:val="none"/>
        </w:rPr>
        <w:t>）未按招标文件要求提供诚信投标承诺书的；</w:t>
      </w:r>
    </w:p>
    <w:p>
      <w:pPr>
        <w:pStyle w:val="190"/>
        <w:spacing w:line="360" w:lineRule="auto"/>
        <w:ind w:firstLine="420" w:firstLineChars="200"/>
        <w:rPr>
          <w:rFonts w:hint="eastAsia" w:eastAsia="宋体"/>
          <w:color w:val="auto"/>
          <w:highlight w:val="none"/>
          <w:lang w:eastAsia="zh-CN"/>
        </w:rPr>
      </w:pPr>
      <w:r>
        <w:rPr>
          <w:rFonts w:hint="eastAsia"/>
          <w:color w:val="auto"/>
          <w:highlight w:val="none"/>
        </w:rPr>
        <w:t>（2</w:t>
      </w:r>
      <w:r>
        <w:rPr>
          <w:rFonts w:hint="eastAsia"/>
          <w:color w:val="auto"/>
          <w:highlight w:val="none"/>
          <w:lang w:val="en-US" w:eastAsia="zh-CN"/>
        </w:rPr>
        <w:t>4</w:t>
      </w:r>
      <w:r>
        <w:rPr>
          <w:rFonts w:hint="eastAsia"/>
          <w:color w:val="auto"/>
          <w:highlight w:val="none"/>
        </w:rPr>
        <w:t>）不按评标委员会要求澄清、说明或补正的</w:t>
      </w:r>
      <w:r>
        <w:rPr>
          <w:rFonts w:hint="eastAsia"/>
          <w:color w:val="auto"/>
          <w:highlight w:val="none"/>
          <w:lang w:eastAsia="zh-CN"/>
        </w:rPr>
        <w:t>。</w:t>
      </w:r>
    </w:p>
    <w:p>
      <w:pPr>
        <w:rPr>
          <w:rFonts w:ascii="宋体" w:hAnsi="宋体" w:cs="宋体"/>
          <w:b/>
          <w:bCs/>
          <w:color w:val="auto"/>
          <w:highlight w:val="none"/>
        </w:rPr>
      </w:pPr>
      <w:r>
        <w:rPr>
          <w:rFonts w:hint="eastAsia" w:ascii="宋体" w:hAnsi="宋体" w:cs="宋体"/>
          <w:b/>
          <w:bCs/>
          <w:color w:val="auto"/>
          <w:highlight w:val="none"/>
        </w:rPr>
        <w:t>2.2.2详细评审</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2.2.2.1评审顺序一般先评审技术标，再评审商务标，最后评审经济标，招标人也可根据项目情况确定评审顺序，具体的评标方式、评审顺序及评审因素见本章前附表。</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highlight w:val="none"/>
        </w:rPr>
        <w:t>2.2.2.2采用定量评审评标方式的，评标委员会根据评标办法规定的评分细则，对</w:t>
      </w:r>
      <w:r>
        <w:rPr>
          <w:rFonts w:hint="eastAsia" w:ascii="宋体" w:hAnsi="宋体" w:cs="宋体"/>
          <w:color w:val="auto"/>
          <w:szCs w:val="21"/>
          <w:highlight w:val="none"/>
        </w:rPr>
        <w:t>满足招标文件实质要求的投标文件，按照本章前附表规定的评分标准进行打分，并按</w:t>
      </w:r>
      <w:r>
        <w:rPr>
          <w:rFonts w:hint="eastAsia" w:ascii="宋体" w:hAnsi="宋体" w:cs="宋体"/>
          <w:color w:val="auto"/>
          <w:highlight w:val="none"/>
        </w:rPr>
        <w:t>综合得分</w:t>
      </w:r>
      <w:r>
        <w:rPr>
          <w:rFonts w:hint="eastAsia" w:ascii="宋体" w:hAnsi="宋体" w:cs="宋体"/>
          <w:color w:val="auto"/>
          <w:szCs w:val="21"/>
          <w:highlight w:val="none"/>
        </w:rPr>
        <w:t>由高到低顺序推荐投标人须知前附表第6.4.2款规定数量的</w:t>
      </w:r>
      <w:r>
        <w:rPr>
          <w:rFonts w:hint="eastAsia" w:ascii="宋体" w:hAnsi="宋体" w:cs="宋体"/>
          <w:color w:val="auto"/>
          <w:szCs w:val="21"/>
          <w:highlight w:val="none"/>
          <w:lang w:val="en-US" w:eastAsia="zh-CN"/>
        </w:rPr>
        <w:t>中标</w:t>
      </w:r>
      <w:r>
        <w:rPr>
          <w:rFonts w:hint="eastAsia" w:ascii="宋体" w:hAnsi="宋体" w:cs="宋体"/>
          <w:color w:val="auto"/>
          <w:szCs w:val="21"/>
          <w:highlight w:val="none"/>
        </w:rPr>
        <w:t>候选人。</w:t>
      </w:r>
      <w:r>
        <w:rPr>
          <w:rFonts w:hint="eastAsia" w:ascii="宋体" w:hAnsi="宋体" w:eastAsia="宋体" w:cs="宋体"/>
          <w:color w:val="auto"/>
          <w:szCs w:val="21"/>
          <w:highlight w:val="none"/>
        </w:rPr>
        <w:t>综合评分相等时，以投标报价低的优先；投标报价也相等的，由招标人自行确定。</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2.2.2.3评分分值计算保留小数点后两位，第三位“四舍五入”。</w:t>
      </w:r>
    </w:p>
    <w:p>
      <w:pPr>
        <w:pStyle w:val="6"/>
        <w:rPr>
          <w:rFonts w:ascii="宋体" w:hAnsi="宋体" w:cs="宋体"/>
          <w:color w:val="auto"/>
          <w:highlight w:val="none"/>
        </w:rPr>
      </w:pPr>
      <w:bookmarkStart w:id="774" w:name="_Toc11645"/>
      <w:bookmarkStart w:id="775" w:name="_Toc28861"/>
      <w:bookmarkStart w:id="776" w:name="_Toc10949"/>
      <w:r>
        <w:rPr>
          <w:rFonts w:hint="eastAsia" w:ascii="宋体" w:hAnsi="宋体" w:cs="宋体"/>
          <w:color w:val="auto"/>
          <w:highlight w:val="none"/>
        </w:rPr>
        <w:t>2.3投标文件的澄清和补正</w:t>
      </w:r>
      <w:bookmarkEnd w:id="774"/>
      <w:bookmarkEnd w:id="775"/>
      <w:bookmarkEnd w:id="776"/>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2.3.1在评标过程中，评标委员会可以书面形式要求投标人对所提交的投标文件中不明确的内容进行书面澄清或说明。评标委员会不接受投标人主动提出的澄清、说明或补正。</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2.3.2 澄清、说明和补正不得改变投标文件的实质性内容。投标人的书面澄清、说明和补正属于投标文件的组成部分。</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2.3.3 评标委员会对投标人提交的澄清、说明或补正有疑问的，可以要求投标人进一步澄清、说明或补正，直至满足评标委员会的要求。</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2.3.4 在评标过程中，评标委员会发现投标人的报价明显低于其他投标报价，使得其投标报价可能低于其个别成本的，</w:t>
      </w:r>
      <w:r>
        <w:rPr>
          <w:rFonts w:hint="eastAsia" w:ascii="宋体" w:hAnsi="宋体" w:cs="宋体"/>
          <w:color w:val="auto"/>
          <w:szCs w:val="22"/>
          <w:highlight w:val="none"/>
        </w:rPr>
        <w:t>有可能影响质量或者不能诚信履约的，应当要求其在评标现场合理的时间内提供书面说明</w:t>
      </w:r>
      <w:r>
        <w:rPr>
          <w:rFonts w:hint="eastAsia" w:ascii="宋体" w:hAnsi="宋体" w:cs="宋体"/>
          <w:color w:val="auto"/>
          <w:highlight w:val="none"/>
        </w:rPr>
        <w:t>并提供相关证明材料。投标人不能合理说明或者不能提供相关证明材料的，评标委员会应当否决其投标。</w:t>
      </w:r>
    </w:p>
    <w:p>
      <w:pPr>
        <w:pStyle w:val="6"/>
        <w:rPr>
          <w:rFonts w:ascii="宋体" w:hAnsi="宋体" w:cs="宋体"/>
          <w:color w:val="auto"/>
          <w:highlight w:val="none"/>
        </w:rPr>
      </w:pPr>
      <w:bookmarkStart w:id="777" w:name="_Toc26028"/>
      <w:bookmarkStart w:id="778" w:name="_Toc25336"/>
      <w:bookmarkStart w:id="779" w:name="_Toc8354"/>
      <w:r>
        <w:rPr>
          <w:rFonts w:hint="eastAsia" w:ascii="宋体" w:hAnsi="宋体" w:cs="宋体"/>
          <w:color w:val="auto"/>
          <w:highlight w:val="none"/>
        </w:rPr>
        <w:t>2.4推荐</w:t>
      </w:r>
      <w:r>
        <w:rPr>
          <w:rFonts w:hint="eastAsia" w:ascii="宋体" w:hAnsi="宋体" w:cs="宋体"/>
          <w:color w:val="auto"/>
          <w:szCs w:val="21"/>
          <w:highlight w:val="none"/>
          <w:lang w:val="en-US" w:eastAsia="zh-CN"/>
        </w:rPr>
        <w:t>中标</w:t>
      </w:r>
      <w:r>
        <w:rPr>
          <w:rFonts w:hint="eastAsia" w:ascii="宋体" w:hAnsi="宋体" w:cs="宋体"/>
          <w:color w:val="auto"/>
          <w:highlight w:val="none"/>
        </w:rPr>
        <w:t>候选人</w:t>
      </w:r>
      <w:bookmarkEnd w:id="777"/>
      <w:bookmarkEnd w:id="778"/>
      <w:bookmarkEnd w:id="779"/>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评标委员会在推荐</w:t>
      </w:r>
      <w:r>
        <w:rPr>
          <w:rFonts w:hint="eastAsia" w:ascii="宋体" w:hAnsi="宋体" w:cs="宋体"/>
          <w:color w:val="auto"/>
          <w:szCs w:val="21"/>
          <w:highlight w:val="none"/>
          <w:lang w:val="en-US" w:eastAsia="zh-CN"/>
        </w:rPr>
        <w:t>中标</w:t>
      </w:r>
      <w:r>
        <w:rPr>
          <w:rFonts w:hint="eastAsia" w:ascii="宋体" w:hAnsi="宋体" w:cs="宋体"/>
          <w:color w:val="auto"/>
          <w:highlight w:val="none"/>
        </w:rPr>
        <w:t>候选人时，应遵照以下原则:</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2.4.1评标委员会应当按照投标人须知前附表6.4.2款规定，推荐相应数量的</w:t>
      </w:r>
      <w:r>
        <w:rPr>
          <w:rFonts w:hint="eastAsia" w:ascii="宋体" w:hAnsi="宋体" w:cs="宋体"/>
          <w:color w:val="auto"/>
          <w:szCs w:val="21"/>
          <w:highlight w:val="none"/>
          <w:lang w:val="en-US" w:eastAsia="zh-CN"/>
        </w:rPr>
        <w:t>中标</w:t>
      </w:r>
      <w:r>
        <w:rPr>
          <w:rFonts w:hint="eastAsia" w:ascii="宋体" w:hAnsi="宋体" w:cs="宋体"/>
          <w:color w:val="auto"/>
          <w:highlight w:val="none"/>
        </w:rPr>
        <w:t>候选人。</w:t>
      </w:r>
    </w:p>
    <w:p>
      <w:pPr>
        <w:spacing w:line="360" w:lineRule="auto"/>
        <w:ind w:firstLine="420" w:firstLineChars="200"/>
        <w:rPr>
          <w:rFonts w:hint="eastAsia" w:ascii="宋体" w:hAnsi="宋体" w:cs="宋体"/>
          <w:color w:val="auto"/>
          <w:szCs w:val="21"/>
          <w:highlight w:val="none"/>
        </w:rPr>
      </w:pPr>
      <w:r>
        <w:rPr>
          <w:rFonts w:hint="eastAsia" w:ascii="宋体" w:hAnsi="宋体" w:cs="宋体"/>
          <w:color w:val="auto"/>
          <w:highlight w:val="none"/>
        </w:rPr>
        <w:t>2.4.2</w:t>
      </w:r>
      <w:r>
        <w:rPr>
          <w:rFonts w:hint="eastAsia"/>
          <w:snapToGrid w:val="0"/>
          <w:color w:val="auto"/>
          <w:kern w:val="32"/>
          <w:szCs w:val="20"/>
          <w:highlight w:val="none"/>
        </w:rPr>
        <w:t>经评标委员会评审，当符合招标文件要求的合格投标人少于</w:t>
      </w:r>
      <w:r>
        <w:rPr>
          <w:rFonts w:hint="eastAsia" w:ascii="宋体" w:hAnsi="宋体" w:cs="宋体"/>
          <w:color w:val="auto"/>
          <w:highlight w:val="none"/>
        </w:rPr>
        <w:t>投标人须知前附表6.4.2款</w:t>
      </w:r>
      <w:r>
        <w:rPr>
          <w:rFonts w:hint="eastAsia"/>
          <w:snapToGrid w:val="0"/>
          <w:color w:val="auto"/>
          <w:kern w:val="32"/>
          <w:szCs w:val="20"/>
          <w:highlight w:val="none"/>
        </w:rPr>
        <w:t>规定的数量，但不少于3名时，全部推荐为中标候选人；少于3名时，</w:t>
      </w:r>
      <w:r>
        <w:rPr>
          <w:rFonts w:hint="eastAsia" w:ascii="宋体" w:hAnsi="宋体" w:eastAsia="宋体" w:cs="宋体"/>
          <w:color w:val="auto"/>
          <w:kern w:val="2"/>
          <w:sz w:val="21"/>
          <w:szCs w:val="24"/>
          <w:highlight w:val="none"/>
        </w:rPr>
        <w:t>评标委员会应当对有效投标是否仍具有竞争性进行评审</w:t>
      </w:r>
      <w:r>
        <w:rPr>
          <w:rFonts w:hint="eastAsia" w:ascii="宋体" w:hAnsi="宋体" w:eastAsia="宋体" w:cs="宋体"/>
          <w:color w:val="auto"/>
          <w:highlight w:val="none"/>
          <w:lang w:eastAsia="zh-CN"/>
        </w:rPr>
        <w:t>；</w:t>
      </w:r>
      <w:r>
        <w:rPr>
          <w:rFonts w:hint="eastAsia" w:ascii="宋体" w:hAnsi="宋体" w:eastAsia="宋体" w:cs="宋体"/>
          <w:color w:val="auto"/>
          <w:kern w:val="2"/>
          <w:sz w:val="21"/>
          <w:szCs w:val="24"/>
          <w:highlight w:val="none"/>
        </w:rPr>
        <w:t>评标委员会一致认为有效投标仍具有竞争性的</w:t>
      </w: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应当继续</w:t>
      </w:r>
      <w:r>
        <w:rPr>
          <w:rFonts w:hint="eastAsia" w:ascii="宋体" w:hAnsi="宋体" w:eastAsia="宋体" w:cs="宋体"/>
          <w:color w:val="auto"/>
          <w:highlight w:val="none"/>
        </w:rPr>
        <w:t>按</w:t>
      </w:r>
      <w:r>
        <w:rPr>
          <w:rFonts w:hint="eastAsia" w:ascii="宋体" w:hAnsi="宋体" w:eastAsia="宋体" w:cs="宋体"/>
          <w:color w:val="auto"/>
          <w:highlight w:val="none"/>
          <w:lang w:val="en-US" w:eastAsia="zh-CN"/>
        </w:rPr>
        <w:t>本章</w:t>
      </w:r>
      <w:r>
        <w:rPr>
          <w:rFonts w:hint="eastAsia"/>
          <w:color w:val="auto"/>
          <w:spacing w:val="-2"/>
          <w:sz w:val="21"/>
          <w:highlight w:val="none"/>
          <w:lang w:val="en-US" w:eastAsia="zh-CN"/>
        </w:rPr>
        <w:t>2.4.1款</w:t>
      </w:r>
      <w:r>
        <w:rPr>
          <w:rFonts w:hint="eastAsia"/>
          <w:color w:val="auto"/>
          <w:spacing w:val="-2"/>
          <w:sz w:val="21"/>
          <w:highlight w:val="none"/>
          <w:lang w:eastAsia="zh-CN"/>
        </w:rPr>
        <w:t>推荐中标候选人</w:t>
      </w:r>
      <w:r>
        <w:rPr>
          <w:rFonts w:hint="eastAsia" w:ascii="宋体" w:hAnsi="宋体" w:eastAsia="宋体" w:cs="宋体"/>
          <w:color w:val="auto"/>
          <w:highlight w:val="none"/>
        </w:rPr>
        <w:t>；</w:t>
      </w:r>
      <w:r>
        <w:rPr>
          <w:rFonts w:hint="eastAsia" w:ascii="宋体" w:hAnsi="宋体" w:eastAsia="宋体" w:cs="宋体"/>
          <w:color w:val="auto"/>
          <w:kern w:val="2"/>
          <w:sz w:val="21"/>
          <w:szCs w:val="24"/>
          <w:highlight w:val="none"/>
        </w:rPr>
        <w:t>评标委员会一致认为有效投标</w:t>
      </w:r>
      <w:r>
        <w:rPr>
          <w:rFonts w:hint="eastAsia" w:ascii="宋体" w:hAnsi="宋体" w:eastAsia="宋体" w:cs="宋体"/>
          <w:color w:val="auto"/>
          <w:kern w:val="2"/>
          <w:sz w:val="21"/>
          <w:szCs w:val="24"/>
          <w:highlight w:val="none"/>
          <w:lang w:val="en-US" w:eastAsia="zh-CN"/>
        </w:rPr>
        <w:t>不</w:t>
      </w:r>
      <w:r>
        <w:rPr>
          <w:rFonts w:hint="eastAsia" w:ascii="宋体" w:hAnsi="宋体" w:eastAsia="宋体" w:cs="宋体"/>
          <w:color w:val="auto"/>
          <w:kern w:val="2"/>
          <w:sz w:val="21"/>
          <w:szCs w:val="24"/>
          <w:highlight w:val="none"/>
        </w:rPr>
        <w:t>具有竞争性的</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应当否决全部投标</w:t>
      </w:r>
      <w:r>
        <w:rPr>
          <w:rFonts w:hint="eastAsia" w:ascii="宋体" w:hAnsi="宋体" w:eastAsia="宋体" w:cs="宋体"/>
          <w:color w:val="auto"/>
          <w:highlight w:val="none"/>
        </w:rPr>
        <w:t>；</w:t>
      </w:r>
      <w:r>
        <w:rPr>
          <w:rFonts w:hint="eastAsia" w:ascii="宋体" w:hAnsi="宋体" w:eastAsia="宋体" w:cs="宋体"/>
          <w:b w:val="0"/>
          <w:color w:val="auto"/>
          <w:kern w:val="2"/>
          <w:sz w:val="21"/>
          <w:szCs w:val="24"/>
          <w:highlight w:val="none"/>
        </w:rPr>
        <w:t>评标委员会对有效投标是否仍具有竞争性无法达成一致意见的，应当否决全部投标。</w:t>
      </w:r>
      <w:r>
        <w:rPr>
          <w:rFonts w:hint="eastAsia" w:ascii="宋体" w:hAnsi="宋体" w:eastAsia="宋体" w:cs="宋体"/>
          <w:color w:val="auto"/>
          <w:kern w:val="2"/>
          <w:sz w:val="21"/>
          <w:szCs w:val="24"/>
          <w:highlight w:val="none"/>
        </w:rPr>
        <w:t>评标委员会应当在评标报告中记载论证过程和结果。</w:t>
      </w:r>
    </w:p>
    <w:p>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2.4.3评标委员会完成评标后，应当向招标人提交评标报告。</w:t>
      </w:r>
    </w:p>
    <w:p>
      <w:pPr>
        <w:widowControl/>
        <w:jc w:val="left"/>
        <w:rPr>
          <w:color w:val="auto"/>
          <w:highlight w:val="none"/>
        </w:rPr>
      </w:pPr>
    </w:p>
    <w:p>
      <w:pPr>
        <w:widowControl/>
        <w:jc w:val="left"/>
        <w:rPr>
          <w:color w:val="auto"/>
          <w:highlight w:val="none"/>
        </w:rPr>
      </w:pPr>
      <w:r>
        <w:rPr>
          <w:color w:val="auto"/>
          <w:highlight w:val="none"/>
        </w:rPr>
        <w:br w:type="page"/>
      </w:r>
    </w:p>
    <w:bookmarkEnd w:id="557"/>
    <w:bookmarkEnd w:id="558"/>
    <w:bookmarkEnd w:id="559"/>
    <w:bookmarkEnd w:id="560"/>
    <w:bookmarkEnd w:id="561"/>
    <w:bookmarkEnd w:id="562"/>
    <w:bookmarkEnd w:id="563"/>
    <w:bookmarkEnd w:id="564"/>
    <w:bookmarkEnd w:id="565"/>
    <w:bookmarkEnd w:id="566"/>
    <w:p>
      <w:pPr>
        <w:pStyle w:val="4"/>
        <w:jc w:val="center"/>
        <w:rPr>
          <w:color w:val="auto"/>
          <w:szCs w:val="32"/>
          <w:highlight w:val="none"/>
        </w:rPr>
      </w:pPr>
      <w:bookmarkStart w:id="780" w:name="_Toc508286138"/>
      <w:bookmarkStart w:id="781" w:name="_Toc19127"/>
      <w:bookmarkStart w:id="782" w:name="_Toc25696"/>
      <w:bookmarkStart w:id="783" w:name="_Toc18908"/>
      <w:bookmarkStart w:id="784" w:name="_Toc28181"/>
      <w:bookmarkStart w:id="785" w:name="_Toc24934"/>
      <w:bookmarkStart w:id="786" w:name="_Toc13097"/>
      <w:r>
        <w:rPr>
          <w:rFonts w:hint="eastAsia"/>
          <w:color w:val="auto"/>
          <w:szCs w:val="32"/>
          <w:highlight w:val="none"/>
        </w:rPr>
        <w:t>第四章</w:t>
      </w:r>
      <w:r>
        <w:rPr>
          <w:color w:val="auto"/>
          <w:szCs w:val="32"/>
          <w:highlight w:val="none"/>
        </w:rPr>
        <w:t xml:space="preserve"> </w:t>
      </w:r>
      <w:r>
        <w:rPr>
          <w:rFonts w:hint="eastAsia"/>
          <w:color w:val="auto"/>
          <w:szCs w:val="32"/>
          <w:highlight w:val="none"/>
        </w:rPr>
        <w:t>合同条款及格式</w:t>
      </w:r>
      <w:bookmarkEnd w:id="780"/>
      <w:bookmarkEnd w:id="781"/>
      <w:bookmarkEnd w:id="782"/>
      <w:bookmarkEnd w:id="783"/>
      <w:bookmarkEnd w:id="784"/>
      <w:bookmarkEnd w:id="785"/>
      <w:bookmarkEnd w:id="786"/>
    </w:p>
    <w:p>
      <w:pPr>
        <w:pStyle w:val="23"/>
        <w:jc w:val="center"/>
        <w:rPr>
          <w:rFonts w:ascii="Times New Roman" w:hAnsi="Times New Roman" w:eastAsia="华文中宋"/>
          <w:b/>
          <w:color w:val="auto"/>
          <w:sz w:val="52"/>
          <w:szCs w:val="52"/>
          <w:highlight w:val="none"/>
        </w:rPr>
      </w:pPr>
    </w:p>
    <w:p>
      <w:pPr>
        <w:pStyle w:val="23"/>
        <w:jc w:val="center"/>
        <w:rPr>
          <w:rFonts w:ascii="Times New Roman" w:hAnsi="Times New Roman" w:eastAsia="华文中宋"/>
          <w:b/>
          <w:color w:val="auto"/>
          <w:sz w:val="52"/>
          <w:szCs w:val="52"/>
          <w:highlight w:val="none"/>
        </w:rPr>
      </w:pPr>
    </w:p>
    <w:p>
      <w:pPr>
        <w:pStyle w:val="23"/>
        <w:jc w:val="center"/>
        <w:rPr>
          <w:rFonts w:ascii="Times New Roman" w:hAnsi="Times New Roman" w:eastAsia="华文中宋"/>
          <w:b/>
          <w:color w:val="auto"/>
          <w:sz w:val="52"/>
          <w:szCs w:val="52"/>
          <w:highlight w:val="none"/>
        </w:rPr>
      </w:pPr>
    </w:p>
    <w:p>
      <w:pPr>
        <w:widowControl/>
        <w:jc w:val="left"/>
        <w:rPr>
          <w:rFonts w:eastAsia="华文中宋"/>
          <w:b/>
          <w:color w:val="auto"/>
          <w:sz w:val="52"/>
          <w:szCs w:val="52"/>
          <w:highlight w:val="none"/>
        </w:rPr>
      </w:pPr>
      <w:r>
        <w:rPr>
          <w:rFonts w:eastAsia="华文中宋"/>
          <w:b/>
          <w:color w:val="auto"/>
          <w:sz w:val="52"/>
          <w:szCs w:val="52"/>
          <w:highlight w:val="none"/>
        </w:rPr>
        <w:br w:type="page"/>
      </w:r>
    </w:p>
    <w:p>
      <w:pPr>
        <w:jc w:val="center"/>
        <w:rPr>
          <w:rFonts w:ascii="宋体" w:hAnsi="宋体"/>
          <w:b/>
          <w:bCs/>
          <w:color w:val="auto"/>
          <w:sz w:val="48"/>
          <w:highlight w:val="none"/>
        </w:rPr>
      </w:pPr>
    </w:p>
    <w:p>
      <w:pPr>
        <w:rPr>
          <w:rFonts w:ascii="宋体" w:hAnsi="宋体"/>
          <w:b/>
          <w:bCs/>
          <w:color w:val="auto"/>
          <w:sz w:val="48"/>
          <w:highlight w:val="none"/>
        </w:rPr>
      </w:pPr>
    </w:p>
    <w:p>
      <w:pPr>
        <w:jc w:val="center"/>
        <w:rPr>
          <w:rFonts w:ascii="宋体" w:hAnsi="宋体"/>
          <w:b/>
          <w:bCs/>
          <w:color w:val="auto"/>
          <w:sz w:val="48"/>
          <w:highlight w:val="none"/>
        </w:rPr>
      </w:pPr>
    </w:p>
    <w:p>
      <w:pPr>
        <w:jc w:val="center"/>
        <w:rPr>
          <w:rFonts w:ascii="宋体" w:hAnsi="宋体"/>
          <w:b/>
          <w:bCs/>
          <w:color w:val="auto"/>
          <w:sz w:val="48"/>
          <w:szCs w:val="48"/>
          <w:highlight w:val="none"/>
        </w:rPr>
      </w:pPr>
      <w:r>
        <w:rPr>
          <w:rFonts w:hint="eastAsia" w:ascii="宋体" w:hAnsi="宋体"/>
          <w:b/>
          <w:bCs/>
          <w:color w:val="auto"/>
          <w:sz w:val="48"/>
          <w:highlight w:val="none"/>
        </w:rPr>
        <w:t>建设项目工程总承包合同</w:t>
      </w:r>
    </w:p>
    <w:p>
      <w:pPr>
        <w:jc w:val="center"/>
        <w:rPr>
          <w:rFonts w:ascii="宋体" w:hAnsi="宋体"/>
          <w:bCs/>
          <w:color w:val="auto"/>
          <w:sz w:val="28"/>
          <w:highlight w:val="none"/>
        </w:rPr>
      </w:pPr>
    </w:p>
    <w:p>
      <w:pPr>
        <w:jc w:val="center"/>
        <w:rPr>
          <w:rFonts w:ascii="宋体" w:hAnsi="宋体"/>
          <w:bCs/>
          <w:color w:val="auto"/>
          <w:sz w:val="44"/>
          <w:szCs w:val="44"/>
          <w:highlight w:val="none"/>
        </w:rPr>
      </w:pPr>
      <w:r>
        <w:rPr>
          <w:rFonts w:hint="eastAsia" w:ascii="宋体" w:hAnsi="宋体"/>
          <w:b/>
          <w:bCs/>
          <w:color w:val="auto"/>
          <w:sz w:val="44"/>
          <w:szCs w:val="44"/>
          <w:highlight w:val="none"/>
        </w:rPr>
        <w:t>（示范文本）</w:t>
      </w:r>
    </w:p>
    <w:p>
      <w:pPr>
        <w:spacing w:before="312" w:beforeLines="100" w:after="624" w:afterLines="200"/>
        <w:jc w:val="center"/>
        <w:rPr>
          <w:rFonts w:ascii="黑体" w:eastAsia="黑体"/>
          <w:b/>
          <w:color w:val="auto"/>
          <w:sz w:val="44"/>
          <w:szCs w:val="44"/>
          <w:highlight w:val="none"/>
        </w:rPr>
        <w:sectPr>
          <w:headerReference r:id="rId15" w:type="default"/>
          <w:footerReference r:id="rId17" w:type="default"/>
          <w:headerReference r:id="rId16" w:type="even"/>
          <w:footerReference r:id="rId18" w:type="even"/>
          <w:pgSz w:w="11906" w:h="16838"/>
          <w:pgMar w:top="1440" w:right="1800" w:bottom="1440" w:left="1800" w:header="851" w:footer="992" w:gutter="0"/>
          <w:cols w:space="720" w:num="1"/>
          <w:docGrid w:type="lines" w:linePitch="312" w:charSpace="0"/>
        </w:sectPr>
      </w:pPr>
    </w:p>
    <w:p>
      <w:pPr>
        <w:spacing w:before="312" w:beforeLines="100" w:after="624" w:afterLines="200"/>
        <w:jc w:val="center"/>
        <w:rPr>
          <w:rFonts w:ascii="黑体" w:eastAsia="黑体"/>
          <w:b/>
          <w:color w:val="auto"/>
          <w:sz w:val="44"/>
          <w:szCs w:val="44"/>
          <w:highlight w:val="none"/>
        </w:rPr>
      </w:pPr>
      <w:r>
        <w:rPr>
          <w:rFonts w:hint="eastAsia" w:ascii="黑体" w:eastAsia="黑体"/>
          <w:b/>
          <w:color w:val="auto"/>
          <w:sz w:val="44"/>
          <w:szCs w:val="44"/>
          <w:highlight w:val="none"/>
        </w:rPr>
        <w:t>说  明</w:t>
      </w:r>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为指导建设项目工程总承包合同当事人的签约行为，维护合同当事人的合法权益，依据《中华人民共和国民法典》、《中华人民共和国建筑法》、《中华人民共和国招标投标法》以及相关法律、法规，住房和城乡建设部、市场监管总局对《建设项目工程总承包合同示范文本（试行）》（GF-2011-0216）进行了修订，制定了《建设项目工程总承包合同（示范文本）》（GF-2020-0216）（以下简称《示范文本》）。现就有关问题说明如下：</w:t>
      </w:r>
    </w:p>
    <w:p>
      <w:pPr>
        <w:spacing w:before="100" w:beforeAutospacing="1" w:after="100" w:afterAutospacing="1" w:line="300" w:lineRule="auto"/>
        <w:ind w:firstLine="422" w:firstLineChars="200"/>
        <w:rPr>
          <w:rFonts w:ascii="黑体" w:hAnsi="宋体" w:eastAsia="黑体"/>
          <w:b/>
          <w:color w:val="auto"/>
          <w:szCs w:val="21"/>
          <w:highlight w:val="none"/>
        </w:rPr>
      </w:pPr>
      <w:r>
        <w:rPr>
          <w:rFonts w:hint="eastAsia" w:ascii="黑体" w:hAnsi="宋体" w:eastAsia="黑体"/>
          <w:b/>
          <w:color w:val="auto"/>
          <w:szCs w:val="21"/>
          <w:highlight w:val="none"/>
        </w:rPr>
        <w:t>一、《示范文本》的组成</w:t>
      </w:r>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《示范文本》由合同协议书、通用条款和专用条款三部分组成。</w:t>
      </w:r>
    </w:p>
    <w:p>
      <w:pPr>
        <w:spacing w:before="100" w:beforeAutospacing="1" w:after="100" w:afterAutospacing="1" w:line="300" w:lineRule="auto"/>
        <w:ind w:firstLine="420" w:firstLineChars="200"/>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rPr>
        <w:t>一</w:t>
      </w:r>
      <w:r>
        <w:rPr>
          <w:rFonts w:ascii="宋体" w:hAnsi="宋体"/>
          <w:color w:val="auto"/>
          <w:szCs w:val="21"/>
          <w:highlight w:val="none"/>
        </w:rPr>
        <w:t>）</w:t>
      </w:r>
      <w:r>
        <w:rPr>
          <w:rFonts w:hint="eastAsia" w:ascii="宋体" w:hAnsi="宋体"/>
          <w:color w:val="auto"/>
          <w:szCs w:val="21"/>
          <w:highlight w:val="none"/>
        </w:rPr>
        <w:t>合同协议书</w:t>
      </w:r>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示范文本》合同协议书共计11条，主要包括：工程概况、合同工期、质量标准、签约合同价与合同价格形式、工程总承包项目经理、合同文件构成、承诺、订立时间、订立地点、合同生效和合同份数，集中约定了合同当事人基本的合同权利义务。</w:t>
      </w:r>
    </w:p>
    <w:p>
      <w:pPr>
        <w:spacing w:before="100" w:beforeAutospacing="1" w:after="100" w:afterAutospacing="1" w:line="300" w:lineRule="auto"/>
        <w:ind w:firstLine="420" w:firstLineChars="200"/>
        <w:rPr>
          <w:rFonts w:ascii="宋体" w:hAnsi="宋体"/>
          <w:color w:val="auto"/>
          <w:szCs w:val="21"/>
          <w:highlight w:val="none"/>
        </w:rPr>
      </w:pPr>
      <w:bookmarkStart w:id="787" w:name="_Toc521079600"/>
      <w:r>
        <w:rPr>
          <w:rFonts w:hint="eastAsia" w:ascii="宋体" w:hAnsi="宋体"/>
          <w:color w:val="auto"/>
          <w:szCs w:val="21"/>
          <w:highlight w:val="none"/>
        </w:rPr>
        <w:t>（二）通用合同条件</w:t>
      </w:r>
      <w:bookmarkEnd w:id="787"/>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通用合同条件是合同当事人根据《中华人民共和国民法典》、《中华人民共和国建筑法》等法律法规的规定，就工程总承包项目的实施及相关事项，对合同当事人的权利义务作出的原则性约定。通用合同条件共计20条，具体条款分别为：</w:t>
      </w:r>
      <w:bookmarkStart w:id="788" w:name="_Hlk54448922"/>
      <w:r>
        <w:rPr>
          <w:rFonts w:hint="eastAsia" w:ascii="宋体" w:hAnsi="宋体"/>
          <w:color w:val="auto"/>
          <w:szCs w:val="21"/>
          <w:highlight w:val="none"/>
        </w:rPr>
        <w:t>第1条 一般约定，第2条 发包人，第3条 发包人的管理，第4条 承包人，第5条 设计，第6条 材料、工程设备，第7条 施工，第8条 工期和进度，第9条 竣工试验，第10条 验收和工程接收，第11条 缺陷责任与保修，第12条 竣工后试验，第13条 变更与调整，第14条 合同价格与支付，第15条 违约，第16条 合同解除，第17条 不可抗力，第18条 保险，第19条 索赔，第20条 争议解决。</w:t>
      </w:r>
      <w:bookmarkEnd w:id="788"/>
      <w:r>
        <w:rPr>
          <w:rFonts w:hint="eastAsia" w:ascii="宋体" w:hAnsi="宋体"/>
          <w:color w:val="auto"/>
          <w:szCs w:val="21"/>
          <w:highlight w:val="none"/>
        </w:rPr>
        <w:t>前述条款安排既考虑了现行法律法规对工程总承包活动的有关要求，也考虑了工程总承包项目管理的实际需要。</w:t>
      </w:r>
    </w:p>
    <w:p>
      <w:pPr>
        <w:spacing w:before="100" w:beforeAutospacing="1" w:after="100" w:afterAutospacing="1" w:line="300" w:lineRule="auto"/>
        <w:ind w:firstLine="420" w:firstLineChars="200"/>
        <w:rPr>
          <w:rFonts w:ascii="宋体" w:hAnsi="宋体"/>
          <w:color w:val="auto"/>
          <w:szCs w:val="21"/>
          <w:highlight w:val="none"/>
        </w:rPr>
      </w:pPr>
      <w:bookmarkStart w:id="789" w:name="_Toc521079601"/>
      <w:r>
        <w:rPr>
          <w:rFonts w:hint="eastAsia" w:ascii="宋体" w:hAnsi="宋体"/>
          <w:color w:val="auto"/>
          <w:szCs w:val="21"/>
          <w:highlight w:val="none"/>
        </w:rPr>
        <w:t>（三）专用合同条件</w:t>
      </w:r>
      <w:bookmarkEnd w:id="789"/>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专用合同条件是合同当事人根据不同建设项目的特点及具体情况，通过双方的谈判、协商对通用合同条件原则性约定细化、完善、补充、修改或另行约定的合同条件。在编写专用合同条件时，应注意以下事项：</w:t>
      </w:r>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1.专用合同条件的编号应与相应的通用合同条件的编号一致；</w:t>
      </w:r>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2.在专用合同条件中有横道线的地方，合同当事人可针对相应的通用合同条件进行细化、完善、补充、修改或另行约定；如无细化、完善、补充、修改或另行约定，则填写“无”或划“/”；</w:t>
      </w:r>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3.对于在专用合同条件中未列出的通用合同条件中的条款，合同当事人根据建设项目的具体情况认为需要进行细化、完善、补充、修改或另行约定的，可在专用合同条件中，以同一条款号增加相关条款的内容。</w:t>
      </w:r>
    </w:p>
    <w:p>
      <w:pPr>
        <w:spacing w:before="100" w:beforeAutospacing="1" w:after="100" w:afterAutospacing="1" w:line="300" w:lineRule="auto"/>
        <w:ind w:firstLine="422" w:firstLineChars="200"/>
        <w:rPr>
          <w:rFonts w:ascii="黑体" w:hAnsi="宋体" w:eastAsia="黑体"/>
          <w:b/>
          <w:color w:val="auto"/>
          <w:szCs w:val="21"/>
          <w:highlight w:val="none"/>
        </w:rPr>
      </w:pPr>
      <w:r>
        <w:rPr>
          <w:rFonts w:hint="eastAsia" w:ascii="黑体" w:hAnsi="宋体" w:eastAsia="黑体"/>
          <w:b/>
          <w:color w:val="auto"/>
          <w:szCs w:val="21"/>
          <w:highlight w:val="none"/>
        </w:rPr>
        <w:t>二、《示范文本》的适用范围</w:t>
      </w:r>
    </w:p>
    <w:p>
      <w:pPr>
        <w:spacing w:before="100" w:beforeAutospacing="1" w:after="100" w:afterAutospacing="1" w:line="300" w:lineRule="auto"/>
        <w:ind w:firstLine="420" w:firstLineChars="200"/>
        <w:rPr>
          <w:rFonts w:ascii="黑体" w:hAnsi="宋体" w:eastAsia="黑体"/>
          <w:b/>
          <w:color w:val="auto"/>
          <w:szCs w:val="21"/>
          <w:highlight w:val="none"/>
        </w:rPr>
      </w:pPr>
      <w:r>
        <w:rPr>
          <w:rFonts w:hint="eastAsia" w:ascii="宋体" w:hAnsi="宋体"/>
          <w:color w:val="auto"/>
          <w:szCs w:val="21"/>
          <w:highlight w:val="none"/>
        </w:rPr>
        <w:t>《示范文本》适用于房屋建筑和市政基础设施项目工程总承包承发包活动。</w:t>
      </w:r>
    </w:p>
    <w:p>
      <w:pPr>
        <w:spacing w:before="100" w:beforeAutospacing="1" w:after="100" w:afterAutospacing="1" w:line="300" w:lineRule="auto"/>
        <w:ind w:firstLine="422" w:firstLineChars="200"/>
        <w:rPr>
          <w:rFonts w:ascii="黑体" w:hAnsi="宋体" w:eastAsia="黑体"/>
          <w:b/>
          <w:color w:val="auto"/>
          <w:szCs w:val="21"/>
          <w:highlight w:val="none"/>
        </w:rPr>
      </w:pPr>
      <w:r>
        <w:rPr>
          <w:rFonts w:hint="eastAsia" w:ascii="黑体" w:hAnsi="宋体" w:eastAsia="黑体"/>
          <w:b/>
          <w:color w:val="auto"/>
          <w:szCs w:val="21"/>
          <w:highlight w:val="none"/>
        </w:rPr>
        <w:t>三、《示范文本》的性质</w:t>
      </w:r>
    </w:p>
    <w:p>
      <w:pPr>
        <w:spacing w:before="100" w:beforeAutospacing="1" w:after="100" w:afterAutospacing="1" w:line="300" w:lineRule="auto"/>
        <w:ind w:firstLine="420" w:firstLineChars="200"/>
        <w:rPr>
          <w:rFonts w:ascii="宋体" w:hAnsi="宋体"/>
          <w:color w:val="auto"/>
          <w:szCs w:val="21"/>
          <w:highlight w:val="none"/>
        </w:rPr>
      </w:pPr>
      <w:r>
        <w:rPr>
          <w:rFonts w:hint="eastAsia" w:ascii="宋体" w:hAnsi="宋体"/>
          <w:color w:val="auto"/>
          <w:szCs w:val="21"/>
          <w:highlight w:val="none"/>
        </w:rPr>
        <w:t>《示范文本》为推荐使用的非强制性使用文本。合同当事人可结合建设工程具体情况，参照《示范文本》订立合同，并按照法律法规和合同约定承担相应的法律责任及合同权利义务。</w:t>
      </w:r>
    </w:p>
    <w:p>
      <w:pPr>
        <w:jc w:val="center"/>
        <w:rPr>
          <w:b/>
          <w:color w:val="auto"/>
          <w:szCs w:val="21"/>
          <w:highlight w:val="none"/>
        </w:rPr>
        <w:sectPr>
          <w:footerReference r:id="rId19" w:type="default"/>
          <w:pgSz w:w="11906" w:h="16838"/>
          <w:pgMar w:top="1440" w:right="1800" w:bottom="1440" w:left="1800" w:header="851" w:footer="992" w:gutter="0"/>
          <w:cols w:space="720" w:num="1"/>
          <w:docGrid w:type="lines" w:linePitch="312" w:charSpace="0"/>
        </w:sectPr>
      </w:pPr>
    </w:p>
    <w:p>
      <w:pPr>
        <w:jc w:val="center"/>
        <w:rPr>
          <w:b/>
          <w:color w:val="auto"/>
          <w:sz w:val="32"/>
          <w:szCs w:val="32"/>
          <w:highlight w:val="none"/>
        </w:rPr>
      </w:pPr>
      <w:r>
        <w:rPr>
          <w:rFonts w:hint="eastAsia"/>
          <w:b/>
          <w:color w:val="auto"/>
          <w:sz w:val="32"/>
          <w:szCs w:val="32"/>
          <w:highlight w:val="none"/>
        </w:rPr>
        <w:t>第一部分 合同协议书</w:t>
      </w:r>
    </w:p>
    <w:p>
      <w:pPr>
        <w:spacing w:line="300" w:lineRule="auto"/>
        <w:ind w:firstLine="480" w:firstLineChars="200"/>
        <w:rPr>
          <w:rFonts w:ascii="宋体" w:hAnsi="宋体"/>
          <w:color w:val="auto"/>
          <w:sz w:val="24"/>
          <w:highlight w:val="none"/>
        </w:rPr>
      </w:pPr>
    </w:p>
    <w:p>
      <w:pPr>
        <w:spacing w:line="300" w:lineRule="auto"/>
        <w:ind w:firstLine="480" w:firstLineChars="200"/>
        <w:rPr>
          <w:rFonts w:ascii="宋体" w:hAnsi="宋体"/>
          <w:color w:val="auto"/>
          <w:sz w:val="24"/>
          <w:highlight w:val="none"/>
        </w:rPr>
      </w:pPr>
    </w:p>
    <w:p>
      <w:pPr>
        <w:spacing w:line="360" w:lineRule="auto"/>
        <w:rPr>
          <w:rFonts w:ascii="宋体" w:hAnsi="宋体" w:cs="宋体"/>
          <w:color w:val="auto"/>
          <w:szCs w:val="21"/>
          <w:highlight w:val="none"/>
          <w:u w:val="single"/>
        </w:rPr>
      </w:pPr>
      <w:r>
        <w:rPr>
          <w:rFonts w:hint="eastAsia" w:ascii="宋体" w:hAnsi="宋体" w:cs="宋体"/>
          <w:b/>
          <w:bCs/>
          <w:color w:val="auto"/>
          <w:szCs w:val="21"/>
          <w:highlight w:val="none"/>
        </w:rPr>
        <w:t>发包人（全称）：</w:t>
      </w:r>
      <w:r>
        <w:rPr>
          <w:rFonts w:hint="eastAsia" w:ascii="宋体" w:hAnsi="宋体" w:cs="宋体"/>
          <w:b/>
          <w:color w:val="auto"/>
          <w:szCs w:val="21"/>
          <w:highlight w:val="none"/>
        </w:rPr>
        <w:t>_____________________________</w:t>
      </w:r>
    </w:p>
    <w:p>
      <w:pPr>
        <w:spacing w:line="360" w:lineRule="auto"/>
        <w:rPr>
          <w:rFonts w:ascii="宋体" w:hAnsi="宋体" w:cs="宋体"/>
          <w:color w:val="auto"/>
          <w:szCs w:val="21"/>
          <w:highlight w:val="none"/>
          <w:u w:val="single"/>
        </w:rPr>
      </w:pPr>
      <w:r>
        <w:rPr>
          <w:rFonts w:hint="eastAsia" w:ascii="宋体" w:hAnsi="宋体" w:cs="宋体"/>
          <w:b/>
          <w:bCs/>
          <w:color w:val="auto"/>
          <w:szCs w:val="21"/>
          <w:highlight w:val="none"/>
        </w:rPr>
        <w:t>承包人（全称）：</w:t>
      </w:r>
      <w:r>
        <w:rPr>
          <w:rFonts w:hint="eastAsia" w:ascii="宋体" w:hAnsi="宋体" w:cs="宋体"/>
          <w:b/>
          <w:color w:val="auto"/>
          <w:szCs w:val="21"/>
          <w:highlight w:val="none"/>
        </w:rPr>
        <w:t>_____________________________</w:t>
      </w:r>
    </w:p>
    <w:p>
      <w:pPr>
        <w:spacing w:line="300" w:lineRule="auto"/>
        <w:ind w:firstLine="480" w:firstLineChars="200"/>
        <w:rPr>
          <w:rFonts w:ascii="宋体" w:hAnsi="宋体"/>
          <w:color w:val="auto"/>
          <w:sz w:val="24"/>
          <w:highlight w:val="none"/>
          <w:u w:val="single"/>
        </w:rPr>
      </w:pPr>
    </w:p>
    <w:p>
      <w:pPr>
        <w:spacing w:line="300" w:lineRule="auto"/>
        <w:ind w:firstLine="420" w:firstLineChars="200"/>
        <w:rPr>
          <w:rFonts w:ascii="宋体" w:hAnsi="宋体"/>
          <w:color w:val="auto"/>
          <w:szCs w:val="21"/>
          <w:highlight w:val="none"/>
        </w:rPr>
      </w:pPr>
      <w:r>
        <w:rPr>
          <w:rFonts w:hint="eastAsia" w:ascii="宋体" w:hAnsi="宋体"/>
          <w:color w:val="auto"/>
          <w:szCs w:val="21"/>
          <w:highlight w:val="none"/>
        </w:rPr>
        <w:t>依照《中华人民共和国民法典》、《中华人民共和国建筑法》及相关法律、行政法规，遵循平等、自愿、公平和诚信原则，合同双方就</w:t>
      </w:r>
      <w:r>
        <w:rPr>
          <w:rFonts w:hint="eastAsia" w:ascii="宋体" w:hAnsi="宋体" w:cs="宋体"/>
          <w:color w:val="auto"/>
          <w:szCs w:val="21"/>
          <w:highlight w:val="none"/>
          <w:u w:val="single"/>
        </w:rPr>
        <w:t xml:space="preserve">               </w:t>
      </w:r>
      <w:r>
        <w:rPr>
          <w:rFonts w:hint="eastAsia" w:ascii="宋体" w:hAnsi="宋体"/>
          <w:color w:val="auto"/>
          <w:szCs w:val="21"/>
          <w:highlight w:val="none"/>
        </w:rPr>
        <w:t>项目工程总承包事宜经协商一致，共同达成如下协议。</w:t>
      </w:r>
    </w:p>
    <w:p>
      <w:pPr>
        <w:numPr>
          <w:ilvl w:val="0"/>
          <w:numId w:val="12"/>
        </w:numPr>
        <w:spacing w:before="120" w:beforeLines="50" w:after="120" w:afterLines="50"/>
        <w:ind w:left="482"/>
        <w:rPr>
          <w:rFonts w:ascii="宋体" w:hAnsi="宋体"/>
          <w:b/>
          <w:color w:val="auto"/>
          <w:szCs w:val="21"/>
          <w:highlight w:val="none"/>
        </w:rPr>
      </w:pPr>
      <w:r>
        <w:rPr>
          <w:rFonts w:hint="eastAsia" w:ascii="宋体" w:hAnsi="宋体"/>
          <w:b/>
          <w:color w:val="auto"/>
          <w:szCs w:val="21"/>
          <w:highlight w:val="none"/>
        </w:rPr>
        <w:t>工程概况</w:t>
      </w:r>
    </w:p>
    <w:p>
      <w:pPr>
        <w:ind w:firstLine="808" w:firstLineChars="385"/>
        <w:rPr>
          <w:rFonts w:ascii="仿宋_GB2312" w:eastAsia="仿宋_GB2312"/>
          <w:color w:val="auto"/>
          <w:sz w:val="30"/>
          <w:szCs w:val="30"/>
          <w:highlight w:val="none"/>
        </w:rPr>
      </w:pPr>
      <w:r>
        <w:rPr>
          <w:rFonts w:hint="eastAsia" w:ascii="宋体" w:hAnsi="宋体"/>
          <w:color w:val="auto"/>
          <w:szCs w:val="21"/>
          <w:highlight w:val="none"/>
        </w:rPr>
        <w:t>1. 工程名称：</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ind w:firstLine="840" w:firstLineChars="400"/>
        <w:rPr>
          <w:rFonts w:ascii="仿宋_GB2312" w:eastAsia="仿宋_GB2312"/>
          <w:color w:val="auto"/>
          <w:sz w:val="30"/>
          <w:szCs w:val="30"/>
          <w:highlight w:val="none"/>
        </w:rPr>
      </w:pPr>
      <w:r>
        <w:rPr>
          <w:rFonts w:hint="eastAsia" w:ascii="宋体" w:hAnsi="宋体"/>
          <w:color w:val="auto"/>
          <w:szCs w:val="21"/>
          <w:highlight w:val="none"/>
        </w:rPr>
        <w:t>2. 工程地点：</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ind w:firstLine="840" w:firstLineChars="400"/>
        <w:rPr>
          <w:rFonts w:ascii="仿宋_GB2312" w:eastAsia="仿宋_GB2312"/>
          <w:color w:val="auto"/>
          <w:sz w:val="30"/>
          <w:szCs w:val="30"/>
          <w:highlight w:val="none"/>
        </w:rPr>
      </w:pPr>
      <w:r>
        <w:rPr>
          <w:rFonts w:hint="eastAsia" w:ascii="宋体" w:hAnsi="宋体"/>
          <w:color w:val="auto"/>
          <w:szCs w:val="21"/>
          <w:highlight w:val="none"/>
        </w:rPr>
        <w:t>3. 工程审批、核准或备案文号：</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ind w:firstLine="840" w:firstLineChars="400"/>
        <w:rPr>
          <w:rFonts w:ascii="仿宋_GB2312" w:eastAsia="仿宋_GB2312"/>
          <w:color w:val="auto"/>
          <w:sz w:val="30"/>
          <w:szCs w:val="30"/>
          <w:highlight w:val="none"/>
        </w:rPr>
      </w:pPr>
      <w:r>
        <w:rPr>
          <w:rFonts w:hint="eastAsia" w:ascii="宋体" w:hAnsi="宋体"/>
          <w:color w:val="auto"/>
          <w:szCs w:val="21"/>
          <w:highlight w:val="none"/>
        </w:rPr>
        <w:t>4. 资金来源：</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ind w:firstLine="840" w:firstLineChars="400"/>
        <w:rPr>
          <w:rFonts w:ascii="仿宋_GB2312" w:eastAsia="仿宋_GB2312"/>
          <w:color w:val="auto"/>
          <w:sz w:val="30"/>
          <w:szCs w:val="30"/>
          <w:highlight w:val="none"/>
        </w:rPr>
      </w:pPr>
      <w:r>
        <w:rPr>
          <w:rFonts w:hint="eastAsia" w:ascii="宋体" w:hAnsi="宋体"/>
          <w:color w:val="auto"/>
          <w:szCs w:val="21"/>
          <w:highlight w:val="none"/>
        </w:rPr>
        <w:t>5. 工程内容及规模：</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ind w:firstLine="840" w:firstLineChars="400"/>
        <w:rPr>
          <w:rFonts w:ascii="宋体" w:hAnsi="宋体"/>
          <w:color w:val="auto"/>
          <w:szCs w:val="21"/>
          <w:highlight w:val="none"/>
        </w:rPr>
      </w:pPr>
      <w:r>
        <w:rPr>
          <w:rFonts w:hint="eastAsia" w:ascii="宋体" w:hAnsi="宋体"/>
          <w:color w:val="auto"/>
          <w:szCs w:val="21"/>
          <w:highlight w:val="none"/>
        </w:rPr>
        <w:t>6. 工程承包范围：</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rPr>
          <w:color w:val="auto"/>
          <w:highlight w:val="none"/>
        </w:rPr>
      </w:pPr>
      <w:r>
        <w:rPr>
          <w:rFonts w:hint="eastAsia"/>
          <w:color w:val="auto"/>
          <w:highlight w:val="none"/>
        </w:rPr>
        <w:t xml:space="preserve">     </w:t>
      </w:r>
      <w:bookmarkStart w:id="790" w:name="_Toc54862166"/>
      <w:r>
        <w:rPr>
          <w:rFonts w:hint="eastAsia"/>
          <w:b/>
          <w:bCs/>
          <w:color w:val="auto"/>
          <w:highlight w:val="none"/>
        </w:rPr>
        <w:t>二、合同工期</w:t>
      </w:r>
      <w:bookmarkEnd w:id="790"/>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计划开始工作日期：</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计划开始现场施工日期：</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计划竣工日期：</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工期总日历天数：</w:t>
      </w:r>
      <w:r>
        <w:rPr>
          <w:rFonts w:hint="eastAsia" w:ascii="宋体" w:hAnsi="宋体"/>
          <w:color w:val="auto"/>
          <w:szCs w:val="21"/>
          <w:highlight w:val="none"/>
          <w:u w:val="single"/>
        </w:rPr>
        <w:t xml:space="preserve">        </w:t>
      </w:r>
      <w:r>
        <w:rPr>
          <w:rFonts w:hint="eastAsia" w:ascii="宋体" w:hAnsi="宋体"/>
          <w:color w:val="auto"/>
          <w:szCs w:val="21"/>
          <w:highlight w:val="none"/>
        </w:rPr>
        <w:t>天，工期总日历天数与根据前述计划日期计算的工期天数不一致的，以工期总日历天数为准。</w:t>
      </w:r>
    </w:p>
    <w:p>
      <w:pPr>
        <w:spacing w:before="120" w:beforeLines="50" w:after="120" w:afterLines="50"/>
        <w:ind w:firstLine="632" w:firstLineChars="300"/>
        <w:rPr>
          <w:rFonts w:ascii="宋体" w:hAnsi="宋体"/>
          <w:color w:val="auto"/>
          <w:szCs w:val="21"/>
          <w:highlight w:val="none"/>
        </w:rPr>
      </w:pPr>
      <w:bookmarkStart w:id="791" w:name="_Toc54862167"/>
      <w:r>
        <w:rPr>
          <w:rFonts w:hint="eastAsia" w:ascii="宋体" w:hAnsi="宋体"/>
          <w:b/>
          <w:color w:val="auto"/>
          <w:szCs w:val="21"/>
          <w:highlight w:val="none"/>
        </w:rPr>
        <w:t>三、质量标准</w:t>
      </w:r>
      <w:bookmarkEnd w:id="791"/>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工程质量标准：                                。</w:t>
      </w:r>
    </w:p>
    <w:p>
      <w:pPr>
        <w:spacing w:before="120" w:beforeLines="50" w:after="120" w:afterLines="50"/>
        <w:ind w:firstLine="632" w:firstLineChars="300"/>
        <w:rPr>
          <w:rFonts w:ascii="宋体" w:hAnsi="宋体"/>
          <w:b/>
          <w:color w:val="auto"/>
          <w:szCs w:val="21"/>
          <w:highlight w:val="none"/>
        </w:rPr>
      </w:pPr>
      <w:bookmarkStart w:id="792" w:name="_Toc54862168"/>
      <w:r>
        <w:rPr>
          <w:rFonts w:hint="eastAsia" w:ascii="宋体" w:hAnsi="宋体"/>
          <w:b/>
          <w:color w:val="auto"/>
          <w:szCs w:val="21"/>
          <w:highlight w:val="none"/>
        </w:rPr>
        <w:t>四、签约合同价与合同价格形式</w:t>
      </w:r>
      <w:bookmarkEnd w:id="792"/>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1. 签约合同价（含税）为：</w:t>
      </w:r>
    </w:p>
    <w:p>
      <w:pPr>
        <w:ind w:firstLine="600"/>
        <w:rPr>
          <w:rFonts w:ascii="宋体" w:hAnsi="宋体"/>
          <w:color w:val="auto"/>
          <w:szCs w:val="21"/>
          <w:highlight w:val="none"/>
        </w:rPr>
      </w:pPr>
      <w:r>
        <w:rPr>
          <w:rFonts w:hint="eastAsia" w:ascii="宋体" w:hAnsi="宋体"/>
          <w:color w:val="auto"/>
          <w:szCs w:val="21"/>
          <w:highlight w:val="none"/>
        </w:rPr>
        <w:t xml:space="preserve">人民币（大写) </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 xml:space="preserve">具体构成详见价格清单。其中：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（1） 设计费（含税）：</w:t>
      </w:r>
    </w:p>
    <w:p>
      <w:pPr>
        <w:ind w:firstLine="600"/>
        <w:rPr>
          <w:rFonts w:ascii="仿宋_GB2312" w:eastAsia="仿宋_GB2312"/>
          <w:color w:val="auto"/>
          <w:sz w:val="30"/>
          <w:szCs w:val="30"/>
          <w:highlight w:val="none"/>
        </w:rPr>
      </w:pPr>
      <w:r>
        <w:rPr>
          <w:rFonts w:hint="eastAsia" w:ascii="宋体" w:hAnsi="宋体"/>
          <w:color w:val="auto"/>
          <w:szCs w:val="21"/>
          <w:highlight w:val="none"/>
        </w:rPr>
        <w:t>人民币（大写)</w:t>
      </w:r>
      <w:r>
        <w:rPr>
          <w:rFonts w:hint="eastAsia" w:ascii="仿宋_GB2312" w:eastAsia="仿宋_GB2312"/>
          <w:color w:val="auto"/>
          <w:sz w:val="30"/>
          <w:szCs w:val="30"/>
          <w:highlight w:val="none"/>
        </w:rPr>
        <w:t xml:space="preserve"> </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元）；适用税率：</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%，税金为人民币（大写)</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元）；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（2） 设备购置费（含税）：</w:t>
      </w:r>
    </w:p>
    <w:p>
      <w:pPr>
        <w:ind w:firstLine="600"/>
        <w:rPr>
          <w:rFonts w:ascii="仿宋_GB2312" w:eastAsia="仿宋_GB2312"/>
          <w:color w:val="auto"/>
          <w:sz w:val="30"/>
          <w:szCs w:val="30"/>
          <w:highlight w:val="none"/>
        </w:rPr>
      </w:pPr>
      <w:r>
        <w:rPr>
          <w:rFonts w:hint="eastAsia" w:ascii="宋体" w:hAnsi="宋体"/>
          <w:color w:val="auto"/>
          <w:szCs w:val="21"/>
          <w:highlight w:val="none"/>
        </w:rPr>
        <w:t xml:space="preserve">人民币（大写) </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hint="eastAsia" w:ascii="仿宋_GB2312" w:eastAsia="仿宋_GB2312"/>
          <w:color w:val="auto"/>
          <w:sz w:val="30"/>
          <w:szCs w:val="30"/>
          <w:highlight w:val="none"/>
        </w:rPr>
        <w:t>；</w:t>
      </w:r>
      <w:r>
        <w:rPr>
          <w:rFonts w:hint="eastAsia" w:ascii="宋体" w:hAnsi="宋体"/>
          <w:color w:val="auto"/>
          <w:szCs w:val="21"/>
          <w:highlight w:val="none"/>
        </w:rPr>
        <w:t>适用税率：</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%，税金为人民币（大写)</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hint="eastAsia" w:ascii="仿宋_GB2312" w:eastAsia="仿宋_GB2312"/>
          <w:color w:val="auto"/>
          <w:sz w:val="30"/>
          <w:szCs w:val="30"/>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（3） 建筑安装工程费（含税）：</w:t>
      </w:r>
    </w:p>
    <w:p>
      <w:pPr>
        <w:ind w:firstLine="600"/>
        <w:rPr>
          <w:rFonts w:ascii="仿宋_GB2312" w:eastAsia="仿宋_GB2312"/>
          <w:color w:val="auto"/>
          <w:sz w:val="30"/>
          <w:szCs w:val="30"/>
          <w:highlight w:val="none"/>
        </w:rPr>
      </w:pPr>
      <w:r>
        <w:rPr>
          <w:rFonts w:hint="eastAsia" w:ascii="宋体" w:hAnsi="宋体"/>
          <w:color w:val="auto"/>
          <w:szCs w:val="21"/>
          <w:highlight w:val="none"/>
        </w:rPr>
        <w:t>人民币（大写)</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hint="eastAsia" w:ascii="仿宋_GB2312" w:eastAsia="仿宋_GB2312"/>
          <w:color w:val="auto"/>
          <w:sz w:val="30"/>
          <w:szCs w:val="30"/>
          <w:highlight w:val="none"/>
        </w:rPr>
        <w:t>；</w:t>
      </w:r>
      <w:r>
        <w:rPr>
          <w:rFonts w:hint="eastAsia" w:ascii="宋体" w:hAnsi="宋体"/>
          <w:color w:val="auto"/>
          <w:szCs w:val="21"/>
          <w:highlight w:val="none"/>
        </w:rPr>
        <w:t>适用税率：</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%，税金为人民币（大写)</w:t>
      </w:r>
      <w:r>
        <w:rPr>
          <w:rFonts w:hint="eastAsia" w:ascii="仿宋_GB2312" w:eastAsia="仿宋_GB2312"/>
          <w:color w:val="auto"/>
          <w:sz w:val="30"/>
          <w:szCs w:val="30"/>
          <w:highlight w:val="none"/>
          <w:u w:val="single"/>
        </w:rPr>
        <w:t xml:space="preserve"> </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hint="eastAsia" w:ascii="仿宋_GB2312" w:eastAsia="仿宋_GB2312"/>
          <w:color w:val="auto"/>
          <w:sz w:val="30"/>
          <w:szCs w:val="30"/>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（4） 暂估价（含税）：</w:t>
      </w:r>
    </w:p>
    <w:p>
      <w:pPr>
        <w:ind w:firstLine="600"/>
        <w:rPr>
          <w:rFonts w:ascii="仿宋_GB2312" w:eastAsia="仿宋_GB2312"/>
          <w:color w:val="auto"/>
          <w:sz w:val="30"/>
          <w:szCs w:val="30"/>
          <w:highlight w:val="none"/>
        </w:rPr>
      </w:pPr>
      <w:r>
        <w:rPr>
          <w:rFonts w:hint="eastAsia" w:ascii="宋体" w:hAnsi="宋体"/>
          <w:color w:val="auto"/>
          <w:szCs w:val="21"/>
          <w:highlight w:val="none"/>
        </w:rPr>
        <w:t xml:space="preserve">人民币（大写) </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（5） 暂列金额（含税）：</w:t>
      </w:r>
    </w:p>
    <w:p>
      <w:pPr>
        <w:ind w:firstLine="600"/>
        <w:rPr>
          <w:rFonts w:ascii="仿宋_GB2312" w:eastAsia="仿宋_GB2312"/>
          <w:color w:val="auto"/>
          <w:sz w:val="30"/>
          <w:szCs w:val="30"/>
          <w:highlight w:val="none"/>
        </w:rPr>
      </w:pPr>
      <w:r>
        <w:rPr>
          <w:rFonts w:hint="eastAsia" w:ascii="宋体" w:hAnsi="宋体"/>
          <w:color w:val="auto"/>
          <w:szCs w:val="21"/>
          <w:highlight w:val="none"/>
        </w:rPr>
        <w:t>人民币（大写)</w:t>
      </w:r>
      <w:r>
        <w:rPr>
          <w:rFonts w:ascii="仿宋_GB2312" w:eastAsia="仿宋_GB2312"/>
          <w:color w:val="auto"/>
          <w:sz w:val="30"/>
          <w:szCs w:val="30"/>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（6） 双方约定的其他费用（含税）：</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人民币（大写)</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元）；适用税率：</w:t>
      </w:r>
      <w:r>
        <w:rPr>
          <w:rFonts w:hint="eastAsia" w:ascii="宋体" w:hAnsi="宋体"/>
          <w:color w:val="auto"/>
          <w:szCs w:val="21"/>
          <w:highlight w:val="none"/>
          <w:u w:val="single"/>
        </w:rPr>
        <w:t xml:space="preserve">         </w:t>
      </w:r>
      <w:r>
        <w:rPr>
          <w:rFonts w:hint="eastAsia" w:ascii="宋体" w:hAnsi="宋体"/>
          <w:color w:val="auto"/>
          <w:szCs w:val="21"/>
          <w:highlight w:val="none"/>
        </w:rPr>
        <w:t>%，税金为人民币（大写)</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2. 合同价格形式：</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合同价格形式为总价合同，除根据合同约定的在工程实施过程中需进行增减的款项外，合同价格不予调整，但合同当事人另有约定的除外。</w:t>
      </w:r>
    </w:p>
    <w:p>
      <w:pPr>
        <w:spacing w:before="120" w:beforeLines="50" w:after="120" w:afterLines="50"/>
        <w:ind w:firstLine="630" w:firstLineChars="300"/>
        <w:rPr>
          <w:rFonts w:ascii="仿宋_GB2312" w:eastAsia="仿宋_GB2312"/>
          <w:color w:val="auto"/>
          <w:sz w:val="30"/>
          <w:szCs w:val="30"/>
          <w:highlight w:val="none"/>
        </w:rPr>
      </w:pPr>
      <w:r>
        <w:rPr>
          <w:rFonts w:hint="eastAsia" w:ascii="宋体" w:hAnsi="宋体"/>
          <w:color w:val="auto"/>
          <w:szCs w:val="21"/>
          <w:highlight w:val="none"/>
        </w:rPr>
        <w:t>合同当事人对合同价格形式的其他约定：</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spacing w:before="120" w:beforeLines="50" w:after="120" w:afterLines="50"/>
        <w:ind w:firstLine="632" w:firstLineChars="300"/>
        <w:rPr>
          <w:rFonts w:ascii="宋体" w:hAnsi="宋体"/>
          <w:b/>
          <w:color w:val="auto"/>
          <w:szCs w:val="21"/>
          <w:highlight w:val="none"/>
        </w:rPr>
      </w:pPr>
      <w:bookmarkStart w:id="793" w:name="_Toc54862169"/>
      <w:r>
        <w:rPr>
          <w:rFonts w:hint="eastAsia" w:ascii="宋体" w:hAnsi="宋体"/>
          <w:b/>
          <w:color w:val="auto"/>
          <w:szCs w:val="21"/>
          <w:highlight w:val="none"/>
        </w:rPr>
        <w:t>五、工程总承包项目经理</w:t>
      </w:r>
      <w:bookmarkEnd w:id="793"/>
    </w:p>
    <w:p>
      <w:pPr>
        <w:ind w:firstLine="600"/>
        <w:rPr>
          <w:rFonts w:ascii="仿宋_GB2312" w:eastAsia="仿宋_GB2312"/>
          <w:color w:val="auto"/>
          <w:sz w:val="30"/>
          <w:szCs w:val="30"/>
          <w:highlight w:val="none"/>
        </w:rPr>
      </w:pPr>
      <w:r>
        <w:rPr>
          <w:rFonts w:hint="eastAsia" w:ascii="宋体" w:hAnsi="宋体"/>
          <w:color w:val="auto"/>
          <w:szCs w:val="21"/>
          <w:highlight w:val="none"/>
        </w:rPr>
        <w:t>工程总承包项目经理：</w:t>
      </w:r>
      <w:r>
        <w:rPr>
          <w:rFonts w:ascii="仿宋_GB2312" w:eastAsia="仿宋_GB2312"/>
          <w:color w:val="auto"/>
          <w:sz w:val="30"/>
          <w:szCs w:val="30"/>
          <w:highlight w:val="none"/>
          <w:u w:val="single"/>
        </w:rPr>
        <w:t xml:space="preserve">                              </w:t>
      </w:r>
      <w:r>
        <w:rPr>
          <w:rFonts w:hint="eastAsia" w:ascii="仿宋_GB2312" w:eastAsia="仿宋_GB2312"/>
          <w:color w:val="auto"/>
          <w:sz w:val="30"/>
          <w:szCs w:val="30"/>
          <w:highlight w:val="none"/>
        </w:rPr>
        <w:t>。</w:t>
      </w:r>
    </w:p>
    <w:p>
      <w:pPr>
        <w:spacing w:before="120" w:beforeLines="50" w:after="120" w:afterLines="50"/>
        <w:ind w:firstLine="632" w:firstLineChars="300"/>
        <w:rPr>
          <w:rFonts w:ascii="宋体" w:hAnsi="宋体"/>
          <w:b/>
          <w:color w:val="auto"/>
          <w:szCs w:val="21"/>
          <w:highlight w:val="none"/>
        </w:rPr>
      </w:pPr>
      <w:bookmarkStart w:id="794" w:name="_Toc54862170"/>
      <w:r>
        <w:rPr>
          <w:rFonts w:hint="eastAsia" w:ascii="宋体" w:hAnsi="宋体"/>
          <w:b/>
          <w:color w:val="auto"/>
          <w:szCs w:val="21"/>
          <w:highlight w:val="none"/>
        </w:rPr>
        <w:t>六、合同文件构成</w:t>
      </w:r>
      <w:bookmarkEnd w:id="794"/>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 xml:space="preserve">本协议书与下列文件一起构成合同文件：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（1） 中标通知书（如果有）；</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（2） 投标函及投标函附录（如果有）；</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（3） 专用合同条件及《发包人要求》等附件；</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（4） 通用合同条件；</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 xml:space="preserve">（5） 承包人建议书；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（6） 价格清单；</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（7） 双方约定的其他合同文件。</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上述各项合同文件包括双方就该项合同文件所作出的补充和修改，属于同一类内容的合同文件应以最新签署的为准。专用合同条件及其附件须经合同当事人签字或盖章。</w:t>
      </w:r>
    </w:p>
    <w:p>
      <w:pPr>
        <w:spacing w:before="120" w:beforeLines="50" w:after="120" w:afterLines="50"/>
        <w:ind w:firstLine="632" w:firstLineChars="300"/>
        <w:rPr>
          <w:rFonts w:ascii="宋体" w:hAnsi="宋体"/>
          <w:b/>
          <w:color w:val="auto"/>
          <w:szCs w:val="21"/>
          <w:highlight w:val="none"/>
        </w:rPr>
      </w:pPr>
      <w:bookmarkStart w:id="795" w:name="_Toc54862171"/>
      <w:r>
        <w:rPr>
          <w:rFonts w:hint="eastAsia" w:ascii="宋体" w:hAnsi="宋体"/>
          <w:b/>
          <w:color w:val="auto"/>
          <w:szCs w:val="21"/>
          <w:highlight w:val="none"/>
        </w:rPr>
        <w:t>七、承诺</w:t>
      </w:r>
      <w:bookmarkEnd w:id="795"/>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1. 发包人承诺按照法律规定履行项目审批手续、筹集工程建设资金并按照合同约定的期限和方式支付合同价款。</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2. 承包人承诺按照法律规定及合同约定组织完成工程的设计、采购和施工等工作，确保工程质量和安全，不进行转包及违法分包，并在缺陷责任期及保修期内承担相应的工程维修责任。</w:t>
      </w:r>
    </w:p>
    <w:p>
      <w:pPr>
        <w:spacing w:before="120" w:beforeLines="50" w:after="120" w:afterLines="50"/>
        <w:ind w:firstLine="632" w:firstLineChars="300"/>
        <w:rPr>
          <w:rFonts w:ascii="宋体" w:hAnsi="宋体"/>
          <w:b/>
          <w:color w:val="auto"/>
          <w:szCs w:val="21"/>
          <w:highlight w:val="none"/>
        </w:rPr>
      </w:pPr>
      <w:bookmarkStart w:id="796" w:name="_Toc54862172"/>
      <w:r>
        <w:rPr>
          <w:rFonts w:hint="eastAsia" w:ascii="宋体" w:hAnsi="宋体"/>
          <w:b/>
          <w:color w:val="auto"/>
          <w:szCs w:val="21"/>
          <w:highlight w:val="none"/>
        </w:rPr>
        <w:t>八、订立时间</w:t>
      </w:r>
      <w:bookmarkEnd w:id="796"/>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本合同于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日订立。</w:t>
      </w:r>
    </w:p>
    <w:p>
      <w:pPr>
        <w:spacing w:before="120" w:beforeLines="50" w:after="120" w:afterLines="50"/>
        <w:ind w:firstLine="632" w:firstLineChars="300"/>
        <w:rPr>
          <w:rFonts w:ascii="宋体" w:hAnsi="宋体"/>
          <w:b/>
          <w:color w:val="auto"/>
          <w:szCs w:val="21"/>
          <w:highlight w:val="none"/>
        </w:rPr>
      </w:pPr>
      <w:bookmarkStart w:id="797" w:name="_Toc54862173"/>
      <w:r>
        <w:rPr>
          <w:rFonts w:hint="eastAsia" w:ascii="宋体" w:hAnsi="宋体"/>
          <w:b/>
          <w:color w:val="auto"/>
          <w:szCs w:val="21"/>
          <w:highlight w:val="none"/>
        </w:rPr>
        <w:t>九、订立地点</w:t>
      </w:r>
      <w:bookmarkEnd w:id="797"/>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本合同在</w:t>
      </w:r>
      <w:r>
        <w:rPr>
          <w:rFonts w:hint="eastAsia" w:ascii="宋体" w:hAnsi="宋体"/>
          <w:color w:val="auto"/>
          <w:szCs w:val="21"/>
          <w:highlight w:val="none"/>
          <w:u w:val="single"/>
        </w:rPr>
        <w:t xml:space="preserve">                        </w:t>
      </w:r>
      <w:r>
        <w:rPr>
          <w:rFonts w:hint="eastAsia" w:ascii="宋体" w:hAnsi="宋体"/>
          <w:color w:val="auto"/>
          <w:szCs w:val="21"/>
          <w:highlight w:val="none"/>
        </w:rPr>
        <w:t>订立。</w:t>
      </w:r>
    </w:p>
    <w:p>
      <w:pPr>
        <w:spacing w:before="120" w:beforeLines="50" w:after="120" w:afterLines="50"/>
        <w:ind w:firstLine="632" w:firstLineChars="300"/>
        <w:rPr>
          <w:rFonts w:ascii="宋体" w:hAnsi="宋体"/>
          <w:b/>
          <w:color w:val="auto"/>
          <w:szCs w:val="21"/>
          <w:highlight w:val="none"/>
        </w:rPr>
      </w:pPr>
      <w:bookmarkStart w:id="798" w:name="_Toc54862174"/>
      <w:r>
        <w:rPr>
          <w:rFonts w:hint="eastAsia" w:ascii="宋体" w:hAnsi="宋体"/>
          <w:b/>
          <w:color w:val="auto"/>
          <w:szCs w:val="21"/>
          <w:highlight w:val="none"/>
        </w:rPr>
        <w:t>十、合同生效</w:t>
      </w:r>
      <w:bookmarkEnd w:id="798"/>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本合同经双方签字或盖章后成立，并自</w:t>
      </w:r>
      <w:r>
        <w:rPr>
          <w:rFonts w:hint="eastAsia" w:ascii="宋体" w:hAnsi="宋体"/>
          <w:color w:val="auto"/>
          <w:szCs w:val="21"/>
          <w:highlight w:val="none"/>
          <w:u w:val="single"/>
        </w:rPr>
        <w:t xml:space="preserve">            </w:t>
      </w:r>
      <w:r>
        <w:rPr>
          <w:rFonts w:hint="eastAsia" w:ascii="宋体" w:hAnsi="宋体"/>
          <w:color w:val="auto"/>
          <w:szCs w:val="21"/>
          <w:highlight w:val="none"/>
        </w:rPr>
        <w:t>生效。</w:t>
      </w:r>
    </w:p>
    <w:p>
      <w:pPr>
        <w:spacing w:before="120" w:beforeLines="50" w:after="120" w:afterLines="50"/>
        <w:ind w:firstLine="632" w:firstLineChars="300"/>
        <w:rPr>
          <w:rFonts w:ascii="宋体" w:hAnsi="宋体"/>
          <w:b/>
          <w:color w:val="auto"/>
          <w:szCs w:val="21"/>
          <w:highlight w:val="none"/>
        </w:rPr>
      </w:pPr>
      <w:bookmarkStart w:id="799" w:name="_Toc54862175"/>
      <w:r>
        <w:rPr>
          <w:rFonts w:hint="eastAsia" w:ascii="宋体" w:hAnsi="宋体"/>
          <w:b/>
          <w:color w:val="auto"/>
          <w:szCs w:val="21"/>
          <w:highlight w:val="none"/>
        </w:rPr>
        <w:t>十一、合同份数</w:t>
      </w:r>
      <w:bookmarkEnd w:id="799"/>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本合同一式</w:t>
      </w:r>
      <w:r>
        <w:rPr>
          <w:rFonts w:hint="eastAsia" w:ascii="宋体" w:hAnsi="宋体"/>
          <w:color w:val="auto"/>
          <w:szCs w:val="21"/>
          <w:highlight w:val="none"/>
          <w:u w:val="single"/>
        </w:rPr>
        <w:t xml:space="preserve">    </w:t>
      </w:r>
      <w:r>
        <w:rPr>
          <w:rFonts w:hint="eastAsia" w:ascii="宋体" w:hAnsi="宋体"/>
          <w:color w:val="auto"/>
          <w:szCs w:val="21"/>
          <w:highlight w:val="none"/>
        </w:rPr>
        <w:t>份，均具有同等法律效力，发包人执</w:t>
      </w:r>
      <w:r>
        <w:rPr>
          <w:rFonts w:hint="eastAsia" w:ascii="宋体" w:hAnsi="宋体"/>
          <w:color w:val="auto"/>
          <w:szCs w:val="21"/>
          <w:highlight w:val="none"/>
          <w:u w:val="single"/>
        </w:rPr>
        <w:t xml:space="preserve">    </w:t>
      </w:r>
      <w:r>
        <w:rPr>
          <w:rFonts w:hint="eastAsia" w:ascii="宋体" w:hAnsi="宋体"/>
          <w:color w:val="auto"/>
          <w:szCs w:val="21"/>
          <w:highlight w:val="none"/>
        </w:rPr>
        <w:t>份，承包人执</w:t>
      </w:r>
      <w:r>
        <w:rPr>
          <w:rFonts w:hint="eastAsia" w:ascii="宋体" w:hAnsi="宋体"/>
          <w:color w:val="auto"/>
          <w:szCs w:val="21"/>
          <w:highlight w:val="none"/>
          <w:u w:val="single"/>
        </w:rPr>
        <w:t xml:space="preserve">    </w:t>
      </w:r>
      <w:r>
        <w:rPr>
          <w:rFonts w:hint="eastAsia" w:ascii="宋体" w:hAnsi="宋体"/>
          <w:color w:val="auto"/>
          <w:szCs w:val="21"/>
          <w:highlight w:val="none"/>
        </w:rPr>
        <w:t>份。</w:t>
      </w:r>
    </w:p>
    <w:p>
      <w:pPr>
        <w:spacing w:before="120" w:beforeLines="50" w:after="120" w:afterLines="50"/>
        <w:rPr>
          <w:rFonts w:ascii="宋体" w:hAnsi="宋体"/>
          <w:color w:val="auto"/>
          <w:szCs w:val="21"/>
          <w:highlight w:val="none"/>
        </w:rPr>
      </w:pPr>
    </w:p>
    <w:p>
      <w:pPr>
        <w:spacing w:before="120" w:beforeLines="50" w:after="120" w:afterLines="50"/>
        <w:ind w:firstLine="630" w:firstLineChars="300"/>
        <w:rPr>
          <w:color w:val="auto"/>
          <w:szCs w:val="21"/>
          <w:highlight w:val="none"/>
        </w:rPr>
      </w:pPr>
    </w:p>
    <w:tbl>
      <w:tblPr>
        <w:tblStyle w:val="44"/>
        <w:tblpPr w:leftFromText="180" w:rightFromText="180" w:vertAnchor="text" w:horzAnchor="page" w:tblpX="1702" w:tblpY="119"/>
        <w:tblW w:w="9072" w:type="dxa"/>
        <w:tblInd w:w="0" w:type="dxa"/>
        <w:tblLayout w:type="fixed"/>
        <w:tblCellMar>
          <w:top w:w="0" w:type="dxa"/>
          <w:left w:w="108" w:type="dxa"/>
          <w:bottom w:w="0" w:type="dxa"/>
          <w:right w:w="108" w:type="dxa"/>
        </w:tblCellMar>
      </w:tblPr>
      <w:tblGrid>
        <w:gridCol w:w="4507"/>
        <w:gridCol w:w="4565"/>
      </w:tblGrid>
      <w:tr>
        <w:tblPrEx>
          <w:tblCellMar>
            <w:top w:w="0" w:type="dxa"/>
            <w:left w:w="108" w:type="dxa"/>
            <w:bottom w:w="0" w:type="dxa"/>
            <w:right w:w="108" w:type="dxa"/>
          </w:tblCellMar>
        </w:tblPrEx>
        <w:tc>
          <w:tcPr>
            <w:tcW w:w="4507" w:type="dxa"/>
            <w:shd w:val="clear" w:color="auto" w:fill="auto"/>
          </w:tcPr>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发包人：（公章）</w:t>
            </w:r>
          </w:p>
          <w:p>
            <w:pPr>
              <w:spacing w:before="120" w:beforeLines="50" w:after="120" w:afterLines="50"/>
              <w:ind w:firstLine="630" w:firstLineChars="300"/>
              <w:rPr>
                <w:rFonts w:ascii="宋体" w:hAnsi="宋体"/>
                <w:color w:val="auto"/>
                <w:szCs w:val="21"/>
                <w:highlight w:val="none"/>
              </w:rPr>
            </w:pPr>
          </w:p>
          <w:p>
            <w:pPr>
              <w:spacing w:before="120" w:beforeLines="50" w:after="120" w:afterLines="50"/>
              <w:ind w:firstLine="630" w:firstLineChars="300"/>
              <w:rPr>
                <w:rFonts w:ascii="宋体" w:hAnsi="宋体"/>
                <w:color w:val="auto"/>
                <w:szCs w:val="21"/>
                <w:highlight w:val="none"/>
              </w:rPr>
            </w:pPr>
          </w:p>
        </w:tc>
        <w:tc>
          <w:tcPr>
            <w:tcW w:w="4565" w:type="dxa"/>
            <w:shd w:val="clear" w:color="auto" w:fill="auto"/>
          </w:tcPr>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承包人：（公章）</w:t>
            </w:r>
          </w:p>
          <w:p>
            <w:pPr>
              <w:spacing w:before="120" w:beforeLines="50" w:after="120" w:afterLines="50"/>
              <w:ind w:firstLine="630" w:firstLineChars="300"/>
              <w:rPr>
                <w:rFonts w:ascii="宋体" w:hAnsi="宋体"/>
                <w:color w:val="auto"/>
                <w:szCs w:val="21"/>
                <w:highlight w:val="none"/>
              </w:rPr>
            </w:pPr>
          </w:p>
          <w:p>
            <w:pPr>
              <w:spacing w:before="120" w:beforeLines="50" w:after="120" w:afterLines="50"/>
              <w:ind w:firstLine="630" w:firstLineChars="300"/>
              <w:rPr>
                <w:rFonts w:ascii="宋体" w:hAnsi="宋体"/>
                <w:color w:val="auto"/>
                <w:szCs w:val="21"/>
                <w:highlight w:val="none"/>
              </w:rPr>
            </w:pPr>
          </w:p>
        </w:tc>
      </w:tr>
      <w:tr>
        <w:tblPrEx>
          <w:tblCellMar>
            <w:top w:w="0" w:type="dxa"/>
            <w:left w:w="108" w:type="dxa"/>
            <w:bottom w:w="0" w:type="dxa"/>
            <w:right w:w="108" w:type="dxa"/>
          </w:tblCellMar>
        </w:tblPrEx>
        <w:tc>
          <w:tcPr>
            <w:tcW w:w="4507" w:type="dxa"/>
            <w:shd w:val="clear" w:color="auto" w:fill="auto"/>
          </w:tcPr>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法定代表人或其委托代理人：</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（签字）</w:t>
            </w:r>
          </w:p>
          <w:p>
            <w:pPr>
              <w:spacing w:before="120" w:beforeLines="50" w:after="120" w:afterLines="50"/>
              <w:ind w:firstLine="630" w:firstLineChars="300"/>
              <w:rPr>
                <w:rFonts w:ascii="宋体" w:hAnsi="宋体"/>
                <w:color w:val="auto"/>
                <w:szCs w:val="21"/>
                <w:highlight w:val="none"/>
              </w:rPr>
            </w:pPr>
          </w:p>
        </w:tc>
        <w:tc>
          <w:tcPr>
            <w:tcW w:w="4565" w:type="dxa"/>
            <w:shd w:val="clear" w:color="auto" w:fill="auto"/>
          </w:tcPr>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法定代表人或其委托代理人：</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（签字）</w:t>
            </w:r>
          </w:p>
          <w:p>
            <w:pPr>
              <w:spacing w:before="120" w:beforeLines="50" w:after="120" w:afterLines="50"/>
              <w:ind w:firstLine="630" w:firstLineChars="300"/>
              <w:rPr>
                <w:rFonts w:ascii="宋体" w:hAnsi="宋体"/>
                <w:color w:val="auto"/>
                <w:szCs w:val="21"/>
                <w:highlight w:val="none"/>
              </w:rPr>
            </w:pPr>
          </w:p>
        </w:tc>
      </w:tr>
      <w:tr>
        <w:tblPrEx>
          <w:tblCellMar>
            <w:top w:w="0" w:type="dxa"/>
            <w:left w:w="108" w:type="dxa"/>
            <w:bottom w:w="0" w:type="dxa"/>
            <w:right w:w="108" w:type="dxa"/>
          </w:tblCellMar>
        </w:tblPrEx>
        <w:tc>
          <w:tcPr>
            <w:tcW w:w="4507" w:type="dxa"/>
            <w:shd w:val="clear" w:color="auto" w:fill="auto"/>
          </w:tcPr>
          <w:p>
            <w:pPr>
              <w:spacing w:before="120" w:beforeLines="50" w:after="120" w:afterLines="50"/>
              <w:ind w:firstLine="630" w:firstLineChars="300"/>
              <w:rPr>
                <w:rFonts w:ascii="宋体" w:hAnsi="宋体"/>
                <w:color w:val="auto"/>
                <w:szCs w:val="21"/>
                <w:highlight w:val="none"/>
                <w:u w:val="single"/>
              </w:rPr>
            </w:pPr>
            <w:r>
              <w:rPr>
                <w:rFonts w:hint="eastAsia" w:ascii="宋体" w:hAnsi="宋体"/>
                <w:color w:val="auto"/>
                <w:szCs w:val="21"/>
                <w:highlight w:val="none"/>
              </w:rPr>
              <w:t>统一社会信用代码：</w:t>
            </w:r>
            <w:r>
              <w:rPr>
                <w:rFonts w:hint="eastAsia" w:ascii="宋体" w:hAnsi="宋体"/>
                <w:color w:val="auto"/>
                <w:szCs w:val="21"/>
                <w:highlight w:val="none"/>
                <w:u w:val="singl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地址：</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邮政编码：</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法定代表人：</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委托代理人：</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电话：</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传真：</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电子信箱：</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开户银行：</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账号：</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tc>
        <w:tc>
          <w:tcPr>
            <w:tcW w:w="4565" w:type="dxa"/>
            <w:shd w:val="clear" w:color="auto" w:fill="auto"/>
          </w:tcPr>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统一社会信用代码：</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地址：</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邮政编码：</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法定代表人：</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委托代理人：</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电话：</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传真：</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电子信箱：</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rPr>
                <w:rFonts w:ascii="宋体" w:hAnsi="宋体"/>
                <w:color w:val="auto"/>
                <w:szCs w:val="21"/>
                <w:highlight w:val="none"/>
              </w:rPr>
            </w:pPr>
            <w:r>
              <w:rPr>
                <w:rFonts w:hint="eastAsia" w:ascii="宋体" w:hAnsi="宋体"/>
                <w:color w:val="auto"/>
                <w:szCs w:val="21"/>
                <w:highlight w:val="none"/>
              </w:rPr>
              <w:t>开户银行：</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p>
          <w:p>
            <w:pPr>
              <w:spacing w:before="120" w:beforeLines="50" w:after="120" w:afterLines="50"/>
              <w:ind w:firstLine="630" w:firstLineChars="300"/>
              <w:jc w:val="center"/>
              <w:rPr>
                <w:rFonts w:ascii="宋体" w:hAnsi="宋体"/>
                <w:color w:val="auto"/>
                <w:szCs w:val="21"/>
                <w:highlight w:val="none"/>
              </w:rPr>
            </w:pPr>
            <w:r>
              <w:rPr>
                <w:rFonts w:hint="eastAsia" w:ascii="宋体" w:hAnsi="宋体"/>
                <w:color w:val="auto"/>
                <w:szCs w:val="21"/>
                <w:highlight w:val="none"/>
              </w:rPr>
              <w:t>账号：</w:t>
            </w:r>
          </w:p>
        </w:tc>
      </w:tr>
    </w:tbl>
    <w:p>
      <w:pPr>
        <w:rPr>
          <w:color w:val="auto"/>
          <w:szCs w:val="21"/>
          <w:highlight w:val="none"/>
        </w:rPr>
      </w:pPr>
    </w:p>
    <w:p>
      <w:pPr>
        <w:rPr>
          <w:color w:val="auto"/>
          <w:szCs w:val="21"/>
          <w:highlight w:val="none"/>
        </w:rPr>
      </w:pPr>
    </w:p>
    <w:p>
      <w:pPr>
        <w:rPr>
          <w:color w:val="auto"/>
          <w:szCs w:val="21"/>
          <w:highlight w:val="none"/>
        </w:rPr>
      </w:pPr>
    </w:p>
    <w:p>
      <w:pPr>
        <w:rPr>
          <w:color w:val="auto"/>
          <w:szCs w:val="21"/>
          <w:highlight w:val="none"/>
        </w:rPr>
      </w:pPr>
    </w:p>
    <w:p>
      <w:pPr>
        <w:spacing w:before="120" w:beforeLines="50" w:after="120" w:afterLines="50"/>
        <w:ind w:firstLine="632" w:firstLineChars="300"/>
        <w:jc w:val="center"/>
        <w:rPr>
          <w:rFonts w:hint="eastAsia" w:eastAsia="宋体"/>
          <w:b/>
          <w:color w:val="auto"/>
          <w:sz w:val="32"/>
          <w:szCs w:val="32"/>
          <w:highlight w:val="none"/>
          <w:lang w:val="en-US" w:eastAsia="zh-CN"/>
        </w:rPr>
      </w:pPr>
      <w:r>
        <w:rPr>
          <w:b/>
          <w:color w:val="auto"/>
          <w:szCs w:val="21"/>
          <w:highlight w:val="none"/>
        </w:rPr>
        <w:br w:type="page"/>
      </w:r>
      <w:r>
        <w:rPr>
          <w:rFonts w:hint="eastAsia"/>
          <w:b/>
          <w:color w:val="auto"/>
          <w:sz w:val="32"/>
          <w:szCs w:val="32"/>
          <w:highlight w:val="none"/>
        </w:rPr>
        <w:t>第二部分  通用</w:t>
      </w:r>
      <w:r>
        <w:rPr>
          <w:rFonts w:hint="eastAsia"/>
          <w:b/>
          <w:color w:val="auto"/>
          <w:sz w:val="32"/>
          <w:szCs w:val="32"/>
          <w:highlight w:val="none"/>
          <w:lang w:val="en-US" w:eastAsia="zh-CN"/>
        </w:rPr>
        <w:t>合同条件</w:t>
      </w:r>
    </w:p>
    <w:p>
      <w:pPr>
        <w:jc w:val="center"/>
        <w:rPr>
          <w:b/>
          <w:color w:val="auto"/>
          <w:sz w:val="44"/>
          <w:szCs w:val="44"/>
          <w:highlight w:val="none"/>
        </w:rPr>
      </w:pPr>
    </w:p>
    <w:p>
      <w:pPr>
        <w:pStyle w:val="23"/>
        <w:jc w:val="center"/>
        <w:rPr>
          <w:rFonts w:ascii="Times New Roman" w:hAnsi="Times New Roman" w:eastAsia="华文中宋"/>
          <w:b/>
          <w:color w:val="auto"/>
          <w:sz w:val="52"/>
          <w:szCs w:val="52"/>
          <w:highlight w:val="none"/>
        </w:rPr>
      </w:pPr>
      <w:r>
        <w:rPr>
          <w:rFonts w:hint="eastAsia" w:ascii="宋体" w:hAnsi="宋体"/>
          <w:b w:val="0"/>
          <w:bCs/>
          <w:color w:val="auto"/>
          <w:kern w:val="0"/>
          <w:szCs w:val="21"/>
          <w:highlight w:val="none"/>
        </w:rPr>
        <w:t>采用《</w:t>
      </w:r>
      <w:r>
        <w:rPr>
          <w:rFonts w:hint="eastAsia" w:ascii="宋体" w:hAnsi="宋体"/>
          <w:bCs/>
          <w:color w:val="auto"/>
          <w:kern w:val="0"/>
          <w:szCs w:val="21"/>
          <w:highlight w:val="none"/>
        </w:rPr>
        <w:t>建设项目工程总承包合同（示范文本）</w:t>
      </w:r>
      <w:r>
        <w:rPr>
          <w:rFonts w:hint="eastAsia" w:ascii="宋体" w:hAnsi="宋体"/>
          <w:b w:val="0"/>
          <w:bCs/>
          <w:color w:val="auto"/>
          <w:kern w:val="0"/>
          <w:szCs w:val="21"/>
          <w:highlight w:val="none"/>
        </w:rPr>
        <w:t>》</w:t>
      </w:r>
      <w:r>
        <w:rPr>
          <w:rFonts w:ascii="宋体" w:hAnsi="宋体"/>
          <w:b w:val="0"/>
          <w:bCs/>
          <w:color w:val="auto"/>
          <w:kern w:val="0"/>
          <w:szCs w:val="21"/>
          <w:highlight w:val="none"/>
        </w:rPr>
        <w:t>（</w:t>
      </w:r>
      <w:r>
        <w:rPr>
          <w:rFonts w:hint="eastAsia" w:ascii="宋体" w:hAnsi="宋体"/>
          <w:bCs/>
          <w:color w:val="auto"/>
          <w:kern w:val="0"/>
          <w:szCs w:val="21"/>
          <w:highlight w:val="none"/>
        </w:rPr>
        <w:t>GF-2020-0216</w:t>
      </w:r>
      <w:r>
        <w:rPr>
          <w:rFonts w:hint="eastAsia" w:ascii="宋体" w:hAnsi="宋体"/>
          <w:b w:val="0"/>
          <w:bCs/>
          <w:color w:val="auto"/>
          <w:kern w:val="0"/>
          <w:szCs w:val="21"/>
          <w:highlight w:val="none"/>
        </w:rPr>
        <w:t>）</w:t>
      </w:r>
    </w:p>
    <w:p>
      <w:pPr>
        <w:spacing w:before="120" w:beforeLines="50" w:after="120" w:afterLines="50" w:line="300" w:lineRule="auto"/>
        <w:jc w:val="both"/>
        <w:rPr>
          <w:b/>
          <w:color w:val="auto"/>
          <w:sz w:val="44"/>
          <w:szCs w:val="44"/>
          <w:highlight w:val="none"/>
        </w:rPr>
      </w:pPr>
    </w:p>
    <w:p>
      <w:pPr>
        <w:spacing w:before="120" w:beforeLines="50" w:after="120" w:afterLines="50" w:line="300" w:lineRule="auto"/>
        <w:jc w:val="center"/>
        <w:rPr>
          <w:b/>
          <w:color w:val="auto"/>
          <w:sz w:val="44"/>
          <w:szCs w:val="44"/>
          <w:highlight w:val="none"/>
        </w:rPr>
      </w:pPr>
    </w:p>
    <w:p>
      <w:pPr>
        <w:spacing w:before="120" w:beforeLines="50" w:after="120" w:afterLines="50" w:line="300" w:lineRule="auto"/>
        <w:jc w:val="center"/>
        <w:rPr>
          <w:b/>
          <w:color w:val="auto"/>
          <w:sz w:val="44"/>
          <w:szCs w:val="44"/>
          <w:highlight w:val="none"/>
        </w:rPr>
      </w:pPr>
    </w:p>
    <w:p>
      <w:pPr>
        <w:spacing w:before="120" w:beforeLines="50" w:after="120" w:afterLines="50" w:line="300" w:lineRule="auto"/>
        <w:jc w:val="center"/>
        <w:rPr>
          <w:b/>
          <w:color w:val="auto"/>
          <w:sz w:val="44"/>
          <w:szCs w:val="44"/>
          <w:highlight w:val="none"/>
        </w:rPr>
      </w:pPr>
    </w:p>
    <w:p>
      <w:pPr>
        <w:spacing w:before="120" w:beforeLines="50" w:after="120" w:afterLines="50" w:line="300" w:lineRule="auto"/>
        <w:jc w:val="center"/>
        <w:rPr>
          <w:b/>
          <w:color w:val="auto"/>
          <w:sz w:val="44"/>
          <w:szCs w:val="44"/>
          <w:highlight w:val="none"/>
        </w:rPr>
      </w:pPr>
    </w:p>
    <w:p>
      <w:pPr>
        <w:spacing w:before="120" w:beforeLines="50" w:after="120" w:afterLines="50" w:line="300" w:lineRule="auto"/>
        <w:jc w:val="center"/>
        <w:rPr>
          <w:b/>
          <w:color w:val="auto"/>
          <w:sz w:val="44"/>
          <w:szCs w:val="44"/>
          <w:highlight w:val="none"/>
        </w:rPr>
      </w:pPr>
    </w:p>
    <w:p>
      <w:pPr>
        <w:spacing w:before="120" w:beforeLines="50" w:after="120" w:afterLines="50" w:line="300" w:lineRule="auto"/>
        <w:jc w:val="center"/>
        <w:rPr>
          <w:b/>
          <w:color w:val="auto"/>
          <w:sz w:val="44"/>
          <w:szCs w:val="44"/>
          <w:highlight w:val="none"/>
        </w:rPr>
      </w:pPr>
    </w:p>
    <w:p>
      <w:pPr>
        <w:spacing w:before="120" w:beforeLines="50" w:after="120" w:afterLines="50" w:line="300" w:lineRule="auto"/>
        <w:jc w:val="center"/>
        <w:rPr>
          <w:b/>
          <w:color w:val="auto"/>
          <w:sz w:val="44"/>
          <w:szCs w:val="44"/>
          <w:highlight w:val="none"/>
        </w:rPr>
      </w:pPr>
    </w:p>
    <w:p>
      <w:pPr>
        <w:spacing w:before="120" w:beforeLines="50" w:after="120" w:afterLines="50" w:line="300" w:lineRule="auto"/>
        <w:jc w:val="center"/>
        <w:rPr>
          <w:b/>
          <w:color w:val="auto"/>
          <w:sz w:val="44"/>
          <w:szCs w:val="44"/>
          <w:highlight w:val="none"/>
        </w:rPr>
      </w:pPr>
    </w:p>
    <w:p>
      <w:pPr>
        <w:jc w:val="center"/>
        <w:rPr>
          <w:b/>
          <w:color w:val="auto"/>
          <w:sz w:val="32"/>
          <w:szCs w:val="32"/>
          <w:highlight w:val="none"/>
        </w:rPr>
      </w:pPr>
      <w:r>
        <w:rPr>
          <w:rFonts w:hint="eastAsia"/>
          <w:b/>
          <w:color w:val="auto"/>
          <w:sz w:val="32"/>
          <w:szCs w:val="32"/>
          <w:highlight w:val="none"/>
        </w:rPr>
        <w:br w:type="page"/>
      </w:r>
    </w:p>
    <w:p>
      <w:pPr>
        <w:jc w:val="center"/>
        <w:rPr>
          <w:rFonts w:hint="eastAsia"/>
          <w:b/>
          <w:color w:val="auto"/>
          <w:sz w:val="32"/>
          <w:szCs w:val="32"/>
          <w:highlight w:val="none"/>
          <w:lang w:val="en-US" w:eastAsia="zh-CN"/>
        </w:rPr>
      </w:pPr>
      <w:r>
        <w:rPr>
          <w:rFonts w:hint="eastAsia"/>
          <w:b/>
          <w:color w:val="auto"/>
          <w:sz w:val="32"/>
          <w:szCs w:val="32"/>
          <w:highlight w:val="none"/>
        </w:rPr>
        <w:t>第三部分  专用</w:t>
      </w:r>
      <w:bookmarkEnd w:id="1"/>
      <w:bookmarkStart w:id="800" w:name="_Toc508286139"/>
      <w:bookmarkStart w:id="801" w:name="_Toc358569763"/>
      <w:r>
        <w:rPr>
          <w:rFonts w:hint="eastAsia"/>
          <w:b/>
          <w:color w:val="auto"/>
          <w:sz w:val="32"/>
          <w:szCs w:val="32"/>
          <w:highlight w:val="none"/>
          <w:lang w:val="en-US" w:eastAsia="zh-CN"/>
        </w:rPr>
        <w:t>合同条件</w:t>
      </w:r>
    </w:p>
    <w:p>
      <w:pPr>
        <w:jc w:val="center"/>
        <w:rPr>
          <w:rFonts w:hint="eastAsia"/>
          <w:b/>
          <w:color w:val="auto"/>
          <w:sz w:val="32"/>
          <w:szCs w:val="32"/>
          <w:highlight w:val="none"/>
          <w:lang w:val="en-US" w:eastAsia="zh-CN"/>
        </w:rPr>
      </w:pP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bCs w:val="0"/>
          <w:color w:val="auto"/>
          <w:sz w:val="21"/>
          <w:szCs w:val="21"/>
          <w:highlight w:val="none"/>
        </w:rPr>
      </w:pPr>
      <w:bookmarkStart w:id="802" w:name="_Toc54862332"/>
      <w:r>
        <w:rPr>
          <w:rFonts w:hint="eastAsia" w:asciiTheme="minorEastAsia" w:hAnsiTheme="minorEastAsia" w:eastAsiaTheme="minorEastAsia" w:cstheme="minorEastAsia"/>
          <w:b/>
          <w:bCs w:val="0"/>
          <w:color w:val="auto"/>
          <w:sz w:val="21"/>
          <w:szCs w:val="21"/>
          <w:highlight w:val="none"/>
        </w:rPr>
        <w:t>第1条 一般约定</w:t>
      </w:r>
      <w:bookmarkEnd w:id="802"/>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 词语定义和解释</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1.1.1 合同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1.1.1.10 其他合同文件：</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 工程和设备</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1.1.3.5 单位/区段工程的范围：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1.1.3.9 作为施工场所组成部分的其他场所包括：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1.1.3.10 永久占地包括：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1.1.3.11 临时占地包括：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1.2 语言文字</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本合同除使用汉语外，还使用</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语言。</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 法律</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适用于合同的其他规范性文件：</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 标准和规范</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1.4.1 适用于本合同的标准、规范（名称）包括：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1.4.2 发包人提供的国外标准、规范的名称：</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；发包人提供的国外标准、规范的份数：</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；发包人提供的国外标准、规范的时间：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1.4.3 没有成文规范、标准规定的约定：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1.4.4 发包人对于工程的技术标准、功能要求：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 合同文件的优先顺序</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合同文件组成及优先顺序为：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 文件的提供和照管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1.6.1 发包人文件的提供</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发包人文件的提供期限、名称、数量和形式：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1.6.2 承包人文件的提供</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承包人文件的内容、提供期限、名称、数量和形式：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1.6.4 文件的照管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关于现场文件准备的约定：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1.7 联络</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1.7.2 发包人指定的送达方式（包括电子传输方式）：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发包人的送达地址：</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承包人指定的送达方式（包括电子传输方式）：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承包人的送达地址：</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1.10 知识产权</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1.10.1 由发包人（或以发包人名义）编制的《发包人要求》和其他文件的著作权归属：</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1.10.2 由承包人（或以承包人名义）为实施工程所编制的文件、承包人完成的设计工作成果和建造完成的建筑物的知识产权归属：</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1.10.4 承包人在投标文件中采用的专利、专有技术、技术秘密的使用费的承担方式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1.11 保密</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双方订立的商业保密协议（名称）：</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，作为本合同附件。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双方订立的技术保密协议（名称）：</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，作为本合同附件。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 责任限制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承包人对发包人赔偿责任的最高限额为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1.14 建筑信息模型技术的应用</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关于建筑信息模型技术的开发、使用、存储、传输、交付及费用约定如下：</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bCs w:val="0"/>
          <w:color w:val="auto"/>
          <w:sz w:val="21"/>
          <w:szCs w:val="21"/>
          <w:highlight w:val="none"/>
        </w:rPr>
      </w:pPr>
      <w:bookmarkStart w:id="803" w:name="_Toc54862333"/>
      <w:r>
        <w:rPr>
          <w:rFonts w:hint="eastAsia" w:asciiTheme="minorEastAsia" w:hAnsiTheme="minorEastAsia" w:eastAsiaTheme="minorEastAsia" w:cstheme="minorEastAsia"/>
          <w:b/>
          <w:bCs w:val="0"/>
          <w:color w:val="auto"/>
          <w:sz w:val="21"/>
          <w:szCs w:val="21"/>
          <w:highlight w:val="none"/>
        </w:rPr>
        <w:t>第2条 发包人</w:t>
      </w:r>
      <w:bookmarkEnd w:id="803"/>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2.2 提供施工现场和工作条件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2.2.1 提供施工现场</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关于发包人提供施工现场的范围和期限：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2.2.2 提供工作条件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关于发包人应负责提供的工作条件包括：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2.3 提供基础资料</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关于发包人应提供的基础资料的范围和期限：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2.5 支付合同价款</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2.5.2 发包人提供资金来源证明及资金安排的期限要求：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2.5.3 发包人提供支付担保的形式、期限、金额（或比例）：</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2.7 其他义务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发包人应履行的其他义务：</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bCs w:val="0"/>
          <w:color w:val="auto"/>
          <w:sz w:val="21"/>
          <w:szCs w:val="21"/>
          <w:highlight w:val="none"/>
        </w:rPr>
      </w:pPr>
      <w:bookmarkStart w:id="804" w:name="_Toc54862334"/>
      <w:r>
        <w:rPr>
          <w:rFonts w:hint="eastAsia" w:asciiTheme="minorEastAsia" w:hAnsiTheme="minorEastAsia" w:eastAsiaTheme="minorEastAsia" w:cstheme="minorEastAsia"/>
          <w:b/>
          <w:bCs w:val="0"/>
          <w:color w:val="auto"/>
          <w:sz w:val="21"/>
          <w:szCs w:val="21"/>
          <w:highlight w:val="none"/>
        </w:rPr>
        <w:t>第3条 发包人的管理</w:t>
      </w:r>
      <w:bookmarkEnd w:id="804"/>
    </w:p>
    <w:p>
      <w:pPr>
        <w:keepNext w:val="0"/>
        <w:keepLines w:val="0"/>
        <w:pageBreakBefore w:val="0"/>
        <w:kinsoku/>
        <w:wordWrap/>
        <w:overflowPunct/>
        <w:topLinePunct w:val="0"/>
        <w:autoSpaceDE/>
        <w:autoSpaceDN/>
        <w:bidi w:val="0"/>
        <w:spacing w:line="288" w:lineRule="auto"/>
        <w:ind w:firstLine="64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3.1 发包人代表</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发包人代表的姓名：</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发包人代表的身份证号：</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发包人代表的职务：</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发包人代表的联系电话：</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发包人代表的电子邮箱：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发包人代表的通信地址：</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发包人对发包人代表的授权范围如下：</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发包人代表的职责：</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4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3.2 发包人人员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发包人人员姓名：</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发包人人员职务：</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发包人人员职责：</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4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3.3 工程师</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3.3.1 工程师名称：</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；工程师监督管理范围、内容：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；工程师权限：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4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3.6 商定或确定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3.6.2 关于商定时间限制的具体约定：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3.6.3 关于商定或确定效力的具体约定：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；关于对工程师的确定提出异议的具体约定：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4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3.7 会议</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3.7.1 关于召开会议的具体约定：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3.7.2 关于保存和提供会议纪要的具体约定：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bCs w:val="0"/>
          <w:color w:val="auto"/>
          <w:sz w:val="21"/>
          <w:szCs w:val="21"/>
          <w:highlight w:val="none"/>
        </w:rPr>
      </w:pPr>
      <w:bookmarkStart w:id="805" w:name="_Toc54862335"/>
      <w:r>
        <w:rPr>
          <w:rFonts w:hint="eastAsia" w:asciiTheme="minorEastAsia" w:hAnsiTheme="minorEastAsia" w:eastAsiaTheme="minorEastAsia" w:cstheme="minorEastAsia"/>
          <w:b/>
          <w:bCs w:val="0"/>
          <w:color w:val="auto"/>
          <w:sz w:val="21"/>
          <w:szCs w:val="21"/>
          <w:highlight w:val="none"/>
        </w:rPr>
        <w:t>第4条 承包人</w:t>
      </w:r>
      <w:bookmarkEnd w:id="805"/>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4.1 承包人的一般义务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承包人应履行的其他义务：</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4.2 履约担保</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承包人是否提供履约担保：</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履约担保的方式、金额及期限: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adjustRightInd w:val="0"/>
        <w:snapToGrid w:val="0"/>
        <w:spacing w:line="288" w:lineRule="auto"/>
        <w:ind w:firstLine="630" w:firstLineChars="300"/>
        <w:rPr>
          <w:rFonts w:ascii="宋体" w:hAnsi="宋体" w:cs="Arial"/>
          <w:color w:val="auto"/>
          <w:szCs w:val="21"/>
          <w:highlight w:val="none"/>
        </w:rPr>
      </w:pPr>
      <w:r>
        <w:rPr>
          <w:rFonts w:hint="eastAsia" w:ascii="宋体" w:hAnsi="宋体" w:cs="Arial"/>
          <w:color w:val="auto"/>
          <w:szCs w:val="21"/>
          <w:highlight w:val="none"/>
        </w:rPr>
        <w:t>履约保证金优惠政策（以下优惠政策不得累加享受，以投标截止时间为准）：</w:t>
      </w:r>
    </w:p>
    <w:p>
      <w:pPr>
        <w:adjustRightInd w:val="0"/>
        <w:snapToGrid w:val="0"/>
        <w:spacing w:line="288" w:lineRule="auto"/>
        <w:ind w:left="420" w:leftChars="200" w:firstLine="210" w:firstLineChars="100"/>
        <w:rPr>
          <w:rFonts w:hint="eastAsia" w:ascii="宋体" w:hAnsi="宋体" w:cs="Arial"/>
          <w:color w:val="auto"/>
          <w:szCs w:val="21"/>
          <w:highlight w:val="none"/>
        </w:rPr>
      </w:pPr>
      <w:r>
        <w:rPr>
          <w:rFonts w:hint="eastAsia" w:ascii="宋体" w:hAnsi="宋体" w:cs="Arial"/>
          <w:color w:val="auto"/>
          <w:szCs w:val="21"/>
          <w:highlight w:val="none"/>
        </w:rPr>
        <w:sym w:font="Wingdings" w:char="00A8"/>
      </w:r>
      <w:r>
        <w:rPr>
          <w:rFonts w:hint="eastAsia" w:ascii="宋体" w:hAnsi="宋体" w:cs="Arial"/>
          <w:color w:val="auto"/>
          <w:szCs w:val="21"/>
          <w:highlight w:val="none"/>
          <w:lang w:val="en-US" w:eastAsia="zh-CN"/>
        </w:rPr>
        <w:t>1.</w:t>
      </w:r>
      <w:r>
        <w:rPr>
          <w:rFonts w:hint="eastAsia" w:ascii="宋体" w:hAnsi="宋体" w:cs="Arial"/>
          <w:color w:val="auto"/>
          <w:szCs w:val="21"/>
          <w:highlight w:val="none"/>
        </w:rPr>
        <w:t>“党建惠企”履约保证金优惠：</w:t>
      </w:r>
    </w:p>
    <w:p>
      <w:pPr>
        <w:adjustRightInd w:val="0"/>
        <w:snapToGrid w:val="0"/>
        <w:spacing w:line="288" w:lineRule="auto"/>
        <w:ind w:left="0" w:leftChars="0" w:firstLine="630" w:firstLineChars="300"/>
        <w:rPr>
          <w:rFonts w:hint="eastAsia" w:ascii="宋体" w:hAnsi="宋体" w:cs="Arial"/>
          <w:color w:val="auto"/>
          <w:szCs w:val="21"/>
          <w:highlight w:val="none"/>
          <w:lang w:val="en-US" w:eastAsia="zh-CN"/>
        </w:rPr>
      </w:pPr>
      <w:r>
        <w:rPr>
          <w:rFonts w:hint="eastAsia" w:ascii="宋体" w:hAnsi="宋体" w:cs="Arial"/>
          <w:color w:val="auto"/>
          <w:szCs w:val="21"/>
          <w:highlight w:val="none"/>
          <w:lang w:val="en-US" w:eastAsia="zh-CN"/>
        </w:rPr>
        <w:t>（1）</w:t>
      </w:r>
      <w:r>
        <w:rPr>
          <w:rFonts w:hint="eastAsia" w:ascii="宋体" w:hAnsi="宋体" w:cs="Arial"/>
          <w:color w:val="auto"/>
          <w:szCs w:val="21"/>
          <w:highlight w:val="none"/>
        </w:rPr>
        <w:t>牵头人</w:t>
      </w:r>
      <w:r>
        <w:rPr>
          <w:rFonts w:hint="eastAsia" w:ascii="宋体" w:hAnsi="宋体" w:cs="Arial"/>
          <w:color w:val="auto"/>
          <w:szCs w:val="21"/>
          <w:highlight w:val="none"/>
          <w:lang w:val="en-US" w:eastAsia="zh-CN"/>
        </w:rPr>
        <w:t>为施工单位</w:t>
      </w:r>
    </w:p>
    <w:p>
      <w:pPr>
        <w:adjustRightInd w:val="0"/>
        <w:snapToGrid w:val="0"/>
        <w:spacing w:line="288" w:lineRule="auto"/>
        <w:ind w:left="0" w:leftChars="0" w:firstLine="630" w:firstLineChars="300"/>
        <w:rPr>
          <w:rFonts w:hint="eastAsia" w:ascii="宋体" w:hAnsi="宋体" w:cs="Arial"/>
          <w:color w:val="auto"/>
          <w:szCs w:val="21"/>
          <w:highlight w:val="none"/>
        </w:rPr>
      </w:pPr>
      <w:r>
        <w:rPr>
          <w:rFonts w:hint="eastAsia" w:ascii="宋体" w:hAnsi="宋体" w:cs="Arial"/>
          <w:color w:val="auto"/>
          <w:szCs w:val="21"/>
          <w:highlight w:val="none"/>
        </w:rPr>
        <w:t>在</w:t>
      </w:r>
      <w:r>
        <w:rPr>
          <w:rFonts w:hint="eastAsia" w:ascii="宋体" w:hAnsi="宋体" w:cs="Arial"/>
          <w:color w:val="auto"/>
          <w:szCs w:val="21"/>
          <w:highlight w:val="none"/>
          <w:lang w:val="en-US" w:eastAsia="zh-CN"/>
        </w:rPr>
        <w:t>泰州市非公企业</w:t>
      </w:r>
      <w:r>
        <w:rPr>
          <w:rFonts w:hint="eastAsia" w:ascii="宋体" w:hAnsi="宋体" w:cs="Arial"/>
          <w:color w:val="auto"/>
          <w:szCs w:val="21"/>
          <w:highlight w:val="none"/>
        </w:rPr>
        <w:t>“四同八助”党组织创建中获得A类三星级、B类三星级、C类三星级的，按上述履约担保金额的50%提交；</w:t>
      </w:r>
    </w:p>
    <w:p>
      <w:pPr>
        <w:adjustRightInd w:val="0"/>
        <w:snapToGrid w:val="0"/>
        <w:spacing w:line="288" w:lineRule="auto"/>
        <w:ind w:left="0" w:leftChars="0" w:firstLine="630" w:firstLineChars="300"/>
        <w:rPr>
          <w:rFonts w:hint="eastAsia" w:ascii="宋体" w:hAnsi="宋体" w:cs="Arial"/>
          <w:color w:val="auto"/>
          <w:szCs w:val="21"/>
          <w:highlight w:val="none"/>
        </w:rPr>
      </w:pPr>
      <w:r>
        <w:rPr>
          <w:rFonts w:hint="eastAsia" w:ascii="宋体" w:hAnsi="宋体" w:cs="Arial"/>
          <w:color w:val="auto"/>
          <w:szCs w:val="21"/>
          <w:highlight w:val="none"/>
        </w:rPr>
        <w:t>在</w:t>
      </w:r>
      <w:r>
        <w:rPr>
          <w:rFonts w:hint="eastAsia" w:ascii="宋体" w:hAnsi="宋体" w:cs="Arial"/>
          <w:color w:val="auto"/>
          <w:szCs w:val="21"/>
          <w:highlight w:val="none"/>
          <w:lang w:val="en-US" w:eastAsia="zh-CN"/>
        </w:rPr>
        <w:t>泰州市非公企业</w:t>
      </w:r>
      <w:r>
        <w:rPr>
          <w:rFonts w:hint="eastAsia" w:ascii="宋体" w:hAnsi="宋体" w:cs="Arial"/>
          <w:color w:val="auto"/>
          <w:szCs w:val="21"/>
          <w:highlight w:val="none"/>
        </w:rPr>
        <w:t>“四同八助”党组织创建中获得A类二星级、B类二星级的，按上述履约担保金额的70%提交；</w:t>
      </w:r>
    </w:p>
    <w:p>
      <w:pPr>
        <w:adjustRightInd w:val="0"/>
        <w:snapToGrid w:val="0"/>
        <w:spacing w:line="288" w:lineRule="auto"/>
        <w:ind w:left="0" w:leftChars="0" w:firstLine="630" w:firstLineChars="300"/>
        <w:rPr>
          <w:rFonts w:hint="eastAsia" w:ascii="宋体" w:hAnsi="宋体" w:cs="Arial"/>
          <w:color w:val="auto"/>
          <w:szCs w:val="21"/>
          <w:highlight w:val="none"/>
          <w:lang w:val="en-US" w:eastAsia="zh-CN"/>
        </w:rPr>
      </w:pPr>
      <w:r>
        <w:rPr>
          <w:rFonts w:hint="eastAsia" w:ascii="宋体" w:hAnsi="宋体" w:cs="Arial"/>
          <w:color w:val="auto"/>
          <w:szCs w:val="21"/>
          <w:highlight w:val="none"/>
          <w:lang w:val="en-US" w:eastAsia="zh-CN"/>
        </w:rPr>
        <w:t>（2）牵头人为设计单位</w:t>
      </w:r>
    </w:p>
    <w:p>
      <w:pPr>
        <w:adjustRightInd w:val="0"/>
        <w:snapToGrid w:val="0"/>
        <w:spacing w:line="288" w:lineRule="auto"/>
        <w:ind w:left="0" w:leftChars="0" w:firstLine="630" w:firstLineChars="300"/>
        <w:rPr>
          <w:rFonts w:hint="eastAsia" w:ascii="宋体" w:hAnsi="宋体" w:cs="Arial"/>
          <w:color w:val="auto"/>
          <w:szCs w:val="21"/>
          <w:highlight w:val="none"/>
        </w:rPr>
      </w:pPr>
      <w:r>
        <w:rPr>
          <w:rFonts w:hint="eastAsia" w:ascii="宋体" w:hAnsi="宋体" w:cs="Arial"/>
          <w:color w:val="auto"/>
          <w:szCs w:val="21"/>
          <w:highlight w:val="none"/>
        </w:rPr>
        <w:t>在</w:t>
      </w:r>
      <w:r>
        <w:rPr>
          <w:rFonts w:hint="eastAsia" w:ascii="宋体" w:hAnsi="宋体" w:cs="Arial"/>
          <w:color w:val="auto"/>
          <w:szCs w:val="21"/>
          <w:highlight w:val="none"/>
          <w:lang w:val="en-US" w:eastAsia="zh-CN"/>
        </w:rPr>
        <w:t>泰州市非公企业</w:t>
      </w:r>
      <w:r>
        <w:rPr>
          <w:rFonts w:hint="eastAsia" w:ascii="宋体" w:hAnsi="宋体" w:cs="Arial"/>
          <w:color w:val="auto"/>
          <w:szCs w:val="21"/>
          <w:highlight w:val="none"/>
        </w:rPr>
        <w:t>“四同八助”党组织创建中获得A类三星级</w:t>
      </w:r>
      <w:r>
        <w:rPr>
          <w:rFonts w:hint="eastAsia" w:ascii="宋体" w:hAnsi="宋体" w:cs="Arial"/>
          <w:color w:val="auto"/>
          <w:szCs w:val="21"/>
          <w:highlight w:val="none"/>
          <w:lang w:eastAsia="zh-CN"/>
        </w:rPr>
        <w:t>的</w:t>
      </w:r>
      <w:r>
        <w:rPr>
          <w:rFonts w:hint="eastAsia" w:ascii="宋体" w:hAnsi="宋体" w:cs="Arial"/>
          <w:color w:val="auto"/>
          <w:szCs w:val="21"/>
          <w:highlight w:val="none"/>
        </w:rPr>
        <w:t>按上述履约担保金额的50%提交；</w:t>
      </w:r>
    </w:p>
    <w:p>
      <w:pPr>
        <w:adjustRightInd w:val="0"/>
        <w:snapToGrid w:val="0"/>
        <w:spacing w:line="288" w:lineRule="auto"/>
        <w:ind w:left="0" w:leftChars="0" w:firstLine="630" w:firstLineChars="300"/>
        <w:rPr>
          <w:rFonts w:hint="eastAsia" w:ascii="宋体" w:hAnsi="宋体" w:cs="Arial"/>
          <w:color w:val="auto"/>
          <w:szCs w:val="21"/>
          <w:highlight w:val="none"/>
        </w:rPr>
      </w:pPr>
      <w:r>
        <w:rPr>
          <w:rFonts w:hint="eastAsia" w:ascii="宋体" w:hAnsi="宋体" w:cs="Arial"/>
          <w:color w:val="auto"/>
          <w:szCs w:val="21"/>
          <w:highlight w:val="none"/>
        </w:rPr>
        <w:t>在</w:t>
      </w:r>
      <w:r>
        <w:rPr>
          <w:rFonts w:hint="eastAsia" w:ascii="宋体" w:hAnsi="宋体" w:cs="Arial"/>
          <w:color w:val="auto"/>
          <w:szCs w:val="21"/>
          <w:highlight w:val="none"/>
          <w:lang w:val="en-US" w:eastAsia="zh-CN"/>
        </w:rPr>
        <w:t>泰州市非公企业</w:t>
      </w:r>
      <w:r>
        <w:rPr>
          <w:rFonts w:hint="eastAsia" w:ascii="宋体" w:hAnsi="宋体" w:cs="Arial"/>
          <w:color w:val="auto"/>
          <w:szCs w:val="21"/>
          <w:highlight w:val="none"/>
        </w:rPr>
        <w:t>“四同八助”党组织创建中获得A类</w:t>
      </w:r>
      <w:r>
        <w:rPr>
          <w:rFonts w:hint="eastAsia" w:ascii="宋体" w:hAnsi="宋体" w:cs="Arial"/>
          <w:color w:val="auto"/>
          <w:szCs w:val="21"/>
          <w:highlight w:val="none"/>
          <w:lang w:val="en-US" w:eastAsia="zh-CN"/>
        </w:rPr>
        <w:t>二</w:t>
      </w:r>
      <w:r>
        <w:rPr>
          <w:rFonts w:hint="eastAsia" w:ascii="宋体" w:hAnsi="宋体" w:cs="Arial"/>
          <w:color w:val="auto"/>
          <w:szCs w:val="21"/>
          <w:highlight w:val="none"/>
        </w:rPr>
        <w:t>星级</w:t>
      </w:r>
      <w:r>
        <w:rPr>
          <w:rFonts w:hint="eastAsia" w:ascii="宋体" w:hAnsi="宋体" w:cs="Arial"/>
          <w:color w:val="auto"/>
          <w:szCs w:val="21"/>
          <w:highlight w:val="none"/>
          <w:lang w:eastAsia="zh-CN"/>
        </w:rPr>
        <w:t>的</w:t>
      </w:r>
      <w:r>
        <w:rPr>
          <w:rFonts w:hint="eastAsia" w:ascii="宋体" w:hAnsi="宋体" w:cs="Arial"/>
          <w:color w:val="auto"/>
          <w:szCs w:val="21"/>
          <w:highlight w:val="none"/>
        </w:rPr>
        <w:t>按上述履约担保金额的</w:t>
      </w:r>
      <w:r>
        <w:rPr>
          <w:rFonts w:hint="eastAsia" w:ascii="宋体" w:hAnsi="宋体" w:cs="Arial"/>
          <w:color w:val="auto"/>
          <w:szCs w:val="21"/>
          <w:highlight w:val="none"/>
          <w:lang w:val="en-US" w:eastAsia="zh-CN"/>
        </w:rPr>
        <w:t>6</w:t>
      </w:r>
      <w:r>
        <w:rPr>
          <w:rFonts w:hint="eastAsia" w:ascii="宋体" w:hAnsi="宋体" w:cs="Arial"/>
          <w:color w:val="auto"/>
          <w:szCs w:val="21"/>
          <w:highlight w:val="none"/>
        </w:rPr>
        <w:t>0%提交；</w:t>
      </w:r>
    </w:p>
    <w:p>
      <w:pPr>
        <w:adjustRightInd w:val="0"/>
        <w:snapToGrid w:val="0"/>
        <w:spacing w:line="288" w:lineRule="auto"/>
        <w:ind w:left="0" w:leftChars="0" w:firstLine="630" w:firstLineChars="300"/>
        <w:rPr>
          <w:rFonts w:hint="eastAsia" w:ascii="宋体" w:hAnsi="宋体" w:cs="Arial"/>
          <w:color w:val="auto"/>
          <w:szCs w:val="21"/>
          <w:highlight w:val="none"/>
        </w:rPr>
      </w:pPr>
      <w:r>
        <w:rPr>
          <w:rFonts w:hint="eastAsia" w:ascii="宋体" w:hAnsi="宋体" w:cs="Arial"/>
          <w:color w:val="auto"/>
          <w:szCs w:val="21"/>
          <w:highlight w:val="none"/>
        </w:rPr>
        <w:t>在</w:t>
      </w:r>
      <w:r>
        <w:rPr>
          <w:rFonts w:hint="eastAsia" w:ascii="宋体" w:hAnsi="宋体" w:cs="Arial"/>
          <w:color w:val="auto"/>
          <w:szCs w:val="21"/>
          <w:highlight w:val="none"/>
          <w:lang w:val="en-US" w:eastAsia="zh-CN"/>
        </w:rPr>
        <w:t>泰州市非公企业</w:t>
      </w:r>
      <w:r>
        <w:rPr>
          <w:rFonts w:hint="eastAsia" w:ascii="宋体" w:hAnsi="宋体" w:cs="Arial"/>
          <w:color w:val="auto"/>
          <w:szCs w:val="21"/>
          <w:highlight w:val="none"/>
        </w:rPr>
        <w:t>“四同八助”党组织创建中获得</w:t>
      </w:r>
      <w:r>
        <w:rPr>
          <w:rFonts w:hint="eastAsia" w:ascii="宋体" w:hAnsi="宋体" w:cs="Arial"/>
          <w:color w:val="auto"/>
          <w:szCs w:val="21"/>
          <w:highlight w:val="none"/>
          <w:lang w:val="en-US" w:eastAsia="zh-CN"/>
        </w:rPr>
        <w:t>B</w:t>
      </w:r>
      <w:r>
        <w:rPr>
          <w:rFonts w:hint="eastAsia" w:ascii="宋体" w:hAnsi="宋体" w:cs="Arial"/>
          <w:color w:val="auto"/>
          <w:szCs w:val="21"/>
          <w:highlight w:val="none"/>
        </w:rPr>
        <w:t>类三星级</w:t>
      </w:r>
      <w:r>
        <w:rPr>
          <w:rFonts w:hint="eastAsia" w:ascii="宋体" w:hAnsi="宋体" w:cs="Arial"/>
          <w:color w:val="auto"/>
          <w:szCs w:val="21"/>
          <w:highlight w:val="none"/>
          <w:lang w:eastAsia="zh-CN"/>
        </w:rPr>
        <w:t>的</w:t>
      </w:r>
      <w:r>
        <w:rPr>
          <w:rFonts w:hint="eastAsia" w:ascii="宋体" w:hAnsi="宋体" w:cs="Arial"/>
          <w:color w:val="auto"/>
          <w:szCs w:val="21"/>
          <w:highlight w:val="none"/>
        </w:rPr>
        <w:t>按上述履约担保金额的</w:t>
      </w:r>
      <w:r>
        <w:rPr>
          <w:rFonts w:hint="eastAsia" w:ascii="宋体" w:hAnsi="宋体" w:cs="Arial"/>
          <w:color w:val="auto"/>
          <w:szCs w:val="21"/>
          <w:highlight w:val="none"/>
          <w:lang w:val="en-US" w:eastAsia="zh-CN"/>
        </w:rPr>
        <w:t>7</w:t>
      </w:r>
      <w:r>
        <w:rPr>
          <w:rFonts w:hint="eastAsia" w:ascii="宋体" w:hAnsi="宋体" w:cs="Arial"/>
          <w:color w:val="auto"/>
          <w:szCs w:val="21"/>
          <w:highlight w:val="none"/>
        </w:rPr>
        <w:t>0%提交；</w:t>
      </w:r>
    </w:p>
    <w:p>
      <w:pPr>
        <w:adjustRightInd w:val="0"/>
        <w:snapToGrid w:val="0"/>
        <w:spacing w:line="288" w:lineRule="auto"/>
        <w:ind w:left="0" w:leftChars="0" w:firstLine="630" w:firstLineChars="300"/>
        <w:rPr>
          <w:rFonts w:hint="eastAsia" w:ascii="宋体" w:hAnsi="宋体" w:cs="Arial"/>
          <w:color w:val="auto"/>
          <w:szCs w:val="21"/>
          <w:highlight w:val="none"/>
        </w:rPr>
      </w:pPr>
      <w:r>
        <w:rPr>
          <w:rFonts w:hint="eastAsia" w:ascii="宋体" w:hAnsi="宋体" w:cs="Arial"/>
          <w:color w:val="auto"/>
          <w:szCs w:val="21"/>
          <w:highlight w:val="none"/>
        </w:rPr>
        <w:t>在</w:t>
      </w:r>
      <w:r>
        <w:rPr>
          <w:rFonts w:hint="eastAsia" w:ascii="宋体" w:hAnsi="宋体" w:cs="Arial"/>
          <w:color w:val="auto"/>
          <w:szCs w:val="21"/>
          <w:highlight w:val="none"/>
          <w:lang w:val="en-US" w:eastAsia="zh-CN"/>
        </w:rPr>
        <w:t>泰州市非公企业</w:t>
      </w:r>
      <w:r>
        <w:rPr>
          <w:rFonts w:hint="eastAsia" w:ascii="宋体" w:hAnsi="宋体" w:cs="Arial"/>
          <w:color w:val="auto"/>
          <w:szCs w:val="21"/>
          <w:highlight w:val="none"/>
        </w:rPr>
        <w:t>“四同八助”党组织创建中获得</w:t>
      </w:r>
      <w:r>
        <w:rPr>
          <w:rFonts w:hint="eastAsia" w:ascii="宋体" w:hAnsi="宋体" w:cs="Arial"/>
          <w:color w:val="auto"/>
          <w:szCs w:val="21"/>
          <w:highlight w:val="none"/>
          <w:lang w:val="en-US" w:eastAsia="zh-CN"/>
        </w:rPr>
        <w:t>B</w:t>
      </w:r>
      <w:r>
        <w:rPr>
          <w:rFonts w:hint="eastAsia" w:ascii="宋体" w:hAnsi="宋体" w:cs="Arial"/>
          <w:color w:val="auto"/>
          <w:szCs w:val="21"/>
          <w:highlight w:val="none"/>
        </w:rPr>
        <w:t>类</w:t>
      </w:r>
      <w:r>
        <w:rPr>
          <w:rFonts w:hint="eastAsia" w:ascii="宋体" w:hAnsi="宋体" w:cs="Arial"/>
          <w:color w:val="auto"/>
          <w:szCs w:val="21"/>
          <w:highlight w:val="none"/>
          <w:lang w:val="en-US" w:eastAsia="zh-CN"/>
        </w:rPr>
        <w:t>二</w:t>
      </w:r>
      <w:r>
        <w:rPr>
          <w:rFonts w:hint="eastAsia" w:ascii="宋体" w:hAnsi="宋体" w:cs="Arial"/>
          <w:color w:val="auto"/>
          <w:szCs w:val="21"/>
          <w:highlight w:val="none"/>
        </w:rPr>
        <w:t>星级</w:t>
      </w:r>
      <w:r>
        <w:rPr>
          <w:rFonts w:hint="eastAsia" w:ascii="宋体" w:hAnsi="宋体" w:cs="Arial"/>
          <w:color w:val="auto"/>
          <w:szCs w:val="21"/>
          <w:highlight w:val="none"/>
          <w:lang w:eastAsia="zh-CN"/>
        </w:rPr>
        <w:t>的</w:t>
      </w:r>
      <w:r>
        <w:rPr>
          <w:rFonts w:hint="eastAsia" w:ascii="宋体" w:hAnsi="宋体" w:cs="Arial"/>
          <w:color w:val="auto"/>
          <w:szCs w:val="21"/>
          <w:highlight w:val="none"/>
        </w:rPr>
        <w:t>按上述履约担保金额的</w:t>
      </w:r>
      <w:r>
        <w:rPr>
          <w:rFonts w:hint="eastAsia" w:ascii="宋体" w:hAnsi="宋体" w:cs="Arial"/>
          <w:color w:val="auto"/>
          <w:szCs w:val="21"/>
          <w:highlight w:val="none"/>
          <w:lang w:val="en-US" w:eastAsia="zh-CN"/>
        </w:rPr>
        <w:t>8</w:t>
      </w:r>
      <w:r>
        <w:rPr>
          <w:rFonts w:hint="eastAsia" w:ascii="宋体" w:hAnsi="宋体" w:cs="Arial"/>
          <w:color w:val="auto"/>
          <w:szCs w:val="21"/>
          <w:highlight w:val="none"/>
        </w:rPr>
        <w:t>0%提交；</w:t>
      </w:r>
    </w:p>
    <w:p>
      <w:pPr>
        <w:adjustRightInd w:val="0"/>
        <w:snapToGrid w:val="0"/>
        <w:spacing w:line="288" w:lineRule="auto"/>
        <w:ind w:left="0" w:leftChars="0" w:firstLine="630" w:firstLineChars="300"/>
        <w:rPr>
          <w:rFonts w:hint="eastAsia" w:ascii="宋体" w:hAnsi="宋体" w:cs="Arial"/>
          <w:color w:val="auto"/>
          <w:szCs w:val="21"/>
          <w:highlight w:val="none"/>
        </w:rPr>
      </w:pPr>
      <w:r>
        <w:rPr>
          <w:rFonts w:hint="eastAsia" w:ascii="宋体" w:hAnsi="宋体" w:cs="Arial"/>
          <w:color w:val="auto"/>
          <w:szCs w:val="21"/>
          <w:highlight w:val="none"/>
        </w:rPr>
        <w:t>在</w:t>
      </w:r>
      <w:r>
        <w:rPr>
          <w:rFonts w:hint="eastAsia" w:ascii="宋体" w:hAnsi="宋体" w:cs="Arial"/>
          <w:color w:val="auto"/>
          <w:szCs w:val="21"/>
          <w:highlight w:val="none"/>
          <w:lang w:val="en-US" w:eastAsia="zh-CN"/>
        </w:rPr>
        <w:t>泰州市非公企业</w:t>
      </w:r>
      <w:r>
        <w:rPr>
          <w:rFonts w:hint="eastAsia" w:ascii="宋体" w:hAnsi="宋体" w:cs="Arial"/>
          <w:color w:val="auto"/>
          <w:szCs w:val="21"/>
          <w:highlight w:val="none"/>
        </w:rPr>
        <w:t>“四同八助”党组织创建中获得</w:t>
      </w:r>
      <w:r>
        <w:rPr>
          <w:rFonts w:hint="eastAsia" w:ascii="宋体" w:hAnsi="宋体" w:cs="Arial"/>
          <w:color w:val="auto"/>
          <w:szCs w:val="21"/>
          <w:highlight w:val="none"/>
          <w:lang w:val="en-US" w:eastAsia="zh-CN"/>
        </w:rPr>
        <w:t>C</w:t>
      </w:r>
      <w:r>
        <w:rPr>
          <w:rFonts w:hint="eastAsia" w:ascii="宋体" w:hAnsi="宋体" w:cs="Arial"/>
          <w:color w:val="auto"/>
          <w:szCs w:val="21"/>
          <w:highlight w:val="none"/>
        </w:rPr>
        <w:t>类</w:t>
      </w:r>
      <w:r>
        <w:rPr>
          <w:rFonts w:hint="eastAsia" w:ascii="宋体" w:hAnsi="宋体" w:cs="Arial"/>
          <w:color w:val="auto"/>
          <w:szCs w:val="21"/>
          <w:highlight w:val="none"/>
          <w:lang w:val="en-US" w:eastAsia="zh-CN"/>
        </w:rPr>
        <w:t>三</w:t>
      </w:r>
      <w:r>
        <w:rPr>
          <w:rFonts w:hint="eastAsia" w:ascii="宋体" w:hAnsi="宋体" w:cs="Arial"/>
          <w:color w:val="auto"/>
          <w:szCs w:val="21"/>
          <w:highlight w:val="none"/>
        </w:rPr>
        <w:t>星级</w:t>
      </w:r>
      <w:r>
        <w:rPr>
          <w:rFonts w:hint="eastAsia" w:ascii="宋体" w:hAnsi="宋体" w:cs="Arial"/>
          <w:color w:val="auto"/>
          <w:szCs w:val="21"/>
          <w:highlight w:val="none"/>
          <w:lang w:eastAsia="zh-CN"/>
        </w:rPr>
        <w:t>的</w:t>
      </w:r>
      <w:r>
        <w:rPr>
          <w:rFonts w:hint="eastAsia" w:ascii="宋体" w:hAnsi="宋体" w:cs="Arial"/>
          <w:color w:val="auto"/>
          <w:szCs w:val="21"/>
          <w:highlight w:val="none"/>
        </w:rPr>
        <w:t>按上述履约担保金额的</w:t>
      </w:r>
      <w:r>
        <w:rPr>
          <w:rFonts w:hint="eastAsia" w:ascii="宋体" w:hAnsi="宋体" w:cs="Arial"/>
          <w:color w:val="auto"/>
          <w:szCs w:val="21"/>
          <w:highlight w:val="none"/>
          <w:lang w:val="en-US" w:eastAsia="zh-CN"/>
        </w:rPr>
        <w:t>9</w:t>
      </w:r>
      <w:r>
        <w:rPr>
          <w:rFonts w:hint="eastAsia" w:ascii="宋体" w:hAnsi="宋体" w:cs="Arial"/>
          <w:color w:val="auto"/>
          <w:szCs w:val="21"/>
          <w:highlight w:val="none"/>
        </w:rPr>
        <w:t>0%提交；</w:t>
      </w:r>
    </w:p>
    <w:p>
      <w:pPr>
        <w:keepNext w:val="0"/>
        <w:keepLines w:val="0"/>
        <w:pageBreakBefore w:val="0"/>
        <w:widowControl w:val="0"/>
        <w:kinsoku/>
        <w:wordWrap/>
        <w:overflowPunct/>
        <w:topLinePunct w:val="0"/>
        <w:autoSpaceDE/>
        <w:autoSpaceDN/>
        <w:bidi w:val="0"/>
        <w:adjustRightInd w:val="0"/>
        <w:snapToGrid w:val="0"/>
        <w:spacing w:line="288" w:lineRule="auto"/>
        <w:ind w:left="0" w:leftChars="0" w:firstLine="630" w:firstLineChars="300"/>
        <w:textAlignment w:val="auto"/>
        <w:outlineLvl w:val="9"/>
        <w:rPr>
          <w:rFonts w:hint="eastAsia" w:ascii="宋体" w:hAnsi="宋体" w:cs="Arial"/>
          <w:color w:val="auto"/>
          <w:szCs w:val="21"/>
          <w:highlight w:val="none"/>
          <w:lang w:eastAsia="zh-CN"/>
        </w:rPr>
      </w:pPr>
      <w:r>
        <w:rPr>
          <w:rFonts w:hint="eastAsia" w:ascii="宋体" w:hAnsi="宋体" w:cs="Arial"/>
          <w:color w:val="auto"/>
          <w:szCs w:val="21"/>
          <w:highlight w:val="none"/>
          <w:lang w:val="en-US" w:eastAsia="zh-CN"/>
        </w:rPr>
        <w:t>企业</w:t>
      </w:r>
      <w:r>
        <w:rPr>
          <w:rFonts w:hint="eastAsia" w:ascii="宋体" w:hAnsi="宋体" w:cs="Arial"/>
          <w:color w:val="auto"/>
          <w:szCs w:val="21"/>
          <w:highlight w:val="none"/>
        </w:rPr>
        <w:t>获得市级党组织荣誉表彰享受A类企业二星级优惠，获得省级及以上党组织荣誉表彰享受A类企业三星级优惠，优惠期限均为一年</w:t>
      </w:r>
      <w:r>
        <w:rPr>
          <w:rFonts w:hint="eastAsia" w:ascii="宋体" w:hAnsi="宋体" w:cs="Arial"/>
          <w:color w:val="auto"/>
          <w:szCs w:val="21"/>
          <w:highlight w:val="none"/>
          <w:lang w:eastAsia="zh-CN"/>
        </w:rPr>
        <w:t>；</w:t>
      </w:r>
    </w:p>
    <w:p>
      <w:pPr>
        <w:adjustRightInd w:val="0"/>
        <w:snapToGrid w:val="0"/>
        <w:spacing w:line="288" w:lineRule="auto"/>
        <w:ind w:left="0" w:leftChars="0" w:firstLine="420" w:firstLineChars="200"/>
        <w:rPr>
          <w:rFonts w:hint="eastAsia" w:ascii="宋体" w:hAnsi="宋体" w:cs="Arial"/>
          <w:color w:val="auto"/>
          <w:szCs w:val="21"/>
          <w:highlight w:val="none"/>
        </w:rPr>
      </w:pPr>
      <w:r>
        <w:rPr>
          <w:rFonts w:hint="eastAsia" w:ascii="宋体" w:hAnsi="宋体" w:cs="Arial"/>
          <w:color w:val="auto"/>
          <w:szCs w:val="21"/>
          <w:highlight w:val="none"/>
        </w:rPr>
        <w:t>参与“四同八助”党组织创建的企业，根据当年度创建结果，次年度按相应类别和星级享受优惠政策；受市级及以上党组织荣誉表彰的，从当年度评定之日起一年内，按不同层次享受优惠政策。</w:t>
      </w:r>
    </w:p>
    <w:p>
      <w:pPr>
        <w:adjustRightInd w:val="0"/>
        <w:snapToGrid w:val="0"/>
        <w:spacing w:line="288" w:lineRule="auto"/>
        <w:ind w:left="0" w:leftChars="0" w:firstLine="630" w:firstLineChars="300"/>
        <w:rPr>
          <w:rFonts w:hint="eastAsia" w:ascii="宋体" w:hAnsi="宋体" w:cs="Arial"/>
          <w:color w:val="auto"/>
          <w:szCs w:val="21"/>
          <w:highlight w:val="none"/>
          <w:lang w:val="en-US" w:eastAsia="zh-CN"/>
        </w:rPr>
      </w:pPr>
      <w:r>
        <w:rPr>
          <w:rFonts w:hint="eastAsia" w:ascii="宋体" w:hAnsi="宋体" w:cs="Arial"/>
          <w:color w:val="auto"/>
          <w:szCs w:val="21"/>
          <w:highlight w:val="none"/>
          <w:lang w:val="en-US" w:eastAsia="zh-CN"/>
        </w:rPr>
        <w:t>注：若中标人为非联合体，按上述优惠较大的标准提交履约保证金。</w:t>
      </w:r>
    </w:p>
    <w:p>
      <w:pPr>
        <w:adjustRightInd w:val="0"/>
        <w:snapToGrid w:val="0"/>
        <w:spacing w:line="288" w:lineRule="auto"/>
        <w:ind w:left="0" w:leftChars="0" w:firstLine="630" w:firstLineChars="300"/>
        <w:rPr>
          <w:rFonts w:hint="default" w:ascii="宋体" w:hAnsi="宋体" w:cs="Arial"/>
          <w:color w:val="auto"/>
          <w:szCs w:val="21"/>
          <w:highlight w:val="none"/>
          <w:lang w:val="en-US" w:eastAsia="zh-CN"/>
        </w:rPr>
      </w:pPr>
      <w:r>
        <w:rPr>
          <w:rFonts w:hint="default" w:ascii="宋体" w:hAnsi="宋体" w:cs="Arial"/>
          <w:color w:val="auto"/>
          <w:szCs w:val="21"/>
          <w:highlight w:val="none"/>
          <w:lang w:val="en-US" w:eastAsia="zh-CN"/>
        </w:rPr>
        <w:sym w:font="Wingdings" w:char="00A8"/>
      </w:r>
      <w:r>
        <w:rPr>
          <w:rFonts w:hint="eastAsia" w:ascii="宋体" w:hAnsi="宋体" w:cs="Arial"/>
          <w:color w:val="auto"/>
          <w:szCs w:val="21"/>
          <w:highlight w:val="none"/>
          <w:lang w:val="en-US" w:eastAsia="zh-CN"/>
        </w:rPr>
        <w:t>2.中标人中的施工单位为</w:t>
      </w:r>
      <w:r>
        <w:rPr>
          <w:rFonts w:hint="eastAsia" w:ascii="宋体" w:hAnsi="宋体" w:cs="Arial"/>
          <w:color w:val="auto"/>
          <w:szCs w:val="21"/>
          <w:highlight w:val="none"/>
        </w:rPr>
        <w:t>上年度获评泰州市建筑业综合实力三十强和专业十强企业,或在建筑业企业信用考评中当期得分达到90分以上的企业,在承建该领域的工程项目时,</w:t>
      </w:r>
      <w:r>
        <w:rPr>
          <w:rFonts w:hint="eastAsia" w:ascii="宋体" w:hAnsi="宋体" w:cs="Arial"/>
          <w:color w:val="auto"/>
          <w:szCs w:val="21"/>
          <w:highlight w:val="none"/>
          <w:lang w:val="en-US" w:eastAsia="zh-CN"/>
        </w:rPr>
        <w:t>中标人可</w:t>
      </w:r>
      <w:r>
        <w:rPr>
          <w:rFonts w:hint="eastAsia" w:ascii="宋体" w:hAnsi="宋体" w:cs="Arial"/>
          <w:color w:val="auto"/>
          <w:szCs w:val="21"/>
          <w:highlight w:val="none"/>
        </w:rPr>
        <w:t>减半</w:t>
      </w:r>
      <w:r>
        <w:rPr>
          <w:rFonts w:hint="eastAsia" w:ascii="宋体" w:hAnsi="宋体" w:cs="Arial"/>
          <w:color w:val="auto"/>
          <w:szCs w:val="21"/>
          <w:highlight w:val="none"/>
          <w:lang w:val="en-US" w:eastAsia="zh-CN"/>
        </w:rPr>
        <w:t>提交</w:t>
      </w:r>
      <w:r>
        <w:rPr>
          <w:rFonts w:hint="eastAsia" w:ascii="宋体" w:hAnsi="宋体" w:cs="Arial"/>
          <w:color w:val="auto"/>
          <w:szCs w:val="21"/>
          <w:highlight w:val="none"/>
        </w:rPr>
        <w:t>履约保证金</w:t>
      </w:r>
      <w:r>
        <w:rPr>
          <w:rFonts w:hint="eastAsia" w:ascii="宋体" w:hAnsi="宋体" w:cs="Arial"/>
          <w:color w:val="auto"/>
          <w:szCs w:val="21"/>
          <w:highlight w:val="none"/>
          <w:lang w:eastAsia="zh-CN"/>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4.3 工程总承包项目经理</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4.3.1 工程总承包项目经理姓名：</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执业资格或职称类型：</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执业资格证或职称证号码：</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联系电话：</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电子邮箱：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通信地址：</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承包人未提交劳动合同，以及没有为工程总承包项目经理缴纳社会保险证明的违约责任：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4.3.2 工程总承包项目经理每月在现场的时间要求：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工程总承包项目经理未经批准擅自离开施工现场的违约责任：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4.3.3 承包人对工程总承包项目经理的授权范围: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4.3.4 承包人擅自更换工程总承包项目经理的违约责任：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4.3.5 承包人无正当理由拒绝更换工程总承包项目经理的违约责任: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4.4 承包人人员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4.4.1 人员安排</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承包人提交项目管理机构及施工现场人员安排的报告的期限：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承包人提交关键人员信息及注册执业资格等证明其具备担任关键人员能力的相关文件的期限：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4.4.2 关键人员更换</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rPr>
        <w:t>承包人擅自更换关键人员的违约责任：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r>
        <w:rPr>
          <w:rFonts w:hint="eastAsia" w:asciiTheme="minorEastAsia" w:hAnsiTheme="minorEastAsia" w:eastAsiaTheme="minorEastAsia" w:cstheme="minorEastAsia"/>
          <w:color w:val="auto"/>
          <w:sz w:val="21"/>
          <w:szCs w:val="21"/>
          <w:highlight w:val="none"/>
          <w:lang w:val="en-US" w:eastAsia="zh-CN"/>
        </w:rPr>
        <w:t xml:space="preserve"> </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承包人无正当理由拒绝撤换关键人员的违约责任：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4.4.3 现场管理关键人员在岗要求</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承包人现场管理关键人员离开施工现场的批准要求：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承包人现场管理关键人员擅自离开施工现场的违约责任：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4.5 分包</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4.5.1 一般约定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禁止分包的工程包括：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4.5.2 分包的确定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允许分包的工程包括：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其他关于分包的约定：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4.5.5 分包合同价款支付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关于分包合同价款支付的约定：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4.6 联合体</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4.6.2 联合体各成员的分工、费用收取、发票开具等事项：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4.7 承包人现场查勘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4.7.1 双方当事人对现场查勘的责任承担的约定：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4.8 不可预见的困难</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不可预见的困难包括：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bCs w:val="0"/>
          <w:color w:val="auto"/>
          <w:sz w:val="21"/>
          <w:szCs w:val="21"/>
          <w:highlight w:val="none"/>
        </w:rPr>
      </w:pPr>
      <w:bookmarkStart w:id="806" w:name="_Toc54862336"/>
      <w:r>
        <w:rPr>
          <w:rFonts w:hint="eastAsia" w:asciiTheme="minorEastAsia" w:hAnsiTheme="minorEastAsia" w:eastAsiaTheme="minorEastAsia" w:cstheme="minorEastAsia"/>
          <w:b/>
          <w:bCs w:val="0"/>
          <w:color w:val="auto"/>
          <w:sz w:val="21"/>
          <w:szCs w:val="21"/>
          <w:highlight w:val="none"/>
        </w:rPr>
        <w:t>第5条 设计</w:t>
      </w:r>
      <w:bookmarkEnd w:id="806"/>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5.2 承包人文件审查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5.2.1 承包人文件审查的期限：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5.2.2 审查会议的审查形式和时间安排为：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，审查会议的相关费用由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承担。</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5.2.3 关于第三方审查单位的约定：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5.3 培训</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培训的时长为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，承包人应为培训提供的人员、设施和其它必要条件为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5.4 竣工文件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5.4.1 竣工文件的形式、提供的份数、技术标准以及其它相关要求：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5.4.3 关于竣工文件的其他约定：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5.5 操作和维修手册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5.5.3 对最终操作和维修手册的约定：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bCs w:val="0"/>
          <w:color w:val="auto"/>
          <w:sz w:val="21"/>
          <w:szCs w:val="21"/>
          <w:highlight w:val="none"/>
        </w:rPr>
      </w:pPr>
      <w:bookmarkStart w:id="807" w:name="_Toc54862337"/>
      <w:r>
        <w:rPr>
          <w:rFonts w:hint="eastAsia" w:asciiTheme="minorEastAsia" w:hAnsiTheme="minorEastAsia" w:eastAsiaTheme="minorEastAsia" w:cstheme="minorEastAsia"/>
          <w:b/>
          <w:bCs w:val="0"/>
          <w:color w:val="auto"/>
          <w:sz w:val="21"/>
          <w:szCs w:val="21"/>
          <w:highlight w:val="none"/>
        </w:rPr>
        <w:t>第6条 材料、工程设备</w:t>
      </w:r>
      <w:bookmarkEnd w:id="807"/>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6.1 实施方法</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双方当事人约定的实施方法、设备、设施和材料：</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6.2 材料和工程设备</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6.2.1 发包人提供的材料和工程设备</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发包人提供的材料和工程设备验收后，由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负责接收、运输和保管。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6.2.2 承包人提供的材料和工程设备</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材料和工程设备的类别、估算数量：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竣工后试验的生产性材料的类别或（和）清单：</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6.2.3 材料和工程设备的保管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发包人供应的材料和工程设备的保管费用由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承担。</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承包人提交保管、维护方案的时间：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发包人提供的库房、堆场、设施和设备：</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6.3 样品</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6.3.1 样品的报送与封存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需要承包人报送样品的材料或工程设备，样品种类、名称、规格、数量：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6.4 质量检查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6.4.1 工程质量要求</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工程质量的特殊标准或要求：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6.4.2 质量检查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除通用合同条件已列明的质量检查的地点外，发包人有权进行质量检查的其他地点：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6.4.3 隐蔽工程检查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关于隐蔽工程和中间验收的特别约定：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6.5 由承包人试验和检验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6.5.1 试验设备与试验人员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试验的内容、时间和地点：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试验所需要的试验设备、取样装置、试验场所和试验条件：</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试验和检验费用的计价原则：</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08" w:name="_Toc54862338"/>
      <w:r>
        <w:rPr>
          <w:rFonts w:hint="eastAsia" w:asciiTheme="minorEastAsia" w:hAnsiTheme="minorEastAsia" w:eastAsiaTheme="minorEastAsia" w:cstheme="minorEastAsia"/>
          <w:color w:val="auto"/>
          <w:sz w:val="21"/>
          <w:szCs w:val="21"/>
          <w:highlight w:val="none"/>
        </w:rPr>
        <w:t>第7条 施工</w:t>
      </w:r>
      <w:bookmarkEnd w:id="808"/>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7.1 交通运输</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7.1.1 出入现场的权利</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关于出入现场的权利的约定：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7.1.2 场外交通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关于场外交通的特别约定：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7.1.3 场内交通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关于场内交通的特别约定：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关于场内交通与场外交通边界的约定：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7.1.4 超大件和超重件的运输</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运输超大件或超重件所需的道路和桥梁临时加固改造费用和其他有关费用由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承担。</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7.2 施工设备和临时设施</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7.2.1 承包人提供的施工设备和临时设施</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临时设施的费用和临时占地手续和费用承担的特别约定：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7.2.2 发包人提供的施工设备和临时设施</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发包人提供的施工设备或临时设施范围：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7.3 现场合作</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关于现场合作费用的特别约定：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7.4 测量放线</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7.4.1 关于测量放线的特别约定的技术规范：</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。施工控制网资料的告知期限：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7.5 现场劳动用工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7.5.2 合同当事人对建筑工人工资清偿事宜和违约责任的约定：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7.6 安全文明施工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7.6.1 安全生产要求</w:t>
      </w:r>
    </w:p>
    <w:p>
      <w:pPr>
        <w:keepNext w:val="0"/>
        <w:keepLines w:val="0"/>
        <w:pageBreakBefore w:val="0"/>
        <w:kinsoku/>
        <w:wordWrap/>
        <w:overflowPunct/>
        <w:topLinePunct w:val="0"/>
        <w:autoSpaceDE/>
        <w:autoSpaceDN/>
        <w:bidi w:val="0"/>
        <w:spacing w:line="288" w:lineRule="auto"/>
        <w:ind w:left="124" w:leftChars="59"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合同当事人对安全施工的要求：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7.6.3 文明施工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合同当事人对文明施工的要求：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7.9 临时性公用设施</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关于临时性公用设施的特别约定：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7.10 现场安保</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承包人现场安保义务的特别约定：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09" w:name="_Toc54862339"/>
      <w:r>
        <w:rPr>
          <w:rFonts w:hint="eastAsia" w:asciiTheme="minorEastAsia" w:hAnsiTheme="minorEastAsia" w:eastAsiaTheme="minorEastAsia" w:cstheme="minorEastAsia"/>
          <w:color w:val="auto"/>
          <w:sz w:val="21"/>
          <w:szCs w:val="21"/>
          <w:highlight w:val="none"/>
        </w:rPr>
        <w:t>第8条 工期和进度</w:t>
      </w:r>
      <w:bookmarkEnd w:id="809"/>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8.1 开始工作</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8.1.1 开始准备工作：</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8.1.2 发包人可在计划开始工作之日起84日后发出开始工作通知的特殊情形：</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8.2 竣工日期</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竣工日期的约定：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8.3 项目实施计划</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8.3.1 项目实施计划的内容</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项目实施计划的内容：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8.3.2 项目实施计划的提交和修改</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项目实施计划的提交及修改期限：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8.4 项目进度计划</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8.4.1 工程师在收到进度计划后确认或提出修改意见的期限：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8.4.2 进度计划的具体要求：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关键路径及关键路径变化的确定原则：</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承包人提交项目进度计划的份数和时间：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8.4.3 进度计划的修订</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承包人提交修订项目进度计划申请报告的期限：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发包人批复修订项目进度计划申请报告的期限：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承包人答复发包人提出修订合同计划的期限：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8.5 进度报告</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进度报告的具体要求：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8.7 工期延误</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8.7.2 因承包人原因导致工期延误</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因承包人原因使竣工日期延误，每延误1日的误期赔偿金额为合同协议书的合同价格的</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%或人民币金额为：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、累计最高赔偿金额为合同协议书的合同价格的：</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%或人民币金额为：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8.7.3 行政审批迟延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行政审批报送的职责分工：</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8.7.4 异常恶劣的气候条件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双方约定视为异常恶劣的气候条件的情形：</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8.8 工期提前</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8.8.2 承包人提前竣工的奖励：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10" w:name="_Toc54862340"/>
      <w:r>
        <w:rPr>
          <w:rFonts w:hint="eastAsia" w:asciiTheme="minorEastAsia" w:hAnsiTheme="minorEastAsia" w:eastAsiaTheme="minorEastAsia" w:cstheme="minorEastAsia"/>
          <w:color w:val="auto"/>
          <w:sz w:val="21"/>
          <w:szCs w:val="21"/>
          <w:highlight w:val="none"/>
        </w:rPr>
        <w:t>第9条 竣工试验</w:t>
      </w:r>
      <w:bookmarkEnd w:id="810"/>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9.1 竣工试验的义务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9.1.3 竣工试验的阶段、内容和顺序：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竣工试验的操作要求：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11" w:name="_Toc4784273"/>
      <w:bookmarkEnd w:id="811"/>
      <w:bookmarkStart w:id="812" w:name="_Toc4784272"/>
      <w:bookmarkEnd w:id="812"/>
      <w:bookmarkStart w:id="813" w:name="_Toc54862341"/>
      <w:r>
        <w:rPr>
          <w:rFonts w:hint="eastAsia" w:asciiTheme="minorEastAsia" w:hAnsiTheme="minorEastAsia" w:eastAsiaTheme="minorEastAsia" w:cstheme="minorEastAsia"/>
          <w:color w:val="auto"/>
          <w:sz w:val="21"/>
          <w:szCs w:val="21"/>
          <w:highlight w:val="none"/>
        </w:rPr>
        <w:t>第10条 验收和工程接收</w:t>
      </w:r>
      <w:bookmarkEnd w:id="813"/>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10.1 竣工验收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10.1.2 关于竣工验收程序的约定：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bookmarkStart w:id="814" w:name="_Hlk46406260"/>
      <w:r>
        <w:rPr>
          <w:rFonts w:hint="eastAsia" w:asciiTheme="minorEastAsia" w:hAnsiTheme="minorEastAsia" w:eastAsiaTheme="minorEastAsia" w:cstheme="minorEastAsia"/>
          <w:color w:val="auto"/>
          <w:sz w:val="21"/>
          <w:szCs w:val="21"/>
          <w:highlight w:val="none"/>
        </w:rPr>
        <w:t>发包人不按照合同约定组织竣工验收、颁发工程接受证书的违约金的计算方式：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bookmarkEnd w:id="814"/>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10.3</w:t>
      </w:r>
      <w:r>
        <w:rPr>
          <w:rFonts w:hint="eastAsia" w:asciiTheme="minorEastAsia" w:hAnsiTheme="minorEastAsia" w:eastAsiaTheme="minorEastAsia" w:cstheme="minorEastAsia"/>
          <w:color w:val="auto"/>
          <w:sz w:val="21"/>
          <w:szCs w:val="21"/>
          <w:highlight w:val="none"/>
        </w:rPr>
        <w:tab/>
      </w:r>
      <w:r>
        <w:rPr>
          <w:rFonts w:hint="eastAsia" w:asciiTheme="minorEastAsia" w:hAnsiTheme="minorEastAsia" w:eastAsiaTheme="minorEastAsia" w:cstheme="minorEastAsia"/>
          <w:color w:val="auto"/>
          <w:sz w:val="21"/>
          <w:szCs w:val="21"/>
          <w:highlight w:val="none"/>
        </w:rPr>
        <w:t xml:space="preserve"> 工程的接收</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10.3.1工程接收的先后顺序、时间安排和其他要求：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10.3.2 接受工程时承包人需提交竣工验收资料的类别、内容、份数和提交时间：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10.3.3 发包人逾期接收工程的违约责任：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10.3.4 承包人无正当理由不移交工程的违约责任：</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10.4 接收证书</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10.4.1 工程接收证书颁发时间：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10.5 竣工退场</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10.5.1 竣工退场的相关约定：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10.5.3人员撤离</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工程师同意需在缺陷责任期内继续工作和使用的人员、施工设备和临时工程的内容：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15" w:name="_Toc54862342"/>
      <w:r>
        <w:rPr>
          <w:rFonts w:hint="eastAsia" w:asciiTheme="minorEastAsia" w:hAnsiTheme="minorEastAsia" w:eastAsiaTheme="minorEastAsia" w:cstheme="minorEastAsia"/>
          <w:color w:val="auto"/>
          <w:sz w:val="21"/>
          <w:szCs w:val="21"/>
          <w:highlight w:val="none"/>
        </w:rPr>
        <w:t>第11条 缺陷责任与保修</w:t>
      </w:r>
      <w:bookmarkEnd w:id="815"/>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11.2 缺陷责任期</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缺陷责任期的期限：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 缺陷调查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11.3.4 修复通知</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承包人收到保修通知并到达工程现场的合理时间：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11.6 缺陷责任期终止证书</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承包人应于缺陷责任期届满后</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天内向发包人发出缺陷责任期届满通知，发包人应在收到缺陷责任期满通知后</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天内核实承包人是否履行缺陷修复义务，承包人未能履行缺陷修复义务的，发包人有权扣除相应金额的维修费用。发包人应在收到缺陷责任期届满通知后</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天内，向承包人颁发缺陷责任期终止证书。</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11.7 保修责任</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工程质量保修范围、期限和责任为：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16" w:name="_Toc54862343"/>
      <w:r>
        <w:rPr>
          <w:rFonts w:hint="eastAsia" w:asciiTheme="minorEastAsia" w:hAnsiTheme="minorEastAsia" w:eastAsiaTheme="minorEastAsia" w:cstheme="minorEastAsia"/>
          <w:color w:val="auto"/>
          <w:sz w:val="21"/>
          <w:szCs w:val="21"/>
          <w:highlight w:val="none"/>
        </w:rPr>
        <w:t>第12条 竣工后试验</w:t>
      </w:r>
      <w:bookmarkEnd w:id="816"/>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本合同工程是否包含竣工后试验：</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12.1 竣工后试验的程序</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12.1.2 竣工后试验全部电力、水、污水处理、燃料、消耗品和材料，以及全部其他仪器、协助、文件或其他信息、设备、工具、劳力，启动工程设备，并组织安排有适当资质、经验和能力的工作人员等必要条件的提供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17" w:name="_Toc54862344"/>
      <w:r>
        <w:rPr>
          <w:rFonts w:hint="eastAsia" w:asciiTheme="minorEastAsia" w:hAnsiTheme="minorEastAsia" w:eastAsiaTheme="minorEastAsia" w:cstheme="minorEastAsia"/>
          <w:color w:val="auto"/>
          <w:sz w:val="21"/>
          <w:szCs w:val="21"/>
          <w:highlight w:val="none"/>
        </w:rPr>
        <w:t>第13条 变更与调整</w:t>
      </w:r>
      <w:bookmarkEnd w:id="817"/>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13.2 承包人的合理化建议</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13.2.2 工程师应在收到承包人提交的合理化建议后</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日内审查完毕并报送发包人，发现其中存在技术上的缺陷，应通知承包人修改。发包人应在收到工程师报送的合理化建议后</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日内审批完毕。合理化建议经发包人批准的，工程师应及时发出变更指示，由此引起的合同价格调整按照</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执行。发包人不同意变更的，工程师应书面通知承包人</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13.2.3 承包人提出的合理化变更建议的利益分享约定：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13.3 变更程序</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13.3.3 变更估价</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13.3.3.1 变更估价原则</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关于变更估价原则的约定：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13.4 暂估价</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13.4.1 依法必须招标的暂估价项目</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承包人可以参与投标的暂估价项目范围：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承包人不得参与投标的暂估价项目范围：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招投标程序及其他约定：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13.4.2 不属于依法必须招标的暂估价项目</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不属于依法必须招标的暂估价项目的协商及估价的约定：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13.5 暂列金额</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其他关于暂列金额使用的约定：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13.8 市场价格波动引起的调整</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13.8.2 关于是否采用《价格指数权重表》的约定：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13.8.3 关于采用其他方式调整合同价款的约定：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bookmarkStart w:id="818" w:name="_Toc54862345"/>
      <w:r>
        <w:rPr>
          <w:rFonts w:hint="eastAsia" w:asciiTheme="minorEastAsia" w:hAnsiTheme="minorEastAsia" w:eastAsiaTheme="minorEastAsia" w:cstheme="minorEastAsia"/>
          <w:color w:val="auto"/>
          <w:sz w:val="21"/>
          <w:szCs w:val="21"/>
          <w:highlight w:val="none"/>
        </w:rPr>
        <w:t>第14条 合同价格与支付</w:t>
      </w:r>
      <w:bookmarkEnd w:id="818"/>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14.1 合同价格形式</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14.1.1 关于合同价格形式的约定：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14.1.2 关于合同价格调整的约定：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14.1.3 按实际完成的工程量支付工程价款的计量方法、估价方法：</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lang w:val="en-US" w:eastAsia="zh-CN"/>
        </w:rPr>
        <w:t xml:space="preserve">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14.2 预付款</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14.2.1 预付款支付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预付款的金额或比例为：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预付款支付期限：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预付款扣回的方式：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14.2.2预付款担保</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提供预付款担保期限：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预付款担保形式：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14.3 工程进度款</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14.3.1 工程进度付款申请</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工程进度付款申请方式：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承包人提交进度付款申请单的格式、内容、份数和时间：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进度付款申请单应包括的内容：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14.3.2 进度付款审核和支付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进度付款的审核方式和支付的约定：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发包人应在进度款支付证书或临时进度款支付证书签发后的</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天内完成支付，发包人逾期支付进度款的，应按照</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支付违约金。</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14.4 付款计划表</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14.4.1 付款计划表的编制要求：</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14.4.2 付款计划表的编制与审批</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付款计划表的编制：</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14.5 竣工结算</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14.5.1 竣工结算申请</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承包人提交竣工结算申请的时间：</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竣工结算申请的资料清单和份数：</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竣工结算申请单的内容应包括：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14.5.2 竣工结算审核</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发包人审批竣工付款申请单的期限：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发包人完成竣工付款的期限：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关于竣工付款证书异议部分复核的方式和程序：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14.6 质量保证金</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14.6.1 承包人提供质量保证金的方式</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质量保证金采用以下第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种方式：</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 工程质量保证担保，保证金额为：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(2)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%的工程款；</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 其他方式：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2"/>
        <w:spacing w:before="0"/>
        <w:ind w:firstLine="630" w:firstLineChars="300"/>
        <w:rPr>
          <w:rFonts w:hint="eastAsia"/>
        </w:rPr>
      </w:pPr>
      <w:r>
        <w:rPr>
          <w:rFonts w:hint="eastAsia" w:ascii="宋体" w:hAnsi="宋体" w:cs="Arial"/>
          <w:color w:val="auto"/>
          <w:szCs w:val="21"/>
          <w:highlight w:val="none"/>
        </w:rPr>
        <w:sym w:font="Wingdings" w:char="00A8"/>
      </w:r>
      <w:r>
        <w:rPr>
          <w:rFonts w:hint="eastAsia" w:ascii="宋体" w:hAnsi="宋体" w:cs="Arial"/>
          <w:color w:val="auto"/>
          <w:szCs w:val="21"/>
          <w:highlight w:val="none"/>
        </w:rPr>
        <w:t>上年度获评泰州市建筑业综合实力三十强和专业十强企业,或在建筑业企业信用考评中当期得分达到90分以上的企业,在承建该领域的工程项目时</w:t>
      </w:r>
      <w:r>
        <w:rPr>
          <w:rFonts w:hint="eastAsia" w:ascii="宋体" w:hAnsi="宋体" w:cs="Arial"/>
          <w:color w:val="auto"/>
          <w:szCs w:val="21"/>
          <w:highlight w:val="none"/>
          <w:lang w:eastAsia="zh-CN"/>
        </w:rPr>
        <w:t>，</w:t>
      </w:r>
      <w:r>
        <w:rPr>
          <w:rFonts w:hint="eastAsia" w:ascii="宋体" w:hAnsi="宋体" w:cs="Arial"/>
          <w:color w:val="auto"/>
          <w:szCs w:val="21"/>
          <w:highlight w:val="none"/>
          <w:lang w:val="en-US" w:eastAsia="zh-CN"/>
        </w:rPr>
        <w:t>可减半缴纳</w:t>
      </w:r>
      <w:r>
        <w:rPr>
          <w:rFonts w:hint="eastAsia" w:ascii="宋体" w:hAnsi="宋体" w:cs="宋体"/>
          <w:color w:val="auto"/>
          <w:szCs w:val="21"/>
          <w:highlight w:val="none"/>
          <w:lang w:val="en-US" w:eastAsia="zh-CN"/>
        </w:rPr>
        <w:t>质量保修保证金。</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14.6.2 质量保证金的预留</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质量保证金的预留采取以下第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种方式：</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 在支付工程进度款时逐次预留的质量保证金的比例：</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，在此情形下，质量保证金的计算基数不包括预付款的支付、扣回以及价格调整的金额；</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 工程竣工结算时一次性预留专用合同条件第14.6.1项第(2)目约定的工程款预留比例的质量保证金；</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(3) 其他预留方式: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关于质量保证金的补充约定：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14.7 最终结清</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14.7.1 最终结清申请单</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当事人双方关于最终结清申请的其他约定：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14.7.2 最终结清证书和支付</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当事人双方关于最终结清支付的其他约定：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14.8 工程款账户相关约定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1、账户信息</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发包人应将合同价款依照合同约定，支付至合同协议书中约定的承包人账户，账户信息以合同协议书中承包人的开户银行和账号为准。</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2、账户变更</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合同双方是否能自行变更支付账号：</w:t>
      </w:r>
      <w:r>
        <w:rPr>
          <w:rFonts w:hint="eastAsia" w:asciiTheme="minorEastAsia" w:hAnsiTheme="minorEastAsia" w:eastAsiaTheme="minorEastAsia" w:cstheme="minorEastAsia"/>
          <w:color w:val="auto"/>
          <w:sz w:val="21"/>
          <w:szCs w:val="21"/>
          <w:highlight w:val="none"/>
          <w:lang w:val="en-US" w:eastAsia="zh-CN"/>
        </w:rPr>
        <w:sym w:font="Wingdings" w:char="00A8"/>
      </w:r>
      <w:r>
        <w:rPr>
          <w:rFonts w:hint="eastAsia" w:asciiTheme="minorEastAsia" w:hAnsiTheme="minorEastAsia" w:eastAsiaTheme="minorEastAsia" w:cstheme="minorEastAsia"/>
          <w:color w:val="auto"/>
          <w:sz w:val="21"/>
          <w:szCs w:val="21"/>
          <w:highlight w:val="none"/>
          <w:lang w:val="en-US" w:eastAsia="zh-CN"/>
        </w:rPr>
        <w:t xml:space="preserve">是  </w:t>
      </w:r>
      <w:r>
        <w:rPr>
          <w:rFonts w:hint="eastAsia" w:asciiTheme="minorEastAsia" w:hAnsiTheme="minorEastAsia" w:eastAsiaTheme="minorEastAsia" w:cstheme="minorEastAsia"/>
          <w:color w:val="auto"/>
          <w:sz w:val="21"/>
          <w:szCs w:val="21"/>
          <w:highlight w:val="none"/>
          <w:lang w:val="en-US" w:eastAsia="zh-CN"/>
        </w:rPr>
        <w:sym w:font="Wingdings" w:char="00A8"/>
      </w:r>
      <w:r>
        <w:rPr>
          <w:rFonts w:hint="eastAsia" w:asciiTheme="minorEastAsia" w:hAnsiTheme="minorEastAsia" w:eastAsiaTheme="minorEastAsia" w:cstheme="minorEastAsia"/>
          <w:color w:val="auto"/>
          <w:sz w:val="21"/>
          <w:szCs w:val="21"/>
          <w:highlight w:val="none"/>
          <w:lang w:val="en-US" w:eastAsia="zh-CN"/>
        </w:rPr>
        <w:t>否</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如勾选“否”，则变更支付账号，需经原账户开户银行书面同意。”</w:t>
      </w:r>
    </w:p>
    <w:p>
      <w:pPr>
        <w:keepNext w:val="0"/>
        <w:keepLines w:val="0"/>
        <w:pageBreakBefore w:val="0"/>
        <w:kinsoku/>
        <w:wordWrap/>
        <w:overflowPunct/>
        <w:topLinePunct w:val="0"/>
        <w:autoSpaceDE/>
        <w:autoSpaceDN/>
        <w:bidi w:val="0"/>
        <w:spacing w:line="288" w:lineRule="auto"/>
        <w:ind w:firstLine="600"/>
        <w:textAlignment w:val="auto"/>
        <w:rPr>
          <w:rFonts w:hint="default"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注：承包人账户信息（开户行、账号），在主合同“合同协议书”中有明确表述。</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val="0"/>
          <w:bCs/>
          <w:color w:val="auto"/>
          <w:sz w:val="21"/>
          <w:szCs w:val="21"/>
          <w:highlight w:val="none"/>
        </w:rPr>
      </w:pPr>
      <w:bookmarkStart w:id="819" w:name="_Toc54862346"/>
      <w:r>
        <w:rPr>
          <w:rFonts w:hint="eastAsia" w:asciiTheme="minorEastAsia" w:hAnsiTheme="minorEastAsia" w:eastAsiaTheme="minorEastAsia" w:cstheme="minorEastAsia"/>
          <w:b w:val="0"/>
          <w:bCs/>
          <w:color w:val="auto"/>
          <w:sz w:val="21"/>
          <w:szCs w:val="21"/>
          <w:highlight w:val="none"/>
        </w:rPr>
        <w:t>第15条 违约</w:t>
      </w:r>
      <w:bookmarkEnd w:id="819"/>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15.1 发包人违约</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15.1.1 发包人违约的情形</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发包人违约的其他情形</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15.1.3 发包人违约的责任</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发包人违约责任的承担方式和计算方法：</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15.2 承包人违约</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15.2.1 承包人违约的情形</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承包人违约的其他情形：</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15.2.2 通知改正</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工程师通知承包人改正的合理期限是：</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15.2.3 承包人违约的责任</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承包人违约责任的承担方式和计算方法：</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val="0"/>
          <w:bCs/>
          <w:color w:val="auto"/>
          <w:sz w:val="21"/>
          <w:szCs w:val="21"/>
          <w:highlight w:val="none"/>
        </w:rPr>
      </w:pPr>
      <w:bookmarkStart w:id="820" w:name="_Toc54862347"/>
      <w:r>
        <w:rPr>
          <w:rFonts w:hint="eastAsia" w:asciiTheme="minorEastAsia" w:hAnsiTheme="minorEastAsia" w:eastAsiaTheme="minorEastAsia" w:cstheme="minorEastAsia"/>
          <w:b w:val="0"/>
          <w:bCs/>
          <w:color w:val="auto"/>
          <w:sz w:val="21"/>
          <w:szCs w:val="21"/>
          <w:highlight w:val="none"/>
        </w:rPr>
        <w:t>第16条 合同解除</w:t>
      </w:r>
      <w:bookmarkEnd w:id="820"/>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16.1 由发包人解除合同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16.1.1 因承包人违约解除合同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双方约定可由发包人解除合同的其他事由：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16.2 由承包人解除合同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16.2.1 因发包人违约解除合同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双方约定可由承包人解除合同的其他事由：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val="0"/>
          <w:bCs/>
          <w:color w:val="auto"/>
          <w:sz w:val="21"/>
          <w:szCs w:val="21"/>
          <w:highlight w:val="none"/>
        </w:rPr>
      </w:pPr>
      <w:bookmarkStart w:id="821" w:name="_Toc54862348"/>
      <w:r>
        <w:rPr>
          <w:rFonts w:hint="eastAsia" w:asciiTheme="minorEastAsia" w:hAnsiTheme="minorEastAsia" w:eastAsiaTheme="minorEastAsia" w:cstheme="minorEastAsia"/>
          <w:b w:val="0"/>
          <w:bCs/>
          <w:color w:val="auto"/>
          <w:sz w:val="21"/>
          <w:szCs w:val="21"/>
          <w:highlight w:val="none"/>
        </w:rPr>
        <w:t>第17条 不可抗力</w:t>
      </w:r>
      <w:bookmarkEnd w:id="821"/>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17.1 不可抗力的定义</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除通用合同条件约定的不可抗力事件之外，视为不可抗力的其他情形：</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17.6 因不可抗力解除合同</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合同解除后，发包人应当在商定或确定发包人应支付款项后的</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天内完成款项的支付。</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val="0"/>
          <w:bCs/>
          <w:color w:val="auto"/>
          <w:sz w:val="21"/>
          <w:szCs w:val="21"/>
          <w:highlight w:val="none"/>
        </w:rPr>
      </w:pPr>
      <w:bookmarkStart w:id="822" w:name="_Toc4784277"/>
      <w:bookmarkEnd w:id="822"/>
      <w:bookmarkStart w:id="823" w:name="_Toc4784276"/>
      <w:bookmarkEnd w:id="823"/>
      <w:bookmarkStart w:id="824" w:name="_Toc54862349"/>
      <w:r>
        <w:rPr>
          <w:rFonts w:hint="eastAsia" w:asciiTheme="minorEastAsia" w:hAnsiTheme="minorEastAsia" w:eastAsiaTheme="minorEastAsia" w:cstheme="minorEastAsia"/>
          <w:b w:val="0"/>
          <w:bCs/>
          <w:color w:val="auto"/>
          <w:sz w:val="21"/>
          <w:szCs w:val="21"/>
          <w:highlight w:val="none"/>
        </w:rPr>
        <w:t>第18条 保险</w:t>
      </w:r>
      <w:bookmarkEnd w:id="824"/>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18.1 设计和工程保险</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18.1.1 双方当事人关于设计和工程保险的特别约定：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18.1.2 双方当事人关于第三方责任险的特别约定：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18.2 工伤和意外伤害保险</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18.2.3 关于工伤保险和意外伤害保险的特别约定：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18.3 货物保险</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关于承包人应为其施工设备、材料、工程设备和临时工程等办理财产保险的特别约定：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18.4 其他保险</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关于其他保险的约定：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18.5 对各项保险的一般要求</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18.5.2 保险凭证</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保险单的条件：</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18.5.4 通知义务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关于变更保险合同时的通知义务的约定：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pStyle w:val="186"/>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b w:val="0"/>
          <w:bCs/>
          <w:color w:val="auto"/>
          <w:sz w:val="21"/>
          <w:szCs w:val="21"/>
          <w:highlight w:val="none"/>
        </w:rPr>
      </w:pPr>
      <w:bookmarkStart w:id="825" w:name="_Toc54862350"/>
      <w:r>
        <w:rPr>
          <w:rFonts w:hint="eastAsia" w:asciiTheme="minorEastAsia" w:hAnsiTheme="minorEastAsia" w:eastAsiaTheme="minorEastAsia" w:cstheme="minorEastAsia"/>
          <w:b w:val="0"/>
          <w:bCs/>
          <w:color w:val="auto"/>
          <w:sz w:val="21"/>
          <w:szCs w:val="21"/>
          <w:highlight w:val="none"/>
        </w:rPr>
        <w:t>第20条 争议解决</w:t>
      </w:r>
      <w:bookmarkEnd w:id="825"/>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20.3 争议评审</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合同当事人是否同意将工程争议提交争议评审小组决定： </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20.3.1 争议评审小组的确定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争议评审小组成员的人数：</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争议评审小组成员的确定：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选定争议避免/评审组的期限：</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评审机构：</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其他事项的约定：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争议评审员报酬的承担人：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20.3.2 争议的避免</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发包人和承包人是否均出席争议避免的非正式讨论：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20.3.3 争议评审小组的决定</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关于争议评审小组的决定的特别约定：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20.4 仲裁或诉讼</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因合同及合同有关事项发生的争议，按下列第</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种方式解决：</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（1）向</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仲裁委员会申请仲裁；</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（2）向</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人民法院起诉。</w:t>
      </w:r>
    </w:p>
    <w:p>
      <w:pPr>
        <w:keepNext w:val="0"/>
        <w:keepLines w:val="0"/>
        <w:pageBreakBefore w:val="0"/>
        <w:kinsoku/>
        <w:wordWrap/>
        <w:overflowPunct/>
        <w:topLinePunct w:val="0"/>
        <w:autoSpaceDE/>
        <w:autoSpaceDN/>
        <w:bidi w:val="0"/>
        <w:spacing w:line="288" w:lineRule="auto"/>
        <w:ind w:firstLine="0"/>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第21条 其他</w:t>
      </w:r>
    </w:p>
    <w:p>
      <w:pPr>
        <w:spacing w:line="332" w:lineRule="auto"/>
        <w:ind w:firstLine="420"/>
        <w:rPr>
          <w:rFonts w:hint="eastAsia" w:ascii="宋体" w:hAnsi="宋体"/>
          <w:bCs w:val="0"/>
          <w:color w:val="auto"/>
          <w:szCs w:val="32"/>
          <w:highlight w:val="none"/>
          <w:lang w:val="en-US" w:eastAsia="zh-CN"/>
        </w:rPr>
      </w:pPr>
      <w:r>
        <w:rPr>
          <w:rFonts w:hint="eastAsia" w:ascii="宋体" w:hAnsi="宋体"/>
          <w:bCs w:val="0"/>
          <w:color w:val="auto"/>
          <w:szCs w:val="32"/>
          <w:highlight w:val="none"/>
          <w:lang w:val="en-US" w:eastAsia="zh-CN"/>
        </w:rPr>
        <w:t xml:space="preserve">21.1 围挡设置 </w:t>
      </w:r>
    </w:p>
    <w:p>
      <w:pPr>
        <w:spacing w:line="332" w:lineRule="auto"/>
        <w:ind w:firstLine="420"/>
        <w:rPr>
          <w:rFonts w:hint="default" w:ascii="宋体" w:hAnsi="宋体"/>
          <w:color w:val="auto"/>
          <w:szCs w:val="32"/>
          <w:highlight w:val="none"/>
          <w:lang w:val="en-US" w:eastAsia="zh-CN"/>
        </w:rPr>
      </w:pPr>
      <w:r>
        <w:rPr>
          <w:rFonts w:hint="eastAsia" w:ascii="宋体" w:hAnsi="宋体"/>
          <w:bCs w:val="0"/>
          <w:color w:val="auto"/>
          <w:szCs w:val="32"/>
          <w:highlight w:val="none"/>
          <w:lang w:val="en-US" w:eastAsia="zh-CN"/>
        </w:rPr>
        <w:t>承包人</w:t>
      </w:r>
      <w:r>
        <w:rPr>
          <w:rFonts w:hint="eastAsia" w:ascii="宋体" w:hAnsi="宋体" w:cs="宋体"/>
          <w:color w:val="auto"/>
          <w:szCs w:val="21"/>
          <w:highlight w:val="none"/>
          <w:lang w:val="en-US" w:eastAsia="zh-CN"/>
        </w:rPr>
        <w:t>应</w:t>
      </w:r>
      <w:r>
        <w:rPr>
          <w:rFonts w:hint="eastAsia" w:ascii="宋体" w:hAnsi="宋体" w:cs="宋体"/>
          <w:color w:val="auto"/>
          <w:szCs w:val="21"/>
          <w:highlight w:val="none"/>
        </w:rPr>
        <w:t>严格按照《泰州市建设工程施工现场围挡示范图集（2020年第一版）》设置围挡。</w:t>
      </w:r>
    </w:p>
    <w:p>
      <w:pPr>
        <w:spacing w:line="332" w:lineRule="auto"/>
        <w:ind w:firstLine="420"/>
        <w:rPr>
          <w:rFonts w:hint="default" w:ascii="宋体" w:hAnsi="宋体" w:eastAsia="宋体"/>
          <w:color w:val="auto"/>
          <w:szCs w:val="32"/>
          <w:highlight w:val="none"/>
          <w:u w:val="single"/>
          <w:lang w:val="en-US" w:eastAsia="zh-CN"/>
        </w:rPr>
      </w:pPr>
      <w:r>
        <w:rPr>
          <w:rFonts w:hint="eastAsia" w:ascii="宋体" w:hAnsi="宋体"/>
          <w:color w:val="auto"/>
          <w:szCs w:val="32"/>
          <w:highlight w:val="none"/>
          <w:lang w:val="en-US" w:eastAsia="zh-CN"/>
        </w:rPr>
        <w:t>21.2</w:t>
      </w:r>
      <w:r>
        <w:rPr>
          <w:rFonts w:ascii="宋体" w:hAnsi="宋体"/>
          <w:szCs w:val="32"/>
        </w:rPr>
        <w:sym w:font="Wingdings" w:char="00A8"/>
      </w:r>
      <w:r>
        <w:rPr>
          <w:rFonts w:hint="eastAsia" w:ascii="宋体" w:hAnsi="宋体"/>
          <w:szCs w:val="32"/>
          <w:lang w:val="en-US" w:eastAsia="zh-CN"/>
        </w:rPr>
        <w:t>工程款支付</w:t>
      </w:r>
      <w:r>
        <w:rPr>
          <w:rFonts w:hint="eastAsia"/>
          <w:szCs w:val="32"/>
          <w:lang w:val="en-US" w:eastAsia="zh-CN"/>
        </w:rPr>
        <w:t>优先采用数字人民币付款；</w:t>
      </w:r>
    </w:p>
    <w:p>
      <w:pPr>
        <w:keepNext w:val="0"/>
        <w:keepLines w:val="0"/>
        <w:pageBreakBefore w:val="0"/>
        <w:kinsoku/>
        <w:wordWrap/>
        <w:overflowPunct/>
        <w:topLinePunct w:val="0"/>
        <w:autoSpaceDE/>
        <w:autoSpaceDN/>
        <w:bidi w:val="0"/>
        <w:spacing w:line="288" w:lineRule="auto"/>
        <w:ind w:firstLine="0"/>
        <w:textAlignment w:val="auto"/>
        <w:rPr>
          <w:rFonts w:hint="default" w:asciiTheme="minorEastAsia" w:hAnsiTheme="minorEastAsia" w:eastAsiaTheme="minorEastAsia" w:cstheme="minorEastAsia"/>
          <w:color w:val="auto"/>
          <w:sz w:val="21"/>
          <w:szCs w:val="21"/>
          <w:highlight w:val="none"/>
          <w:lang w:val="en-US" w:eastAsia="zh-CN"/>
        </w:rPr>
      </w:pP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sectPr>
          <w:headerReference r:id="rId20" w:type="default"/>
          <w:pgSz w:w="11906" w:h="16838"/>
          <w:pgMar w:top="1440" w:right="1800" w:bottom="1440" w:left="1800" w:header="720" w:footer="998" w:gutter="0"/>
          <w:cols w:space="720" w:num="1"/>
          <w:docGrid w:linePitch="326" w:charSpace="0"/>
        </w:sectPr>
      </w:pPr>
    </w:p>
    <w:p>
      <w:pPr>
        <w:pStyle w:val="188"/>
        <w:keepNext w:val="0"/>
        <w:keepLines w:val="0"/>
        <w:pageBreakBefore w:val="0"/>
        <w:widowControl/>
        <w:kinsoku/>
        <w:wordWrap/>
        <w:overflowPunct/>
        <w:topLinePunct w:val="0"/>
        <w:autoSpaceDE/>
        <w:autoSpaceDN/>
        <w:bidi w:val="0"/>
        <w:adjustRightInd w:val="0"/>
        <w:snapToGrid w:val="0"/>
        <w:spacing w:before="0" w:after="50" w:line="288" w:lineRule="auto"/>
        <w:textAlignment w:val="auto"/>
        <w:rPr>
          <w:rFonts w:hint="eastAsia" w:asciiTheme="minorEastAsia" w:hAnsiTheme="minorEastAsia" w:eastAsiaTheme="minorEastAsia" w:cstheme="minorEastAsia"/>
          <w:color w:val="auto"/>
          <w:sz w:val="21"/>
          <w:szCs w:val="21"/>
          <w:highlight w:val="none"/>
        </w:rPr>
      </w:pPr>
      <w:bookmarkStart w:id="826" w:name="_Toc6828"/>
      <w:bookmarkStart w:id="827" w:name="_Toc54862351"/>
      <w:bookmarkStart w:id="828" w:name="_Toc21636"/>
      <w:bookmarkStart w:id="829" w:name="_Toc20670"/>
      <w:bookmarkStart w:id="830" w:name="_Toc12407"/>
      <w:bookmarkStart w:id="831" w:name="_Toc4279"/>
      <w:bookmarkStart w:id="832" w:name="_Toc12931"/>
      <w:r>
        <w:rPr>
          <w:rFonts w:hint="eastAsia" w:asciiTheme="minorEastAsia" w:hAnsiTheme="minorEastAsia" w:eastAsiaTheme="minorEastAsia" w:cstheme="minorEastAsia"/>
          <w:color w:val="auto"/>
          <w:sz w:val="21"/>
          <w:szCs w:val="21"/>
          <w:highlight w:val="none"/>
        </w:rPr>
        <w:t>专用合同条件附件</w:t>
      </w:r>
      <w:bookmarkEnd w:id="826"/>
      <w:bookmarkEnd w:id="827"/>
      <w:bookmarkEnd w:id="828"/>
      <w:bookmarkEnd w:id="829"/>
      <w:bookmarkEnd w:id="830"/>
      <w:bookmarkEnd w:id="831"/>
      <w:bookmarkEnd w:id="832"/>
    </w:p>
    <w:p>
      <w:pPr>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附件1：发包人要求</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附件2：发包人供应材料设备一览表</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附件3：工程质量保修书</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附件4：主要建设工程文件目录</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附件5：承包人主要管理人员表</w:t>
      </w:r>
    </w:p>
    <w:p>
      <w:pPr>
        <w:keepNext w:val="0"/>
        <w:keepLines w:val="0"/>
        <w:pageBreakBefore w:val="0"/>
        <w:kinsoku/>
        <w:wordWrap/>
        <w:overflowPunct/>
        <w:topLinePunct w:val="0"/>
        <w:autoSpaceDE/>
        <w:autoSpaceDN/>
        <w:bidi w:val="0"/>
        <w:spacing w:line="288" w:lineRule="auto"/>
        <w:ind w:firstLine="600"/>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附件6：价格指数权重表</w:t>
      </w:r>
    </w:p>
    <w:p>
      <w:pPr>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p>
    <w:p>
      <w:pPr>
        <w:keepNext w:val="0"/>
        <w:keepLines w:val="0"/>
        <w:pageBreakBefore w:val="0"/>
        <w:kinsoku/>
        <w:wordWrap/>
        <w:overflowPunct/>
        <w:topLinePunct w:val="0"/>
        <w:autoSpaceDE/>
        <w:autoSpaceDN/>
        <w:bidi w:val="0"/>
        <w:spacing w:line="288" w:lineRule="auto"/>
        <w:textAlignment w:val="auto"/>
        <w:rPr>
          <w:rFonts w:hint="eastAsia" w:asciiTheme="minorEastAsia" w:hAnsiTheme="minorEastAsia" w:eastAsiaTheme="minorEastAsia" w:cstheme="minorEastAsia"/>
          <w:color w:val="auto"/>
          <w:sz w:val="21"/>
          <w:szCs w:val="21"/>
          <w:highlight w:val="none"/>
        </w:rPr>
      </w:pPr>
    </w:p>
    <w:p>
      <w:pPr>
        <w:wordWrap/>
        <w:topLinePunct w:val="0"/>
        <w:rPr>
          <w:color w:val="auto"/>
          <w:sz w:val="21"/>
          <w:szCs w:val="21"/>
          <w:highlight w:val="none"/>
        </w:rPr>
      </w:pPr>
    </w:p>
    <w:p>
      <w:pPr>
        <w:wordWrap/>
        <w:topLinePunct w:val="0"/>
        <w:adjustRightInd/>
        <w:snapToGrid/>
        <w:spacing w:after="0" w:afterLines="0" w:line="240" w:lineRule="auto"/>
        <w:ind w:firstLine="0" w:firstLineChars="0"/>
        <w:jc w:val="left"/>
        <w:rPr>
          <w:color w:val="auto"/>
          <w:sz w:val="21"/>
          <w:szCs w:val="21"/>
          <w:highlight w:val="none"/>
        </w:rPr>
      </w:pPr>
      <w:r>
        <w:rPr>
          <w:color w:val="auto"/>
          <w:sz w:val="21"/>
          <w:szCs w:val="21"/>
          <w:highlight w:val="none"/>
        </w:rPr>
        <w:br w:type="page"/>
      </w:r>
    </w:p>
    <w:p>
      <w:pPr>
        <w:pStyle w:val="189"/>
        <w:numPr>
          <w:ilvl w:val="0"/>
          <w:numId w:val="0"/>
        </w:numPr>
        <w:rPr>
          <w:color w:val="auto"/>
          <w:sz w:val="21"/>
          <w:szCs w:val="21"/>
          <w:highlight w:val="none"/>
        </w:rPr>
      </w:pPr>
      <w:bookmarkStart w:id="833" w:name="_Toc54862352"/>
      <w:bookmarkStart w:id="834" w:name="_Hlk38571789"/>
      <w:r>
        <w:rPr>
          <w:rFonts w:hint="eastAsia"/>
          <w:color w:val="auto"/>
          <w:sz w:val="21"/>
          <w:szCs w:val="21"/>
          <w:highlight w:val="none"/>
        </w:rPr>
        <w:t>附件1</w:t>
      </w:r>
      <w:r>
        <w:rPr>
          <w:color w:val="auto"/>
          <w:sz w:val="21"/>
          <w:szCs w:val="21"/>
          <w:highlight w:val="none"/>
        </w:rPr>
        <w:t xml:space="preserve"> </w:t>
      </w:r>
      <w:r>
        <w:rPr>
          <w:rFonts w:hint="eastAsia"/>
          <w:color w:val="auto"/>
          <w:sz w:val="21"/>
          <w:szCs w:val="21"/>
          <w:highlight w:val="none"/>
        </w:rPr>
        <w:t>《发包人要求》</w:t>
      </w:r>
      <w:bookmarkEnd w:id="833"/>
    </w:p>
    <w:bookmarkEnd w:id="834"/>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要求》应尽可能清晰准确，对于可以进行定量评估的工作，《发包人要求》不仅应明确规定其产能、功能、用途、质量、环境、安全，并且要规定偏离的范围和计算方法，以及检验、试验、试运行的具体要求。对于承包人负责提供的有关设备和服务，对发包人人员进行培训和提供一些消耗品等，在《发包人要求》中应一并明确规定。</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《发包人要求》通常包括但不限于以下内容：</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一、功能要求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（一）工程目的。</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（二）工程规模。</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（三）性能保证指标（性能保证表）。</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（四）产能保证指标。</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二、工程范围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（一）概述</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（二）包括的工作</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 永久工程的设计、采购、施工范围。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 临时工程的设计与施工范围。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 竣工验收工作范围。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 技术服务工作范围。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 培训工作范围。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 保修工作范围。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（三）工作界区</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（四）发包人提供的现场条件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 施工用电。</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 施工用水。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 施工排水。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 施工道路。</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（五）发包人提供的技术文件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除另有批准外，承包人的工作需要遵照发包人的下列技术文件: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 发包人需求任务书。</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 发包人已完成的设计文件。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三、工艺安排或要求（如有）</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四、时间要求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（一）开始工作时间。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（二）设计完成时间。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（三）进度计划。</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（四）竣工时间。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（五）缺陷责任期。</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（六）其他时间要求。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五、技术要求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（一）设计阶段和设计任务。</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（二）设计标准和规范。</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（三）技术标准和要求。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（四）质量标准。</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（五）设计、施工和设备监造、试验（如有）。</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（六）样品。</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（七）发包人提供的其他条件，如发包人或其委托的第三人提供的设计、工艺包、用于试验检验的工器具等，以及据此对承包人提出的予以配套的要求。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六、竣工试验</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（一）第一阶段，如对单车试验等的要求，包括试验前准备。</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（二）第二阶段，如对联动试车、投料试车等的要求，包括人员、设备、材料、燃料、电力、消耗品、工具等必要条件。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（三）第三阶段，如对性能测试及其他竣工试验的要求，包括产能指标、产品质量标准、运营指标、环保指标等。</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七、竣工验收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八、竣工后试验（如有）</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九、文件要求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（一）设计文件，及其相关审批、核准、备案要求。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（二）沟通计划。</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（三）风险管理计划。</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（四）竣工文件和工程的其他记录。</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（五）操作和维修手册。</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（六）其他承包人文件。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十、工程项目管理规定</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（一）质量。</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（二）进度，包括里程碑进度计划（如果有）。</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（三）支付。</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（四）HSE（健康、安全与环境管理体系）。</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（五）沟通。</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（六）变更。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十一、其他要求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（一）对承包人的主要人员资格要求。</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（二）相关审批、核准和备案手续的办理。</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（三）对项目业主人员的操作培训。</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（四）分包。</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（五）设备供应商。</w:t>
      </w:r>
    </w:p>
    <w:p>
      <w:pPr>
        <w:keepNext w:val="0"/>
        <w:keepLines w:val="0"/>
        <w:pageBreakBefore w:val="0"/>
        <w:widowControl w:val="0"/>
        <w:kinsoku/>
        <w:wordWrap/>
        <w:overflowPunct/>
        <w:topLinePunct w:val="0"/>
        <w:autoSpaceDE/>
        <w:autoSpaceDN/>
        <w:bidi w:val="0"/>
        <w:adjustRightInd/>
        <w:snapToGrid/>
        <w:spacing w:line="288" w:lineRule="auto"/>
        <w:ind w:left="600" w:firstLine="0" w:firstLineChars="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（六）缺陷责任期的服务要求。</w:t>
      </w:r>
    </w:p>
    <w:p>
      <w:pPr>
        <w:wordWrap/>
        <w:topLinePunct w:val="0"/>
        <w:adjustRightInd/>
        <w:snapToGrid/>
        <w:spacing w:after="0" w:afterLines="0" w:line="240" w:lineRule="auto"/>
        <w:ind w:firstLine="0" w:firstLineChars="0"/>
        <w:jc w:val="left"/>
        <w:rPr>
          <w:color w:val="auto"/>
          <w:highlight w:val="none"/>
        </w:rPr>
      </w:pPr>
    </w:p>
    <w:p>
      <w:pPr>
        <w:wordWrap/>
        <w:topLinePunct w:val="0"/>
        <w:adjustRightInd/>
        <w:snapToGrid/>
        <w:spacing w:after="0" w:afterLines="0" w:line="240" w:lineRule="auto"/>
        <w:ind w:firstLine="0" w:firstLineChars="0"/>
        <w:jc w:val="left"/>
        <w:rPr>
          <w:color w:val="auto"/>
          <w:highlight w:val="none"/>
        </w:rPr>
      </w:pPr>
    </w:p>
    <w:p>
      <w:pPr>
        <w:pStyle w:val="189"/>
        <w:numPr>
          <w:ilvl w:val="0"/>
          <w:numId w:val="0"/>
        </w:numPr>
        <w:rPr>
          <w:rFonts w:hint="eastAsia"/>
          <w:color w:val="auto"/>
          <w:highlight w:val="none"/>
        </w:rPr>
      </w:pPr>
      <w:bookmarkStart w:id="835" w:name="_Toc20171894"/>
      <w:bookmarkStart w:id="836" w:name="_Toc54862353"/>
      <w:r>
        <w:rPr>
          <w:rFonts w:hint="eastAsia"/>
          <w:color w:val="auto"/>
          <w:highlight w:val="none"/>
        </w:rPr>
        <w:br w:type="page"/>
      </w:r>
    </w:p>
    <w:p>
      <w:pPr>
        <w:pStyle w:val="189"/>
        <w:numPr>
          <w:ilvl w:val="0"/>
          <w:numId w:val="0"/>
        </w:numPr>
        <w:rPr>
          <w:color w:val="auto"/>
          <w:highlight w:val="none"/>
        </w:rPr>
      </w:pPr>
      <w:r>
        <w:rPr>
          <w:rFonts w:hint="eastAsia"/>
          <w:color w:val="auto"/>
          <w:highlight w:val="none"/>
        </w:rPr>
        <w:t>附件2</w:t>
      </w:r>
      <w:r>
        <w:rPr>
          <w:color w:val="auto"/>
          <w:highlight w:val="none"/>
        </w:rPr>
        <w:t xml:space="preserve"> 发包人供应材料设备一览表</w:t>
      </w:r>
      <w:bookmarkEnd w:id="835"/>
      <w:bookmarkEnd w:id="836"/>
    </w:p>
    <w:tbl>
      <w:tblPr>
        <w:tblStyle w:val="44"/>
        <w:tblW w:w="919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552"/>
        <w:gridCol w:w="1165"/>
        <w:gridCol w:w="1126"/>
        <w:gridCol w:w="567"/>
        <w:gridCol w:w="686"/>
        <w:gridCol w:w="992"/>
        <w:gridCol w:w="1134"/>
        <w:gridCol w:w="1134"/>
        <w:gridCol w:w="1134"/>
        <w:gridCol w:w="70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552"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序号</w:t>
            </w:r>
          </w:p>
        </w:tc>
        <w:tc>
          <w:tcPr>
            <w:tcW w:w="1165"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材料、设备品种</w:t>
            </w:r>
          </w:p>
        </w:tc>
        <w:tc>
          <w:tcPr>
            <w:tcW w:w="1126"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规格型号</w:t>
            </w:r>
          </w:p>
        </w:tc>
        <w:tc>
          <w:tcPr>
            <w:tcW w:w="567"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单位</w:t>
            </w:r>
          </w:p>
        </w:tc>
        <w:tc>
          <w:tcPr>
            <w:tcW w:w="686"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数量</w:t>
            </w:r>
          </w:p>
        </w:tc>
        <w:tc>
          <w:tcPr>
            <w:tcW w:w="992"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单价（元）</w:t>
            </w:r>
          </w:p>
        </w:tc>
        <w:tc>
          <w:tcPr>
            <w:tcW w:w="1134"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质量等级</w:t>
            </w:r>
          </w:p>
        </w:tc>
        <w:tc>
          <w:tcPr>
            <w:tcW w:w="1134"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供应时间</w:t>
            </w:r>
          </w:p>
        </w:tc>
        <w:tc>
          <w:tcPr>
            <w:tcW w:w="1134"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送达地点</w:t>
            </w:r>
          </w:p>
        </w:tc>
        <w:tc>
          <w:tcPr>
            <w:tcW w:w="709"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165"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126"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567"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686"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992" w:type="dxa"/>
            <w:tcBorders>
              <w:top w:val="double" w:color="auto" w:sz="6" w:space="0"/>
              <w:bottom w:val="single" w:color="auto" w:sz="6" w:space="0"/>
            </w:tcBorders>
            <w:vAlign w:val="top"/>
          </w:tcPr>
          <w:p>
            <w:pPr>
              <w:pStyle w:val="19"/>
              <w:wordWrap/>
              <w:topLinePunct w:val="0"/>
              <w:rPr>
                <w:rFonts w:ascii="仿宋_GB2312" w:eastAsia="仿宋_GB2312"/>
                <w:color w:val="auto"/>
                <w:highlight w:val="none"/>
              </w:rPr>
            </w:pPr>
          </w:p>
        </w:tc>
        <w:tc>
          <w:tcPr>
            <w:tcW w:w="1134"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134"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134"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709"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tcBorders>
              <w:top w:val="nil"/>
            </w:tcBorders>
            <w:vAlign w:val="center"/>
          </w:tcPr>
          <w:p>
            <w:pPr>
              <w:pStyle w:val="19"/>
              <w:wordWrap/>
              <w:topLinePunct w:val="0"/>
              <w:rPr>
                <w:rFonts w:ascii="仿宋_GB2312" w:eastAsia="仿宋_GB2312"/>
                <w:color w:val="auto"/>
                <w:highlight w:val="none"/>
              </w:rPr>
            </w:pPr>
          </w:p>
        </w:tc>
        <w:tc>
          <w:tcPr>
            <w:tcW w:w="1165" w:type="dxa"/>
            <w:tcBorders>
              <w:top w:val="nil"/>
            </w:tcBorders>
            <w:vAlign w:val="center"/>
          </w:tcPr>
          <w:p>
            <w:pPr>
              <w:pStyle w:val="19"/>
              <w:wordWrap/>
              <w:topLinePunct w:val="0"/>
              <w:rPr>
                <w:rFonts w:ascii="仿宋_GB2312" w:eastAsia="仿宋_GB2312"/>
                <w:color w:val="auto"/>
                <w:highlight w:val="none"/>
              </w:rPr>
            </w:pPr>
          </w:p>
        </w:tc>
        <w:tc>
          <w:tcPr>
            <w:tcW w:w="1126" w:type="dxa"/>
            <w:tcBorders>
              <w:top w:val="nil"/>
            </w:tcBorders>
            <w:vAlign w:val="center"/>
          </w:tcPr>
          <w:p>
            <w:pPr>
              <w:pStyle w:val="19"/>
              <w:wordWrap/>
              <w:topLinePunct w:val="0"/>
              <w:rPr>
                <w:rFonts w:ascii="仿宋_GB2312" w:eastAsia="仿宋_GB2312"/>
                <w:color w:val="auto"/>
                <w:highlight w:val="none"/>
              </w:rPr>
            </w:pPr>
          </w:p>
        </w:tc>
        <w:tc>
          <w:tcPr>
            <w:tcW w:w="567" w:type="dxa"/>
            <w:tcBorders>
              <w:top w:val="nil"/>
            </w:tcBorders>
            <w:vAlign w:val="center"/>
          </w:tcPr>
          <w:p>
            <w:pPr>
              <w:pStyle w:val="19"/>
              <w:wordWrap/>
              <w:topLinePunct w:val="0"/>
              <w:rPr>
                <w:rFonts w:ascii="仿宋_GB2312" w:eastAsia="仿宋_GB2312"/>
                <w:color w:val="auto"/>
                <w:highlight w:val="none"/>
              </w:rPr>
            </w:pPr>
          </w:p>
        </w:tc>
        <w:tc>
          <w:tcPr>
            <w:tcW w:w="686" w:type="dxa"/>
            <w:tcBorders>
              <w:top w:val="nil"/>
            </w:tcBorders>
            <w:vAlign w:val="center"/>
          </w:tcPr>
          <w:p>
            <w:pPr>
              <w:pStyle w:val="19"/>
              <w:wordWrap/>
              <w:topLinePunct w:val="0"/>
              <w:rPr>
                <w:rFonts w:ascii="仿宋_GB2312" w:eastAsia="仿宋_GB2312"/>
                <w:color w:val="auto"/>
                <w:highlight w:val="none"/>
              </w:rPr>
            </w:pPr>
          </w:p>
        </w:tc>
        <w:tc>
          <w:tcPr>
            <w:tcW w:w="992" w:type="dxa"/>
            <w:tcBorders>
              <w:top w:val="nil"/>
            </w:tcBorders>
            <w:vAlign w:val="top"/>
          </w:tcPr>
          <w:p>
            <w:pPr>
              <w:pStyle w:val="19"/>
              <w:wordWrap/>
              <w:topLinePunct w:val="0"/>
              <w:rPr>
                <w:rFonts w:ascii="仿宋_GB2312" w:eastAsia="仿宋_GB2312"/>
                <w:color w:val="auto"/>
                <w:highlight w:val="none"/>
              </w:rPr>
            </w:pPr>
          </w:p>
        </w:tc>
        <w:tc>
          <w:tcPr>
            <w:tcW w:w="1134" w:type="dxa"/>
            <w:tcBorders>
              <w:top w:val="nil"/>
            </w:tcBorders>
            <w:vAlign w:val="center"/>
          </w:tcPr>
          <w:p>
            <w:pPr>
              <w:pStyle w:val="19"/>
              <w:wordWrap/>
              <w:topLinePunct w:val="0"/>
              <w:rPr>
                <w:rFonts w:ascii="仿宋_GB2312" w:eastAsia="仿宋_GB2312"/>
                <w:color w:val="auto"/>
                <w:highlight w:val="none"/>
              </w:rPr>
            </w:pPr>
          </w:p>
        </w:tc>
        <w:tc>
          <w:tcPr>
            <w:tcW w:w="1134" w:type="dxa"/>
            <w:tcBorders>
              <w:top w:val="nil"/>
            </w:tcBorders>
            <w:vAlign w:val="center"/>
          </w:tcPr>
          <w:p>
            <w:pPr>
              <w:pStyle w:val="19"/>
              <w:wordWrap/>
              <w:topLinePunct w:val="0"/>
              <w:rPr>
                <w:rFonts w:ascii="仿宋_GB2312" w:eastAsia="仿宋_GB2312"/>
                <w:color w:val="auto"/>
                <w:highlight w:val="none"/>
              </w:rPr>
            </w:pPr>
          </w:p>
        </w:tc>
        <w:tc>
          <w:tcPr>
            <w:tcW w:w="1134" w:type="dxa"/>
            <w:tcBorders>
              <w:top w:val="nil"/>
            </w:tcBorders>
            <w:vAlign w:val="center"/>
          </w:tcPr>
          <w:p>
            <w:pPr>
              <w:pStyle w:val="19"/>
              <w:wordWrap/>
              <w:topLinePunct w:val="0"/>
              <w:rPr>
                <w:rFonts w:ascii="仿宋_GB2312" w:eastAsia="仿宋_GB2312"/>
                <w:color w:val="auto"/>
                <w:highlight w:val="none"/>
              </w:rPr>
            </w:pPr>
          </w:p>
        </w:tc>
        <w:tc>
          <w:tcPr>
            <w:tcW w:w="709" w:type="dxa"/>
            <w:tcBorders>
              <w:top w:val="nil"/>
            </w:tcBorders>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pStyle w:val="19"/>
              <w:wordWrap/>
              <w:topLinePunct w:val="0"/>
              <w:rPr>
                <w:rFonts w:ascii="仿宋_GB2312" w:eastAsia="仿宋_GB2312"/>
                <w:color w:val="auto"/>
                <w:highlight w:val="none"/>
              </w:rPr>
            </w:pPr>
          </w:p>
        </w:tc>
        <w:tc>
          <w:tcPr>
            <w:tcW w:w="1165" w:type="dxa"/>
            <w:vAlign w:val="center"/>
          </w:tcPr>
          <w:p>
            <w:pPr>
              <w:pStyle w:val="19"/>
              <w:wordWrap/>
              <w:topLinePunct w:val="0"/>
              <w:rPr>
                <w:rFonts w:ascii="仿宋_GB2312" w:eastAsia="仿宋_GB2312"/>
                <w:color w:val="auto"/>
                <w:highlight w:val="none"/>
              </w:rPr>
            </w:pPr>
          </w:p>
        </w:tc>
        <w:tc>
          <w:tcPr>
            <w:tcW w:w="1126" w:type="dxa"/>
            <w:vAlign w:val="center"/>
          </w:tcPr>
          <w:p>
            <w:pPr>
              <w:pStyle w:val="19"/>
              <w:wordWrap/>
              <w:topLinePunct w:val="0"/>
              <w:rPr>
                <w:rFonts w:ascii="仿宋_GB2312" w:eastAsia="仿宋_GB2312"/>
                <w:color w:val="auto"/>
                <w:highlight w:val="none"/>
              </w:rPr>
            </w:pPr>
          </w:p>
        </w:tc>
        <w:tc>
          <w:tcPr>
            <w:tcW w:w="567" w:type="dxa"/>
            <w:vAlign w:val="center"/>
          </w:tcPr>
          <w:p>
            <w:pPr>
              <w:pStyle w:val="19"/>
              <w:wordWrap/>
              <w:topLinePunct w:val="0"/>
              <w:rPr>
                <w:rFonts w:ascii="仿宋_GB2312" w:eastAsia="仿宋_GB2312"/>
                <w:color w:val="auto"/>
                <w:highlight w:val="none"/>
              </w:rPr>
            </w:pPr>
          </w:p>
        </w:tc>
        <w:tc>
          <w:tcPr>
            <w:tcW w:w="686" w:type="dxa"/>
            <w:vAlign w:val="center"/>
          </w:tcPr>
          <w:p>
            <w:pPr>
              <w:pStyle w:val="19"/>
              <w:wordWrap/>
              <w:topLinePunct w:val="0"/>
              <w:rPr>
                <w:rFonts w:ascii="仿宋_GB2312" w:eastAsia="仿宋_GB2312"/>
                <w:color w:val="auto"/>
                <w:highlight w:val="none"/>
              </w:rPr>
            </w:pPr>
          </w:p>
        </w:tc>
        <w:tc>
          <w:tcPr>
            <w:tcW w:w="992" w:type="dxa"/>
            <w:vAlign w:val="top"/>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709"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pStyle w:val="19"/>
              <w:wordWrap/>
              <w:topLinePunct w:val="0"/>
              <w:rPr>
                <w:rFonts w:ascii="仿宋_GB2312" w:eastAsia="仿宋_GB2312"/>
                <w:color w:val="auto"/>
                <w:highlight w:val="none"/>
              </w:rPr>
            </w:pPr>
          </w:p>
        </w:tc>
        <w:tc>
          <w:tcPr>
            <w:tcW w:w="1165" w:type="dxa"/>
            <w:vAlign w:val="center"/>
          </w:tcPr>
          <w:p>
            <w:pPr>
              <w:pStyle w:val="19"/>
              <w:wordWrap/>
              <w:topLinePunct w:val="0"/>
              <w:rPr>
                <w:rFonts w:ascii="仿宋_GB2312" w:eastAsia="仿宋_GB2312"/>
                <w:color w:val="auto"/>
                <w:highlight w:val="none"/>
              </w:rPr>
            </w:pPr>
          </w:p>
        </w:tc>
        <w:tc>
          <w:tcPr>
            <w:tcW w:w="1126" w:type="dxa"/>
            <w:vAlign w:val="center"/>
          </w:tcPr>
          <w:p>
            <w:pPr>
              <w:pStyle w:val="19"/>
              <w:wordWrap/>
              <w:topLinePunct w:val="0"/>
              <w:rPr>
                <w:rFonts w:ascii="仿宋_GB2312" w:eastAsia="仿宋_GB2312"/>
                <w:color w:val="auto"/>
                <w:highlight w:val="none"/>
              </w:rPr>
            </w:pPr>
          </w:p>
        </w:tc>
        <w:tc>
          <w:tcPr>
            <w:tcW w:w="567" w:type="dxa"/>
            <w:vAlign w:val="center"/>
          </w:tcPr>
          <w:p>
            <w:pPr>
              <w:pStyle w:val="19"/>
              <w:wordWrap/>
              <w:topLinePunct w:val="0"/>
              <w:rPr>
                <w:rFonts w:ascii="仿宋_GB2312" w:eastAsia="仿宋_GB2312"/>
                <w:color w:val="auto"/>
                <w:highlight w:val="none"/>
              </w:rPr>
            </w:pPr>
          </w:p>
        </w:tc>
        <w:tc>
          <w:tcPr>
            <w:tcW w:w="686" w:type="dxa"/>
            <w:vAlign w:val="center"/>
          </w:tcPr>
          <w:p>
            <w:pPr>
              <w:pStyle w:val="19"/>
              <w:wordWrap/>
              <w:topLinePunct w:val="0"/>
              <w:rPr>
                <w:rFonts w:ascii="仿宋_GB2312" w:eastAsia="仿宋_GB2312"/>
                <w:color w:val="auto"/>
                <w:highlight w:val="none"/>
              </w:rPr>
            </w:pPr>
          </w:p>
        </w:tc>
        <w:tc>
          <w:tcPr>
            <w:tcW w:w="992" w:type="dxa"/>
            <w:vAlign w:val="top"/>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709"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pStyle w:val="19"/>
              <w:wordWrap/>
              <w:topLinePunct w:val="0"/>
              <w:rPr>
                <w:rFonts w:ascii="仿宋_GB2312" w:eastAsia="仿宋_GB2312"/>
                <w:color w:val="auto"/>
                <w:highlight w:val="none"/>
              </w:rPr>
            </w:pPr>
          </w:p>
        </w:tc>
        <w:tc>
          <w:tcPr>
            <w:tcW w:w="1165" w:type="dxa"/>
            <w:vAlign w:val="center"/>
          </w:tcPr>
          <w:p>
            <w:pPr>
              <w:pStyle w:val="19"/>
              <w:wordWrap/>
              <w:topLinePunct w:val="0"/>
              <w:rPr>
                <w:rFonts w:ascii="仿宋_GB2312" w:eastAsia="仿宋_GB2312"/>
                <w:color w:val="auto"/>
                <w:highlight w:val="none"/>
              </w:rPr>
            </w:pPr>
          </w:p>
        </w:tc>
        <w:tc>
          <w:tcPr>
            <w:tcW w:w="1126" w:type="dxa"/>
            <w:vAlign w:val="center"/>
          </w:tcPr>
          <w:p>
            <w:pPr>
              <w:pStyle w:val="19"/>
              <w:wordWrap/>
              <w:topLinePunct w:val="0"/>
              <w:rPr>
                <w:rFonts w:ascii="仿宋_GB2312" w:eastAsia="仿宋_GB2312"/>
                <w:color w:val="auto"/>
                <w:highlight w:val="none"/>
              </w:rPr>
            </w:pPr>
          </w:p>
        </w:tc>
        <w:tc>
          <w:tcPr>
            <w:tcW w:w="567" w:type="dxa"/>
            <w:vAlign w:val="center"/>
          </w:tcPr>
          <w:p>
            <w:pPr>
              <w:pStyle w:val="19"/>
              <w:wordWrap/>
              <w:topLinePunct w:val="0"/>
              <w:rPr>
                <w:rFonts w:ascii="仿宋_GB2312" w:eastAsia="仿宋_GB2312"/>
                <w:color w:val="auto"/>
                <w:highlight w:val="none"/>
              </w:rPr>
            </w:pPr>
          </w:p>
        </w:tc>
        <w:tc>
          <w:tcPr>
            <w:tcW w:w="686" w:type="dxa"/>
            <w:vAlign w:val="center"/>
          </w:tcPr>
          <w:p>
            <w:pPr>
              <w:pStyle w:val="19"/>
              <w:wordWrap/>
              <w:topLinePunct w:val="0"/>
              <w:rPr>
                <w:rFonts w:ascii="仿宋_GB2312" w:eastAsia="仿宋_GB2312"/>
                <w:color w:val="auto"/>
                <w:highlight w:val="none"/>
              </w:rPr>
            </w:pPr>
          </w:p>
        </w:tc>
        <w:tc>
          <w:tcPr>
            <w:tcW w:w="992" w:type="dxa"/>
            <w:vAlign w:val="top"/>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709"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pStyle w:val="19"/>
              <w:wordWrap/>
              <w:topLinePunct w:val="0"/>
              <w:rPr>
                <w:rFonts w:ascii="仿宋_GB2312" w:eastAsia="仿宋_GB2312"/>
                <w:color w:val="auto"/>
                <w:highlight w:val="none"/>
              </w:rPr>
            </w:pPr>
          </w:p>
        </w:tc>
        <w:tc>
          <w:tcPr>
            <w:tcW w:w="1165" w:type="dxa"/>
            <w:vAlign w:val="center"/>
          </w:tcPr>
          <w:p>
            <w:pPr>
              <w:pStyle w:val="19"/>
              <w:wordWrap/>
              <w:topLinePunct w:val="0"/>
              <w:rPr>
                <w:rFonts w:ascii="仿宋_GB2312" w:eastAsia="仿宋_GB2312"/>
                <w:color w:val="auto"/>
                <w:highlight w:val="none"/>
              </w:rPr>
            </w:pPr>
          </w:p>
        </w:tc>
        <w:tc>
          <w:tcPr>
            <w:tcW w:w="1126" w:type="dxa"/>
            <w:vAlign w:val="center"/>
          </w:tcPr>
          <w:p>
            <w:pPr>
              <w:pStyle w:val="19"/>
              <w:wordWrap/>
              <w:topLinePunct w:val="0"/>
              <w:rPr>
                <w:rFonts w:ascii="仿宋_GB2312" w:eastAsia="仿宋_GB2312"/>
                <w:color w:val="auto"/>
                <w:highlight w:val="none"/>
              </w:rPr>
            </w:pPr>
          </w:p>
        </w:tc>
        <w:tc>
          <w:tcPr>
            <w:tcW w:w="567" w:type="dxa"/>
            <w:vAlign w:val="center"/>
          </w:tcPr>
          <w:p>
            <w:pPr>
              <w:pStyle w:val="19"/>
              <w:wordWrap/>
              <w:topLinePunct w:val="0"/>
              <w:rPr>
                <w:rFonts w:ascii="仿宋_GB2312" w:eastAsia="仿宋_GB2312"/>
                <w:color w:val="auto"/>
                <w:highlight w:val="none"/>
              </w:rPr>
            </w:pPr>
          </w:p>
        </w:tc>
        <w:tc>
          <w:tcPr>
            <w:tcW w:w="686" w:type="dxa"/>
            <w:vAlign w:val="center"/>
          </w:tcPr>
          <w:p>
            <w:pPr>
              <w:pStyle w:val="19"/>
              <w:wordWrap/>
              <w:topLinePunct w:val="0"/>
              <w:rPr>
                <w:rFonts w:ascii="仿宋_GB2312" w:eastAsia="仿宋_GB2312"/>
                <w:color w:val="auto"/>
                <w:highlight w:val="none"/>
              </w:rPr>
            </w:pPr>
          </w:p>
        </w:tc>
        <w:tc>
          <w:tcPr>
            <w:tcW w:w="992" w:type="dxa"/>
            <w:vAlign w:val="top"/>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709"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pStyle w:val="19"/>
              <w:wordWrap/>
              <w:topLinePunct w:val="0"/>
              <w:rPr>
                <w:rFonts w:ascii="仿宋_GB2312" w:eastAsia="仿宋_GB2312"/>
                <w:color w:val="auto"/>
                <w:highlight w:val="none"/>
              </w:rPr>
            </w:pPr>
          </w:p>
        </w:tc>
        <w:tc>
          <w:tcPr>
            <w:tcW w:w="1165" w:type="dxa"/>
            <w:vAlign w:val="center"/>
          </w:tcPr>
          <w:p>
            <w:pPr>
              <w:pStyle w:val="19"/>
              <w:wordWrap/>
              <w:topLinePunct w:val="0"/>
              <w:rPr>
                <w:rFonts w:ascii="仿宋_GB2312" w:eastAsia="仿宋_GB2312"/>
                <w:color w:val="auto"/>
                <w:highlight w:val="none"/>
              </w:rPr>
            </w:pPr>
          </w:p>
        </w:tc>
        <w:tc>
          <w:tcPr>
            <w:tcW w:w="1126" w:type="dxa"/>
            <w:vAlign w:val="center"/>
          </w:tcPr>
          <w:p>
            <w:pPr>
              <w:pStyle w:val="19"/>
              <w:wordWrap/>
              <w:topLinePunct w:val="0"/>
              <w:rPr>
                <w:rFonts w:ascii="仿宋_GB2312" w:eastAsia="仿宋_GB2312"/>
                <w:color w:val="auto"/>
                <w:highlight w:val="none"/>
              </w:rPr>
            </w:pPr>
          </w:p>
        </w:tc>
        <w:tc>
          <w:tcPr>
            <w:tcW w:w="567" w:type="dxa"/>
            <w:vAlign w:val="center"/>
          </w:tcPr>
          <w:p>
            <w:pPr>
              <w:pStyle w:val="19"/>
              <w:wordWrap/>
              <w:topLinePunct w:val="0"/>
              <w:rPr>
                <w:rFonts w:ascii="仿宋_GB2312" w:eastAsia="仿宋_GB2312"/>
                <w:color w:val="auto"/>
                <w:highlight w:val="none"/>
              </w:rPr>
            </w:pPr>
          </w:p>
        </w:tc>
        <w:tc>
          <w:tcPr>
            <w:tcW w:w="686" w:type="dxa"/>
            <w:vAlign w:val="center"/>
          </w:tcPr>
          <w:p>
            <w:pPr>
              <w:pStyle w:val="19"/>
              <w:wordWrap/>
              <w:topLinePunct w:val="0"/>
              <w:rPr>
                <w:rFonts w:ascii="仿宋_GB2312" w:eastAsia="仿宋_GB2312"/>
                <w:color w:val="auto"/>
                <w:highlight w:val="none"/>
              </w:rPr>
            </w:pPr>
          </w:p>
        </w:tc>
        <w:tc>
          <w:tcPr>
            <w:tcW w:w="992" w:type="dxa"/>
            <w:vAlign w:val="top"/>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709"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pStyle w:val="19"/>
              <w:wordWrap/>
              <w:topLinePunct w:val="0"/>
              <w:rPr>
                <w:rFonts w:ascii="仿宋_GB2312" w:eastAsia="仿宋_GB2312"/>
                <w:color w:val="auto"/>
                <w:highlight w:val="none"/>
              </w:rPr>
            </w:pPr>
          </w:p>
        </w:tc>
        <w:tc>
          <w:tcPr>
            <w:tcW w:w="1165" w:type="dxa"/>
            <w:vAlign w:val="center"/>
          </w:tcPr>
          <w:p>
            <w:pPr>
              <w:pStyle w:val="19"/>
              <w:wordWrap/>
              <w:topLinePunct w:val="0"/>
              <w:rPr>
                <w:rFonts w:ascii="仿宋_GB2312" w:eastAsia="仿宋_GB2312"/>
                <w:color w:val="auto"/>
                <w:highlight w:val="none"/>
              </w:rPr>
            </w:pPr>
          </w:p>
        </w:tc>
        <w:tc>
          <w:tcPr>
            <w:tcW w:w="1126" w:type="dxa"/>
            <w:vAlign w:val="center"/>
          </w:tcPr>
          <w:p>
            <w:pPr>
              <w:pStyle w:val="19"/>
              <w:wordWrap/>
              <w:topLinePunct w:val="0"/>
              <w:rPr>
                <w:rFonts w:ascii="仿宋_GB2312" w:eastAsia="仿宋_GB2312"/>
                <w:color w:val="auto"/>
                <w:highlight w:val="none"/>
              </w:rPr>
            </w:pPr>
          </w:p>
        </w:tc>
        <w:tc>
          <w:tcPr>
            <w:tcW w:w="567" w:type="dxa"/>
            <w:vAlign w:val="center"/>
          </w:tcPr>
          <w:p>
            <w:pPr>
              <w:pStyle w:val="19"/>
              <w:wordWrap/>
              <w:topLinePunct w:val="0"/>
              <w:rPr>
                <w:rFonts w:ascii="仿宋_GB2312" w:eastAsia="仿宋_GB2312"/>
                <w:color w:val="auto"/>
                <w:highlight w:val="none"/>
              </w:rPr>
            </w:pPr>
          </w:p>
        </w:tc>
        <w:tc>
          <w:tcPr>
            <w:tcW w:w="686" w:type="dxa"/>
            <w:vAlign w:val="center"/>
          </w:tcPr>
          <w:p>
            <w:pPr>
              <w:pStyle w:val="19"/>
              <w:wordWrap/>
              <w:topLinePunct w:val="0"/>
              <w:rPr>
                <w:rFonts w:ascii="仿宋_GB2312" w:eastAsia="仿宋_GB2312"/>
                <w:color w:val="auto"/>
                <w:highlight w:val="none"/>
              </w:rPr>
            </w:pPr>
          </w:p>
        </w:tc>
        <w:tc>
          <w:tcPr>
            <w:tcW w:w="992" w:type="dxa"/>
            <w:vAlign w:val="top"/>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709"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pStyle w:val="19"/>
              <w:wordWrap/>
              <w:topLinePunct w:val="0"/>
              <w:rPr>
                <w:rFonts w:ascii="仿宋_GB2312" w:eastAsia="仿宋_GB2312"/>
                <w:color w:val="auto"/>
                <w:highlight w:val="none"/>
              </w:rPr>
            </w:pPr>
          </w:p>
        </w:tc>
        <w:tc>
          <w:tcPr>
            <w:tcW w:w="1165" w:type="dxa"/>
            <w:vAlign w:val="center"/>
          </w:tcPr>
          <w:p>
            <w:pPr>
              <w:pStyle w:val="19"/>
              <w:wordWrap/>
              <w:topLinePunct w:val="0"/>
              <w:rPr>
                <w:rFonts w:ascii="仿宋_GB2312" w:eastAsia="仿宋_GB2312"/>
                <w:color w:val="auto"/>
                <w:highlight w:val="none"/>
              </w:rPr>
            </w:pPr>
          </w:p>
        </w:tc>
        <w:tc>
          <w:tcPr>
            <w:tcW w:w="1126" w:type="dxa"/>
            <w:vAlign w:val="center"/>
          </w:tcPr>
          <w:p>
            <w:pPr>
              <w:pStyle w:val="19"/>
              <w:wordWrap/>
              <w:topLinePunct w:val="0"/>
              <w:rPr>
                <w:rFonts w:ascii="仿宋_GB2312" w:eastAsia="仿宋_GB2312"/>
                <w:color w:val="auto"/>
                <w:highlight w:val="none"/>
              </w:rPr>
            </w:pPr>
          </w:p>
        </w:tc>
        <w:tc>
          <w:tcPr>
            <w:tcW w:w="567" w:type="dxa"/>
            <w:vAlign w:val="center"/>
          </w:tcPr>
          <w:p>
            <w:pPr>
              <w:pStyle w:val="19"/>
              <w:wordWrap/>
              <w:topLinePunct w:val="0"/>
              <w:rPr>
                <w:rFonts w:ascii="仿宋_GB2312" w:eastAsia="仿宋_GB2312"/>
                <w:color w:val="auto"/>
                <w:highlight w:val="none"/>
              </w:rPr>
            </w:pPr>
          </w:p>
        </w:tc>
        <w:tc>
          <w:tcPr>
            <w:tcW w:w="686" w:type="dxa"/>
            <w:vAlign w:val="center"/>
          </w:tcPr>
          <w:p>
            <w:pPr>
              <w:pStyle w:val="19"/>
              <w:wordWrap/>
              <w:topLinePunct w:val="0"/>
              <w:rPr>
                <w:rFonts w:ascii="仿宋_GB2312" w:eastAsia="仿宋_GB2312"/>
                <w:color w:val="auto"/>
                <w:highlight w:val="none"/>
              </w:rPr>
            </w:pPr>
          </w:p>
        </w:tc>
        <w:tc>
          <w:tcPr>
            <w:tcW w:w="992" w:type="dxa"/>
            <w:vAlign w:val="top"/>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1134" w:type="dxa"/>
            <w:vAlign w:val="center"/>
          </w:tcPr>
          <w:p>
            <w:pPr>
              <w:pStyle w:val="19"/>
              <w:wordWrap/>
              <w:topLinePunct w:val="0"/>
              <w:rPr>
                <w:rFonts w:ascii="仿宋_GB2312" w:eastAsia="仿宋_GB2312"/>
                <w:color w:val="auto"/>
                <w:highlight w:val="none"/>
              </w:rPr>
            </w:pPr>
          </w:p>
        </w:tc>
        <w:tc>
          <w:tcPr>
            <w:tcW w:w="709"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552" w:type="dxa"/>
            <w:vAlign w:val="center"/>
          </w:tcPr>
          <w:p>
            <w:pPr>
              <w:wordWrap/>
              <w:topLinePunct w:val="0"/>
              <w:rPr>
                <w:rFonts w:ascii="仿宋_GB2312" w:eastAsia="仿宋_GB2312"/>
                <w:color w:val="auto"/>
                <w:highlight w:val="none"/>
              </w:rPr>
            </w:pPr>
          </w:p>
        </w:tc>
        <w:tc>
          <w:tcPr>
            <w:tcW w:w="1165" w:type="dxa"/>
            <w:vAlign w:val="center"/>
          </w:tcPr>
          <w:p>
            <w:pPr>
              <w:wordWrap/>
              <w:topLinePunct w:val="0"/>
              <w:rPr>
                <w:rFonts w:ascii="仿宋_GB2312" w:eastAsia="仿宋_GB2312"/>
                <w:color w:val="auto"/>
                <w:highlight w:val="none"/>
              </w:rPr>
            </w:pPr>
          </w:p>
        </w:tc>
        <w:tc>
          <w:tcPr>
            <w:tcW w:w="1126" w:type="dxa"/>
            <w:vAlign w:val="center"/>
          </w:tcPr>
          <w:p>
            <w:pPr>
              <w:wordWrap/>
              <w:topLinePunct w:val="0"/>
              <w:rPr>
                <w:rFonts w:ascii="仿宋_GB2312" w:eastAsia="仿宋_GB2312"/>
                <w:color w:val="auto"/>
                <w:highlight w:val="none"/>
              </w:rPr>
            </w:pPr>
          </w:p>
        </w:tc>
        <w:tc>
          <w:tcPr>
            <w:tcW w:w="567" w:type="dxa"/>
            <w:vAlign w:val="center"/>
          </w:tcPr>
          <w:p>
            <w:pPr>
              <w:wordWrap/>
              <w:topLinePunct w:val="0"/>
              <w:rPr>
                <w:rFonts w:ascii="仿宋_GB2312" w:eastAsia="仿宋_GB2312"/>
                <w:color w:val="auto"/>
                <w:highlight w:val="none"/>
              </w:rPr>
            </w:pPr>
          </w:p>
        </w:tc>
        <w:tc>
          <w:tcPr>
            <w:tcW w:w="686" w:type="dxa"/>
            <w:vAlign w:val="center"/>
          </w:tcPr>
          <w:p>
            <w:pPr>
              <w:wordWrap/>
              <w:topLinePunct w:val="0"/>
              <w:rPr>
                <w:rFonts w:ascii="仿宋_GB2312" w:eastAsia="仿宋_GB2312"/>
                <w:color w:val="auto"/>
                <w:highlight w:val="none"/>
              </w:rPr>
            </w:pPr>
          </w:p>
        </w:tc>
        <w:tc>
          <w:tcPr>
            <w:tcW w:w="992" w:type="dxa"/>
            <w:vAlign w:val="top"/>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1134" w:type="dxa"/>
            <w:vAlign w:val="center"/>
          </w:tcPr>
          <w:p>
            <w:pPr>
              <w:wordWrap/>
              <w:topLinePunct w:val="0"/>
              <w:rPr>
                <w:rFonts w:ascii="仿宋_GB2312" w:eastAsia="仿宋_GB2312"/>
                <w:color w:val="auto"/>
                <w:highlight w:val="none"/>
              </w:rPr>
            </w:pPr>
          </w:p>
        </w:tc>
        <w:tc>
          <w:tcPr>
            <w:tcW w:w="709" w:type="dxa"/>
            <w:vAlign w:val="center"/>
          </w:tcPr>
          <w:p>
            <w:pPr>
              <w:wordWrap/>
              <w:topLinePunct w:val="0"/>
              <w:rPr>
                <w:rFonts w:ascii="仿宋_GB2312" w:eastAsia="仿宋_GB2312"/>
                <w:color w:val="auto"/>
                <w:highlight w:val="none"/>
              </w:rPr>
            </w:pPr>
          </w:p>
        </w:tc>
      </w:tr>
    </w:tbl>
    <w:p>
      <w:pPr>
        <w:wordWrap/>
        <w:topLinePunct w:val="0"/>
        <w:rPr>
          <w:color w:val="auto"/>
          <w:highlight w:val="none"/>
        </w:rPr>
      </w:pPr>
    </w:p>
    <w:p>
      <w:pPr>
        <w:wordWrap/>
        <w:topLinePunct w:val="0"/>
        <w:rPr>
          <w:color w:val="auto"/>
          <w:highlight w:val="none"/>
        </w:rPr>
      </w:pPr>
      <w:r>
        <w:rPr>
          <w:color w:val="auto"/>
          <w:highlight w:val="none"/>
        </w:rPr>
        <w:br w:type="page"/>
      </w:r>
    </w:p>
    <w:p>
      <w:pPr>
        <w:pStyle w:val="189"/>
        <w:numPr>
          <w:ilvl w:val="0"/>
          <w:numId w:val="0"/>
        </w:numPr>
        <w:rPr>
          <w:color w:val="auto"/>
          <w:highlight w:val="none"/>
        </w:rPr>
      </w:pPr>
      <w:bookmarkStart w:id="837" w:name="_Toc20171895"/>
      <w:bookmarkStart w:id="838" w:name="_Toc54862354"/>
      <w:r>
        <w:rPr>
          <w:rFonts w:hint="eastAsia"/>
          <w:color w:val="auto"/>
          <w:highlight w:val="none"/>
        </w:rPr>
        <w:t>附件</w:t>
      </w:r>
      <w:r>
        <w:rPr>
          <w:color w:val="auto"/>
          <w:highlight w:val="none"/>
        </w:rPr>
        <w:t>3 工程质量保修书</w:t>
      </w:r>
      <w:bookmarkEnd w:id="837"/>
      <w:bookmarkEnd w:id="838"/>
    </w:p>
    <w:p>
      <w:pPr>
        <w:keepNext w:val="0"/>
        <w:keepLines w:val="0"/>
        <w:pageBreakBefore w:val="0"/>
        <w:widowControl w:val="0"/>
        <w:kinsoku/>
        <w:wordWrap/>
        <w:overflowPunct/>
        <w:topLinePunct w:val="0"/>
        <w:autoSpaceDE/>
        <w:autoSpaceDN/>
        <w:bidi w:val="0"/>
        <w:adjustRightInd/>
        <w:snapToGrid/>
        <w:spacing w:line="288" w:lineRule="auto"/>
        <w:ind w:firstLine="0" w:firstLineChars="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发包人（全称）：</w:t>
      </w:r>
      <w:r>
        <w:rPr>
          <w:rFonts w:hint="eastAsia" w:asciiTheme="minorEastAsia" w:hAnsiTheme="minorEastAsia" w:eastAsiaTheme="minorEastAsia" w:cstheme="minorEastAsia"/>
          <w:color w:val="auto"/>
          <w:sz w:val="21"/>
          <w:szCs w:val="21"/>
          <w:highlight w:val="none"/>
          <w:u w:val="single"/>
        </w:rPr>
        <w:t xml:space="preserve">                                  </w:t>
      </w:r>
    </w:p>
    <w:p>
      <w:pPr>
        <w:keepNext w:val="0"/>
        <w:keepLines w:val="0"/>
        <w:pageBreakBefore w:val="0"/>
        <w:widowControl w:val="0"/>
        <w:kinsoku/>
        <w:wordWrap/>
        <w:overflowPunct/>
        <w:topLinePunct w:val="0"/>
        <w:autoSpaceDE/>
        <w:autoSpaceDN/>
        <w:bidi w:val="0"/>
        <w:adjustRightInd/>
        <w:snapToGrid/>
        <w:spacing w:line="288" w:lineRule="auto"/>
        <w:ind w:firstLine="0" w:firstLineChars="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承包人（全称）：</w:t>
      </w:r>
      <w:r>
        <w:rPr>
          <w:rFonts w:hint="eastAsia" w:asciiTheme="minorEastAsia" w:hAnsiTheme="minorEastAsia" w:eastAsiaTheme="minorEastAsia" w:cstheme="minorEastAsia"/>
          <w:color w:val="auto"/>
          <w:sz w:val="21"/>
          <w:szCs w:val="21"/>
          <w:highlight w:val="none"/>
          <w:u w:val="single"/>
        </w:rPr>
        <w:t xml:space="preserve">                                  </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发包人和承包人根据《中华人民共和国建筑法》和《建设工程质量管理条例》，经协商一致就</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（工程全称）订立工程质量保修书。</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一、工程质量保修范围和内容</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承包人在质量保修期内，按照有关法律规定和合同约定，承担工程质量保修责任。</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二、质量保修期</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根据《建设工程质量管理条例》及有关规定，工程的质量保修期如下：</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1．地基基础工程和主体结构工程为设计文件规定的工程合理使用年限；</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2．屋面防水工程、有防水要求的卫生间、房间和外墙面的防渗为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3．装修工程为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4．电气管线、给排水管道、设备安装工程为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5．供热与供冷系统为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个采暖期、供冷期；</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6．住宅小区内的给排水设施、道路等配套工程为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年；</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7．其他项目保修期限约定如下：</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质量保修期自工程竣工验收合格之日起计算。</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三、缺陷责任期</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工程缺陷责任期为</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个月，缺陷责任期自工程通过竣工验收之日起计算。单位/区段工程先于全部工程进行验收，单位/区段工程缺陷责任期自单位/区段工程验收合格之日起算。</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缺陷责任期终止后，发包人应返还剩余的质量保证金。</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四、质量保修责任</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1．属于保修范围、内容的项目，承包人应当在接到保修通知之日起7天内派人保修。承包人不在约定期限内派人保修的，发包人可以委托他人修理。</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2．发生紧急事故需抢修的，承包人在接到事故通知后，应当立即到达事故现场抢修。</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对于涉及结构安全的质量问题，应当按照《建设工程质量管理条例》的规定，立即向当地建设行政主管部门和有关部门报告，采取安全防范措施，并由承包人提出保修方案，承包人将设计业务分包的，应由原设计分包人或具有相应资质等级的设计人提出保修方案，承包人实施保修。</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4．质量保修完成后，由发包人组织验收。</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五、保修费用</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保修费用由造成质量缺陷的责任方承担。</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六、双方约定的其他工程质量保修事项：</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工程质量保修书由发包人、承包人在工程竣工验收前共同签署，作为工程总承包合同附件，其有效期限至保修期满。</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发包人(公章)：               承包人(公章)：          </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地  址：                     地  址：       </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法定代表人(签字)：           法定代表人(签字)：       </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委托代理人(签字)：           委托代理人(签字)：       </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电  话：                     电  话：</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传  真：                     传  真：  </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开户银行：                   开户银行：</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账  号：                     账  号： </w:t>
      </w:r>
    </w:p>
    <w:p>
      <w:pPr>
        <w:keepNext w:val="0"/>
        <w:keepLines w:val="0"/>
        <w:pageBreakBefore w:val="0"/>
        <w:widowControl w:val="0"/>
        <w:kinsoku/>
        <w:wordWrap/>
        <w:overflowPunct/>
        <w:topLinePunct w:val="0"/>
        <w:autoSpaceDE/>
        <w:autoSpaceDN/>
        <w:bidi w:val="0"/>
        <w:adjustRightInd/>
        <w:snapToGrid/>
        <w:spacing w:line="288" w:lineRule="auto"/>
        <w:ind w:firstLine="600"/>
        <w:textAlignment w:val="auto"/>
        <w:outlineLvl w:val="9"/>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邮政编码：                   邮政编码：   </w:t>
      </w:r>
    </w:p>
    <w:p>
      <w:pPr>
        <w:wordWrap/>
        <w:topLinePunct w:val="0"/>
        <w:adjustRightInd/>
        <w:snapToGrid/>
        <w:spacing w:after="0" w:afterLines="0" w:line="240" w:lineRule="auto"/>
        <w:ind w:firstLine="0" w:firstLineChars="0"/>
        <w:jc w:val="left"/>
        <w:rPr>
          <w:color w:val="auto"/>
          <w:sz w:val="30"/>
          <w:szCs w:val="30"/>
          <w:highlight w:val="none"/>
        </w:rPr>
      </w:pPr>
      <w:r>
        <w:rPr>
          <w:color w:val="auto"/>
          <w:sz w:val="30"/>
          <w:szCs w:val="30"/>
          <w:highlight w:val="none"/>
        </w:rPr>
        <w:br w:type="page"/>
      </w:r>
    </w:p>
    <w:p>
      <w:pPr>
        <w:pStyle w:val="189"/>
        <w:numPr>
          <w:ilvl w:val="0"/>
          <w:numId w:val="0"/>
        </w:numPr>
        <w:rPr>
          <w:color w:val="auto"/>
          <w:highlight w:val="none"/>
        </w:rPr>
      </w:pPr>
      <w:bookmarkStart w:id="839" w:name="_Toc20171896"/>
      <w:bookmarkStart w:id="840" w:name="_Toc54862355"/>
      <w:r>
        <w:rPr>
          <w:rFonts w:hint="eastAsia"/>
          <w:color w:val="auto"/>
          <w:highlight w:val="none"/>
        </w:rPr>
        <w:t>附件4</w:t>
      </w:r>
      <w:r>
        <w:rPr>
          <w:color w:val="auto"/>
          <w:highlight w:val="none"/>
        </w:rPr>
        <w:t xml:space="preserve"> 主要建设工程文件目录</w:t>
      </w:r>
      <w:bookmarkEnd w:id="839"/>
      <w:bookmarkEnd w:id="840"/>
    </w:p>
    <w:tbl>
      <w:tblPr>
        <w:tblStyle w:val="44"/>
        <w:tblW w:w="877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688"/>
        <w:gridCol w:w="1276"/>
        <w:gridCol w:w="1450"/>
        <w:gridCol w:w="1243"/>
        <w:gridCol w:w="1450"/>
        <w:gridCol w:w="167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688"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文件名称</w:t>
            </w:r>
          </w:p>
        </w:tc>
        <w:tc>
          <w:tcPr>
            <w:tcW w:w="1276"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套数</w:t>
            </w:r>
          </w:p>
        </w:tc>
        <w:tc>
          <w:tcPr>
            <w:tcW w:w="1450"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费用（元）</w:t>
            </w:r>
          </w:p>
        </w:tc>
        <w:tc>
          <w:tcPr>
            <w:tcW w:w="1243" w:type="dxa"/>
            <w:tcBorders>
              <w:top w:val="single" w:color="auto" w:sz="12" w:space="0"/>
              <w:bottom w:val="double" w:color="auto" w:sz="6" w:space="0"/>
            </w:tcBorders>
            <w:vAlign w:val="center"/>
          </w:tcPr>
          <w:p>
            <w:pPr>
              <w:pStyle w:val="19"/>
              <w:wordWrap/>
              <w:topLinePunct w:val="0"/>
              <w:spacing w:after="0" w:afterLines="0" w:line="240" w:lineRule="auto"/>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质量</w:t>
            </w:r>
          </w:p>
        </w:tc>
        <w:tc>
          <w:tcPr>
            <w:tcW w:w="1450" w:type="dxa"/>
            <w:tcBorders>
              <w:top w:val="single" w:color="auto" w:sz="12" w:space="0"/>
              <w:bottom w:val="double" w:color="auto" w:sz="6" w:space="0"/>
            </w:tcBorders>
            <w:vAlign w:val="center"/>
          </w:tcPr>
          <w:p>
            <w:pPr>
              <w:wordWrap/>
              <w:topLinePunct w:val="0"/>
              <w:spacing w:after="0" w:afterLines="0"/>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移交时间</w:t>
            </w:r>
          </w:p>
        </w:tc>
        <w:tc>
          <w:tcPr>
            <w:tcW w:w="1670" w:type="dxa"/>
            <w:tcBorders>
              <w:top w:val="single" w:color="auto" w:sz="12" w:space="0"/>
              <w:bottom w:val="double" w:color="auto" w:sz="6" w:space="0"/>
            </w:tcBorders>
            <w:vAlign w:val="center"/>
          </w:tcPr>
          <w:p>
            <w:pPr>
              <w:wordWrap/>
              <w:topLinePunct w:val="0"/>
              <w:spacing w:after="0" w:afterLines="0"/>
              <w:ind w:firstLine="0" w:firstLineChars="0"/>
              <w:jc w:val="center"/>
              <w:rPr>
                <w:rFonts w:hint="eastAsia" w:asciiTheme="minorEastAsia" w:hAnsiTheme="minorEastAsia" w:eastAsiaTheme="minorEastAsia" w:cstheme="minorEastAsia"/>
                <w:color w:val="auto"/>
                <w:sz w:val="21"/>
                <w:highlight w:val="none"/>
              </w:rPr>
            </w:pPr>
            <w:r>
              <w:rPr>
                <w:rFonts w:hint="eastAsia" w:asciiTheme="minorEastAsia" w:hAnsiTheme="minorEastAsia" w:eastAsiaTheme="minorEastAsia" w:cstheme="minorEastAsia"/>
                <w:color w:val="auto"/>
                <w:sz w:val="21"/>
                <w:highlight w:val="none"/>
              </w:rPr>
              <w:t>责任人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276"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450"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243"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450"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c>
          <w:tcPr>
            <w:tcW w:w="1670" w:type="dxa"/>
            <w:tcBorders>
              <w:top w:val="double" w:color="auto" w:sz="6" w:space="0"/>
              <w:bottom w:val="single" w:color="auto" w:sz="6" w:space="0"/>
            </w:tcBorders>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tcBorders>
              <w:top w:val="nil"/>
            </w:tcBorders>
            <w:vAlign w:val="center"/>
          </w:tcPr>
          <w:p>
            <w:pPr>
              <w:pStyle w:val="19"/>
              <w:wordWrap/>
              <w:topLinePunct w:val="0"/>
              <w:rPr>
                <w:rFonts w:ascii="仿宋_GB2312" w:eastAsia="仿宋_GB2312"/>
                <w:color w:val="auto"/>
                <w:highlight w:val="none"/>
              </w:rPr>
            </w:pPr>
          </w:p>
        </w:tc>
        <w:tc>
          <w:tcPr>
            <w:tcW w:w="1276" w:type="dxa"/>
            <w:tcBorders>
              <w:top w:val="nil"/>
            </w:tcBorders>
            <w:vAlign w:val="center"/>
          </w:tcPr>
          <w:p>
            <w:pPr>
              <w:pStyle w:val="19"/>
              <w:wordWrap/>
              <w:topLinePunct w:val="0"/>
              <w:rPr>
                <w:rFonts w:ascii="仿宋_GB2312" w:eastAsia="仿宋_GB2312"/>
                <w:color w:val="auto"/>
                <w:highlight w:val="none"/>
              </w:rPr>
            </w:pPr>
          </w:p>
        </w:tc>
        <w:tc>
          <w:tcPr>
            <w:tcW w:w="1450" w:type="dxa"/>
            <w:tcBorders>
              <w:top w:val="nil"/>
            </w:tcBorders>
            <w:vAlign w:val="center"/>
          </w:tcPr>
          <w:p>
            <w:pPr>
              <w:pStyle w:val="19"/>
              <w:wordWrap/>
              <w:topLinePunct w:val="0"/>
              <w:rPr>
                <w:rFonts w:ascii="仿宋_GB2312" w:eastAsia="仿宋_GB2312"/>
                <w:color w:val="auto"/>
                <w:highlight w:val="none"/>
              </w:rPr>
            </w:pPr>
          </w:p>
        </w:tc>
        <w:tc>
          <w:tcPr>
            <w:tcW w:w="1243" w:type="dxa"/>
            <w:tcBorders>
              <w:top w:val="nil"/>
            </w:tcBorders>
            <w:vAlign w:val="center"/>
          </w:tcPr>
          <w:p>
            <w:pPr>
              <w:pStyle w:val="19"/>
              <w:wordWrap/>
              <w:topLinePunct w:val="0"/>
              <w:rPr>
                <w:rFonts w:ascii="仿宋_GB2312" w:eastAsia="仿宋_GB2312"/>
                <w:color w:val="auto"/>
                <w:highlight w:val="none"/>
              </w:rPr>
            </w:pPr>
          </w:p>
        </w:tc>
        <w:tc>
          <w:tcPr>
            <w:tcW w:w="1450" w:type="dxa"/>
            <w:tcBorders>
              <w:top w:val="nil"/>
            </w:tcBorders>
            <w:vAlign w:val="center"/>
          </w:tcPr>
          <w:p>
            <w:pPr>
              <w:pStyle w:val="19"/>
              <w:wordWrap/>
              <w:topLinePunct w:val="0"/>
              <w:rPr>
                <w:rFonts w:ascii="仿宋_GB2312" w:eastAsia="仿宋_GB2312"/>
                <w:color w:val="auto"/>
                <w:highlight w:val="none"/>
              </w:rPr>
            </w:pPr>
          </w:p>
        </w:tc>
        <w:tc>
          <w:tcPr>
            <w:tcW w:w="1670" w:type="dxa"/>
            <w:tcBorders>
              <w:top w:val="nil"/>
            </w:tcBorders>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center"/>
          </w:tcPr>
          <w:p>
            <w:pPr>
              <w:pStyle w:val="19"/>
              <w:wordWrap/>
              <w:topLinePunct w:val="0"/>
              <w:rPr>
                <w:rFonts w:ascii="仿宋_GB2312" w:eastAsia="仿宋_GB2312"/>
                <w:color w:val="auto"/>
                <w:highlight w:val="none"/>
              </w:rPr>
            </w:pPr>
          </w:p>
        </w:tc>
        <w:tc>
          <w:tcPr>
            <w:tcW w:w="1276"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243"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670"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center"/>
          </w:tcPr>
          <w:p>
            <w:pPr>
              <w:pStyle w:val="19"/>
              <w:wordWrap/>
              <w:topLinePunct w:val="0"/>
              <w:rPr>
                <w:rFonts w:ascii="仿宋_GB2312" w:eastAsia="仿宋_GB2312"/>
                <w:color w:val="auto"/>
                <w:highlight w:val="none"/>
              </w:rPr>
            </w:pPr>
          </w:p>
        </w:tc>
        <w:tc>
          <w:tcPr>
            <w:tcW w:w="1276"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243"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670"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center"/>
          </w:tcPr>
          <w:p>
            <w:pPr>
              <w:pStyle w:val="19"/>
              <w:wordWrap/>
              <w:topLinePunct w:val="0"/>
              <w:rPr>
                <w:rFonts w:ascii="仿宋_GB2312" w:eastAsia="仿宋_GB2312"/>
                <w:color w:val="auto"/>
                <w:highlight w:val="none"/>
              </w:rPr>
            </w:pPr>
          </w:p>
        </w:tc>
        <w:tc>
          <w:tcPr>
            <w:tcW w:w="1276"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243"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670"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center"/>
          </w:tcPr>
          <w:p>
            <w:pPr>
              <w:pStyle w:val="19"/>
              <w:wordWrap/>
              <w:topLinePunct w:val="0"/>
              <w:rPr>
                <w:rFonts w:ascii="仿宋_GB2312" w:eastAsia="仿宋_GB2312"/>
                <w:color w:val="auto"/>
                <w:highlight w:val="none"/>
              </w:rPr>
            </w:pPr>
          </w:p>
        </w:tc>
        <w:tc>
          <w:tcPr>
            <w:tcW w:w="1276"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243"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670"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center"/>
          </w:tcPr>
          <w:p>
            <w:pPr>
              <w:pStyle w:val="19"/>
              <w:wordWrap/>
              <w:topLinePunct w:val="0"/>
              <w:rPr>
                <w:rFonts w:ascii="仿宋_GB2312" w:eastAsia="仿宋_GB2312"/>
                <w:color w:val="auto"/>
                <w:highlight w:val="none"/>
              </w:rPr>
            </w:pPr>
          </w:p>
        </w:tc>
        <w:tc>
          <w:tcPr>
            <w:tcW w:w="1276"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243"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670"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center"/>
          </w:tcPr>
          <w:p>
            <w:pPr>
              <w:pStyle w:val="19"/>
              <w:wordWrap/>
              <w:topLinePunct w:val="0"/>
              <w:rPr>
                <w:rFonts w:ascii="仿宋_GB2312" w:eastAsia="仿宋_GB2312"/>
                <w:color w:val="auto"/>
                <w:highlight w:val="none"/>
              </w:rPr>
            </w:pPr>
          </w:p>
        </w:tc>
        <w:tc>
          <w:tcPr>
            <w:tcW w:w="1276"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243"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670"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center"/>
          </w:tcPr>
          <w:p>
            <w:pPr>
              <w:pStyle w:val="19"/>
              <w:wordWrap/>
              <w:topLinePunct w:val="0"/>
              <w:rPr>
                <w:rFonts w:ascii="仿宋_GB2312" w:eastAsia="仿宋_GB2312"/>
                <w:color w:val="auto"/>
                <w:highlight w:val="none"/>
              </w:rPr>
            </w:pPr>
          </w:p>
        </w:tc>
        <w:tc>
          <w:tcPr>
            <w:tcW w:w="1276"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243" w:type="dxa"/>
            <w:vAlign w:val="center"/>
          </w:tcPr>
          <w:p>
            <w:pPr>
              <w:pStyle w:val="19"/>
              <w:wordWrap/>
              <w:topLinePunct w:val="0"/>
              <w:rPr>
                <w:rFonts w:ascii="仿宋_GB2312" w:eastAsia="仿宋_GB2312"/>
                <w:color w:val="auto"/>
                <w:highlight w:val="none"/>
              </w:rPr>
            </w:pPr>
          </w:p>
        </w:tc>
        <w:tc>
          <w:tcPr>
            <w:tcW w:w="1450" w:type="dxa"/>
            <w:vAlign w:val="center"/>
          </w:tcPr>
          <w:p>
            <w:pPr>
              <w:pStyle w:val="19"/>
              <w:wordWrap/>
              <w:topLinePunct w:val="0"/>
              <w:rPr>
                <w:rFonts w:ascii="仿宋_GB2312" w:eastAsia="仿宋_GB2312"/>
                <w:color w:val="auto"/>
                <w:highlight w:val="none"/>
              </w:rPr>
            </w:pPr>
          </w:p>
        </w:tc>
        <w:tc>
          <w:tcPr>
            <w:tcW w:w="1670" w:type="dxa"/>
            <w:vAlign w:val="center"/>
          </w:tcPr>
          <w:p>
            <w:pPr>
              <w:pStyle w:val="19"/>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688" w:type="dxa"/>
            <w:vAlign w:val="top"/>
          </w:tcPr>
          <w:p>
            <w:pPr>
              <w:wordWrap/>
              <w:topLinePunct w:val="0"/>
              <w:rPr>
                <w:rFonts w:ascii="仿宋_GB2312" w:eastAsia="仿宋_GB2312"/>
                <w:color w:val="auto"/>
                <w:highlight w:val="none"/>
              </w:rPr>
            </w:pPr>
          </w:p>
        </w:tc>
        <w:tc>
          <w:tcPr>
            <w:tcW w:w="1276"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243" w:type="dxa"/>
            <w:vAlign w:val="top"/>
          </w:tcPr>
          <w:p>
            <w:pPr>
              <w:wordWrap/>
              <w:topLinePunct w:val="0"/>
              <w:rPr>
                <w:rFonts w:ascii="仿宋_GB2312" w:eastAsia="仿宋_GB2312"/>
                <w:color w:val="auto"/>
                <w:highlight w:val="none"/>
              </w:rPr>
            </w:pPr>
          </w:p>
        </w:tc>
        <w:tc>
          <w:tcPr>
            <w:tcW w:w="1450" w:type="dxa"/>
            <w:vAlign w:val="top"/>
          </w:tcPr>
          <w:p>
            <w:pPr>
              <w:wordWrap/>
              <w:topLinePunct w:val="0"/>
              <w:rPr>
                <w:rFonts w:ascii="仿宋_GB2312" w:eastAsia="仿宋_GB2312"/>
                <w:color w:val="auto"/>
                <w:highlight w:val="none"/>
              </w:rPr>
            </w:pPr>
          </w:p>
        </w:tc>
        <w:tc>
          <w:tcPr>
            <w:tcW w:w="1670" w:type="dxa"/>
            <w:vAlign w:val="top"/>
          </w:tcPr>
          <w:p>
            <w:pPr>
              <w:wordWrap/>
              <w:topLinePunct w:val="0"/>
              <w:rPr>
                <w:rFonts w:ascii="仿宋_GB2312" w:eastAsia="仿宋_GB2312"/>
                <w:color w:val="auto"/>
                <w:highlight w:val="none"/>
              </w:rPr>
            </w:pPr>
          </w:p>
        </w:tc>
      </w:tr>
    </w:tbl>
    <w:p>
      <w:pPr>
        <w:wordWrap/>
        <w:topLinePunct w:val="0"/>
        <w:rPr>
          <w:color w:val="auto"/>
          <w:highlight w:val="none"/>
        </w:rPr>
      </w:pPr>
    </w:p>
    <w:p>
      <w:pPr>
        <w:wordWrap/>
        <w:topLinePunct w:val="0"/>
        <w:rPr>
          <w:color w:val="auto"/>
          <w:highlight w:val="none"/>
        </w:rPr>
      </w:pPr>
    </w:p>
    <w:p>
      <w:pPr>
        <w:wordWrap/>
        <w:topLinePunct w:val="0"/>
        <w:rPr>
          <w:color w:val="auto"/>
          <w:highlight w:val="none"/>
        </w:rPr>
        <w:sectPr>
          <w:pgSz w:w="11906" w:h="16838"/>
          <w:pgMar w:top="1440" w:right="1800" w:bottom="1440" w:left="1800" w:header="720" w:footer="998" w:gutter="0"/>
          <w:cols w:space="720" w:num="1"/>
          <w:docGrid w:linePitch="326" w:charSpace="0"/>
        </w:sectPr>
      </w:pPr>
    </w:p>
    <w:p>
      <w:pPr>
        <w:pStyle w:val="189"/>
        <w:numPr>
          <w:ilvl w:val="0"/>
          <w:numId w:val="0"/>
        </w:numPr>
        <w:rPr>
          <w:color w:val="auto"/>
          <w:highlight w:val="none"/>
        </w:rPr>
      </w:pPr>
      <w:bookmarkStart w:id="841" w:name="_Toc54862356"/>
      <w:bookmarkStart w:id="842" w:name="_Toc20171897"/>
      <w:r>
        <w:rPr>
          <w:rFonts w:hint="eastAsia"/>
          <w:color w:val="auto"/>
          <w:highlight w:val="none"/>
        </w:rPr>
        <w:t>附件</w:t>
      </w:r>
      <w:r>
        <w:rPr>
          <w:color w:val="auto"/>
          <w:highlight w:val="none"/>
        </w:rPr>
        <w:t>5 承包人主要管理人员表</w:t>
      </w:r>
      <w:bookmarkEnd w:id="841"/>
      <w:bookmarkEnd w:id="842"/>
    </w:p>
    <w:tbl>
      <w:tblPr>
        <w:tblStyle w:val="44"/>
        <w:tblW w:w="878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559"/>
        <w:gridCol w:w="1065"/>
        <w:gridCol w:w="1134"/>
        <w:gridCol w:w="1134"/>
        <w:gridCol w:w="389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12" w:space="0"/>
              <w:bottom w:val="double" w:color="auto" w:sz="6" w:space="0"/>
            </w:tcBorders>
            <w:vAlign w:val="center"/>
          </w:tcPr>
          <w:p>
            <w:pPr>
              <w:pStyle w:val="19"/>
              <w:wordWrap/>
              <w:topLinePunct w:val="0"/>
              <w:spacing w:after="0" w:afterLines="0"/>
              <w:ind w:firstLine="210" w:firstLineChars="100"/>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名    称</w:t>
            </w:r>
          </w:p>
        </w:tc>
        <w:tc>
          <w:tcPr>
            <w:tcW w:w="1065" w:type="dxa"/>
            <w:tcBorders>
              <w:top w:val="single" w:color="auto" w:sz="12" w:space="0"/>
              <w:bottom w:val="double" w:color="auto" w:sz="6" w:space="0"/>
            </w:tcBorders>
            <w:vAlign w:val="center"/>
          </w:tcPr>
          <w:p>
            <w:pPr>
              <w:pStyle w:val="19"/>
              <w:wordWrap/>
              <w:topLinePunct w:val="0"/>
              <w:spacing w:after="0" w:afterLine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姓名</w:t>
            </w:r>
          </w:p>
        </w:tc>
        <w:tc>
          <w:tcPr>
            <w:tcW w:w="1134" w:type="dxa"/>
            <w:tcBorders>
              <w:top w:val="single" w:color="auto" w:sz="12" w:space="0"/>
              <w:bottom w:val="double" w:color="auto" w:sz="6" w:space="0"/>
            </w:tcBorders>
            <w:vAlign w:val="center"/>
          </w:tcPr>
          <w:p>
            <w:pPr>
              <w:pStyle w:val="19"/>
              <w:wordWrap/>
              <w:topLinePunct w:val="0"/>
              <w:spacing w:after="0" w:afterLine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职务</w:t>
            </w:r>
          </w:p>
        </w:tc>
        <w:tc>
          <w:tcPr>
            <w:tcW w:w="1134" w:type="dxa"/>
            <w:tcBorders>
              <w:top w:val="single" w:color="auto" w:sz="12" w:space="0"/>
              <w:bottom w:val="double" w:color="auto" w:sz="6" w:space="0"/>
            </w:tcBorders>
            <w:vAlign w:val="center"/>
          </w:tcPr>
          <w:p>
            <w:pPr>
              <w:pStyle w:val="19"/>
              <w:wordWrap/>
              <w:topLinePunct w:val="0"/>
              <w:spacing w:after="0" w:afterLine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职称</w:t>
            </w:r>
          </w:p>
        </w:tc>
        <w:tc>
          <w:tcPr>
            <w:tcW w:w="3896" w:type="dxa"/>
            <w:tcBorders>
              <w:top w:val="single" w:color="auto" w:sz="12" w:space="0"/>
              <w:bottom w:val="double" w:color="auto" w:sz="6" w:space="0"/>
            </w:tcBorders>
            <w:vAlign w:val="center"/>
          </w:tcPr>
          <w:p>
            <w:pPr>
              <w:pStyle w:val="19"/>
              <w:wordWrap/>
              <w:topLinePunct w:val="0"/>
              <w:spacing w:after="0" w:afterLines="0"/>
              <w:ind w:firstLine="420"/>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主要资历、经验及承担过的项目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88" w:type="dxa"/>
            <w:gridSpan w:val="5"/>
            <w:tcBorders>
              <w:top w:val="double" w:color="auto" w:sz="6" w:space="0"/>
              <w:bottom w:val="single" w:color="auto" w:sz="6" w:space="0"/>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一、总部人员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nil"/>
              <w:bottom w:val="nil"/>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项目主管</w:t>
            </w:r>
          </w:p>
        </w:tc>
        <w:tc>
          <w:tcPr>
            <w:tcW w:w="1065" w:type="dxa"/>
            <w:tcBorders>
              <w:top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tcBorders>
              <w:top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tcBorders>
              <w:top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tcBorders>
              <w:top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nil"/>
              <w:bottom w:val="nil"/>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其他人员</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nil"/>
              <w:bottom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788" w:type="dxa"/>
            <w:gridSpan w:val="5"/>
            <w:tcBorders>
              <w:top w:val="single" w:color="auto" w:sz="6" w:space="0"/>
              <w:bottom w:val="single" w:color="auto" w:sz="6" w:space="0"/>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二、现场人员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工程总承包</w:t>
            </w:r>
          </w:p>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项目经理</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项目副经理</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设计负责人</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采购负责人</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施工负责人</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技术负责人</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造价管理</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质量管理</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计划管理</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安全管理</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tcBorders>
              <w:top w:val="single" w:color="auto" w:sz="6" w:space="0"/>
              <w:bottom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环境管理</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vMerge w:val="restart"/>
            <w:tcBorders>
              <w:top w:val="single" w:color="auto" w:sz="6" w:space="0"/>
            </w:tcBorders>
            <w:vAlign w:val="center"/>
          </w:tcPr>
          <w:p>
            <w:pPr>
              <w:pStyle w:val="19"/>
              <w:wordWrap/>
              <w:topLinePunct w:val="0"/>
              <w:spacing w:after="0" w:afterLines="0"/>
              <w:ind w:firstLine="0" w:firstLineChars="0"/>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其他人员</w:t>
            </w: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vMerge w:val="continue"/>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065" w:type="dxa"/>
            <w:tcBorders>
              <w:bottom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tcBorders>
              <w:bottom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tcBorders>
              <w:bottom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tcBorders>
              <w:bottom w:val="nil"/>
            </w:tcBorders>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vMerge w:val="continue"/>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vMerge w:val="continue"/>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vMerge w:val="continue"/>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065"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1134"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c>
          <w:tcPr>
            <w:tcW w:w="3896" w:type="dxa"/>
            <w:vAlign w:val="center"/>
          </w:tcPr>
          <w:p>
            <w:pPr>
              <w:pStyle w:val="19"/>
              <w:wordWrap/>
              <w:topLinePunct w:val="0"/>
              <w:spacing w:after="0" w:afterLines="0"/>
              <w:ind w:firstLine="420"/>
              <w:rPr>
                <w:rFonts w:hint="eastAsia" w:asciiTheme="minorEastAsia" w:hAnsiTheme="minorEastAsia" w:eastAsiaTheme="minorEastAsia" w:cstheme="minorEastAsia"/>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559" w:type="dxa"/>
            <w:vMerge w:val="continue"/>
            <w:tcBorders>
              <w:bottom w:val="single" w:color="auto" w:sz="12" w:space="0"/>
            </w:tcBorders>
            <w:vAlign w:val="center"/>
          </w:tcPr>
          <w:p>
            <w:pPr>
              <w:pStyle w:val="19"/>
              <w:wordWrap/>
              <w:topLinePunct w:val="0"/>
              <w:rPr>
                <w:rFonts w:hint="eastAsia" w:asciiTheme="minorEastAsia" w:hAnsiTheme="minorEastAsia" w:eastAsiaTheme="minorEastAsia" w:cstheme="minorEastAsia"/>
                <w:color w:val="auto"/>
                <w:highlight w:val="none"/>
              </w:rPr>
            </w:pPr>
          </w:p>
        </w:tc>
        <w:tc>
          <w:tcPr>
            <w:tcW w:w="1065" w:type="dxa"/>
            <w:tcBorders>
              <w:bottom w:val="single" w:color="auto" w:sz="12" w:space="0"/>
            </w:tcBorders>
            <w:vAlign w:val="center"/>
          </w:tcPr>
          <w:p>
            <w:pPr>
              <w:pStyle w:val="19"/>
              <w:wordWrap/>
              <w:topLinePunct w:val="0"/>
              <w:rPr>
                <w:rFonts w:hint="eastAsia" w:asciiTheme="minorEastAsia" w:hAnsiTheme="minorEastAsia" w:eastAsiaTheme="minorEastAsia" w:cstheme="minorEastAsia"/>
                <w:color w:val="auto"/>
                <w:highlight w:val="none"/>
              </w:rPr>
            </w:pPr>
          </w:p>
        </w:tc>
        <w:tc>
          <w:tcPr>
            <w:tcW w:w="1134" w:type="dxa"/>
            <w:tcBorders>
              <w:bottom w:val="single" w:color="auto" w:sz="12" w:space="0"/>
            </w:tcBorders>
            <w:vAlign w:val="center"/>
          </w:tcPr>
          <w:p>
            <w:pPr>
              <w:pStyle w:val="19"/>
              <w:wordWrap/>
              <w:topLinePunct w:val="0"/>
              <w:rPr>
                <w:rFonts w:hint="eastAsia" w:asciiTheme="minorEastAsia" w:hAnsiTheme="minorEastAsia" w:eastAsiaTheme="minorEastAsia" w:cstheme="minorEastAsia"/>
                <w:color w:val="auto"/>
                <w:highlight w:val="none"/>
              </w:rPr>
            </w:pPr>
          </w:p>
        </w:tc>
        <w:tc>
          <w:tcPr>
            <w:tcW w:w="1134" w:type="dxa"/>
            <w:tcBorders>
              <w:bottom w:val="single" w:color="auto" w:sz="12" w:space="0"/>
            </w:tcBorders>
            <w:vAlign w:val="center"/>
          </w:tcPr>
          <w:p>
            <w:pPr>
              <w:pStyle w:val="19"/>
              <w:wordWrap/>
              <w:topLinePunct w:val="0"/>
              <w:rPr>
                <w:rFonts w:hint="eastAsia" w:asciiTheme="minorEastAsia" w:hAnsiTheme="minorEastAsia" w:eastAsiaTheme="minorEastAsia" w:cstheme="minorEastAsia"/>
                <w:color w:val="auto"/>
                <w:highlight w:val="none"/>
              </w:rPr>
            </w:pPr>
          </w:p>
        </w:tc>
        <w:tc>
          <w:tcPr>
            <w:tcW w:w="3896" w:type="dxa"/>
            <w:tcBorders>
              <w:bottom w:val="single" w:color="auto" w:sz="12" w:space="0"/>
            </w:tcBorders>
            <w:vAlign w:val="center"/>
          </w:tcPr>
          <w:p>
            <w:pPr>
              <w:pStyle w:val="19"/>
              <w:wordWrap/>
              <w:topLinePunct w:val="0"/>
              <w:rPr>
                <w:rFonts w:hint="eastAsia" w:asciiTheme="minorEastAsia" w:hAnsiTheme="minorEastAsia" w:eastAsiaTheme="minorEastAsia" w:cstheme="minorEastAsia"/>
                <w:color w:val="auto"/>
                <w:highlight w:val="none"/>
              </w:rPr>
            </w:pPr>
          </w:p>
        </w:tc>
      </w:tr>
    </w:tbl>
    <w:p>
      <w:pPr>
        <w:wordWrap/>
        <w:topLinePunct w:val="0"/>
        <w:rPr>
          <w:color w:val="auto"/>
          <w:highlight w:val="none"/>
        </w:rPr>
      </w:pPr>
      <w:r>
        <w:rPr>
          <w:color w:val="auto"/>
          <w:highlight w:val="none"/>
        </w:rPr>
        <w:br w:type="page"/>
      </w:r>
    </w:p>
    <w:p>
      <w:pPr>
        <w:pStyle w:val="189"/>
        <w:numPr>
          <w:ilvl w:val="0"/>
          <w:numId w:val="0"/>
        </w:numPr>
        <w:rPr>
          <w:color w:val="auto"/>
          <w:highlight w:val="none"/>
        </w:rPr>
      </w:pPr>
      <w:bookmarkStart w:id="843" w:name="_Toc54862357"/>
      <w:r>
        <w:rPr>
          <w:rFonts w:hint="eastAsia"/>
          <w:color w:val="auto"/>
          <w:highlight w:val="none"/>
        </w:rPr>
        <w:t>附件6</w:t>
      </w:r>
      <w:r>
        <w:rPr>
          <w:color w:val="auto"/>
          <w:highlight w:val="none"/>
        </w:rPr>
        <w:t xml:space="preserve"> </w:t>
      </w:r>
      <w:r>
        <w:rPr>
          <w:rFonts w:hint="eastAsia"/>
          <w:color w:val="auto"/>
          <w:highlight w:val="none"/>
        </w:rPr>
        <w:t>价格指数权重表</w:t>
      </w:r>
      <w:bookmarkEnd w:id="843"/>
    </w:p>
    <w:tbl>
      <w:tblPr>
        <w:tblStyle w:val="44"/>
        <w:tblW w:w="871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
        <w:gridCol w:w="584"/>
        <w:gridCol w:w="876"/>
        <w:gridCol w:w="1215"/>
        <w:gridCol w:w="1080"/>
        <w:gridCol w:w="1215"/>
        <w:gridCol w:w="1230"/>
        <w:gridCol w:w="16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trPr>
        <w:tc>
          <w:tcPr>
            <w:tcW w:w="829" w:type="dxa"/>
            <w:vMerge w:val="restart"/>
            <w:vAlign w:val="center"/>
          </w:tcPr>
          <w:p>
            <w:pPr>
              <w:wordWrap/>
              <w:topLinePunct w:val="0"/>
              <w:ind w:firstLine="0" w:firstLineChars="0"/>
              <w:jc w:val="center"/>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序号</w:t>
            </w:r>
          </w:p>
        </w:tc>
        <w:tc>
          <w:tcPr>
            <w:tcW w:w="1460" w:type="dxa"/>
            <w:gridSpan w:val="2"/>
            <w:vMerge w:val="restart"/>
            <w:vAlign w:val="center"/>
          </w:tcPr>
          <w:p>
            <w:pPr>
              <w:wordWrap/>
              <w:topLinePunct w:val="0"/>
              <w:ind w:firstLine="0" w:firstLineChars="0"/>
              <w:jc w:val="center"/>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名称</w:t>
            </w:r>
          </w:p>
        </w:tc>
        <w:tc>
          <w:tcPr>
            <w:tcW w:w="2295" w:type="dxa"/>
            <w:gridSpan w:val="2"/>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变更权重B</w:t>
            </w:r>
          </w:p>
        </w:tc>
        <w:tc>
          <w:tcPr>
            <w:tcW w:w="2445" w:type="dxa"/>
            <w:gridSpan w:val="2"/>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基本价格指数F0</w:t>
            </w: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829" w:type="dxa"/>
            <w:vMerge w:val="continue"/>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460" w:type="dxa"/>
            <w:gridSpan w:val="2"/>
            <w:vMerge w:val="continue"/>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center"/>
          </w:tcPr>
          <w:p>
            <w:pPr>
              <w:wordWrap/>
              <w:topLinePunct w:val="0"/>
              <w:ind w:firstLine="0" w:firstLineChars="0"/>
              <w:jc w:val="both"/>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代号</w:t>
            </w:r>
          </w:p>
        </w:tc>
        <w:tc>
          <w:tcPr>
            <w:tcW w:w="1080" w:type="dxa"/>
            <w:vAlign w:val="center"/>
          </w:tcPr>
          <w:p>
            <w:pPr>
              <w:wordWrap/>
              <w:topLinePunct w:val="0"/>
              <w:ind w:firstLine="0" w:firstLineChars="0"/>
              <w:jc w:val="both"/>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权重</w:t>
            </w:r>
          </w:p>
        </w:tc>
        <w:tc>
          <w:tcPr>
            <w:tcW w:w="1215" w:type="dxa"/>
            <w:vAlign w:val="center"/>
          </w:tcPr>
          <w:p>
            <w:pPr>
              <w:wordWrap/>
              <w:topLinePunct w:val="0"/>
              <w:ind w:firstLine="0" w:firstLineChars="0"/>
              <w:jc w:val="both"/>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代号</w:t>
            </w:r>
          </w:p>
        </w:tc>
        <w:tc>
          <w:tcPr>
            <w:tcW w:w="1230" w:type="dxa"/>
            <w:vAlign w:val="center"/>
          </w:tcPr>
          <w:p>
            <w:pPr>
              <w:wordWrap/>
              <w:topLinePunct w:val="0"/>
              <w:ind w:firstLine="0" w:firstLineChars="0"/>
              <w:jc w:val="both"/>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指数</w:t>
            </w: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584" w:type="dxa"/>
            <w:vMerge w:val="restart"/>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变</w:t>
            </w:r>
          </w:p>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值</w:t>
            </w:r>
          </w:p>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部</w:t>
            </w:r>
          </w:p>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分</w:t>
            </w:r>
          </w:p>
        </w:tc>
        <w:tc>
          <w:tcPr>
            <w:tcW w:w="876"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B1</w:t>
            </w:r>
          </w:p>
        </w:tc>
        <w:tc>
          <w:tcPr>
            <w:tcW w:w="108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F01</w:t>
            </w:r>
          </w:p>
        </w:tc>
        <w:tc>
          <w:tcPr>
            <w:tcW w:w="123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584" w:type="dxa"/>
            <w:vMerge w:val="continue"/>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876"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B2</w:t>
            </w:r>
          </w:p>
        </w:tc>
        <w:tc>
          <w:tcPr>
            <w:tcW w:w="108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F02</w:t>
            </w:r>
          </w:p>
        </w:tc>
        <w:tc>
          <w:tcPr>
            <w:tcW w:w="123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584" w:type="dxa"/>
            <w:vMerge w:val="continue"/>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876"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B3</w:t>
            </w:r>
          </w:p>
        </w:tc>
        <w:tc>
          <w:tcPr>
            <w:tcW w:w="108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F03</w:t>
            </w:r>
          </w:p>
        </w:tc>
        <w:tc>
          <w:tcPr>
            <w:tcW w:w="123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584" w:type="dxa"/>
            <w:vMerge w:val="continue"/>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876"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B4</w:t>
            </w:r>
          </w:p>
        </w:tc>
        <w:tc>
          <w:tcPr>
            <w:tcW w:w="108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F04</w:t>
            </w:r>
          </w:p>
        </w:tc>
        <w:tc>
          <w:tcPr>
            <w:tcW w:w="123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584" w:type="dxa"/>
            <w:vMerge w:val="continue"/>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876"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08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3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584" w:type="dxa"/>
            <w:vMerge w:val="continue"/>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876"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08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3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9" w:type="dxa"/>
            <w:gridSpan w:val="3"/>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定值部分权重A</w:t>
            </w: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08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15"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230"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9" w:type="dxa"/>
            <w:gridSpan w:val="3"/>
            <w:vAlign w:val="top"/>
          </w:tcPr>
          <w:p>
            <w:pPr>
              <w:wordWrap/>
              <w:topLinePunct w:val="0"/>
              <w:ind w:firstLine="0" w:firstLineChars="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合计</w:t>
            </w:r>
          </w:p>
        </w:tc>
        <w:tc>
          <w:tcPr>
            <w:tcW w:w="2295" w:type="dxa"/>
            <w:gridSpan w:val="2"/>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2445" w:type="dxa"/>
            <w:gridSpan w:val="2"/>
            <w:vAlign w:val="top"/>
          </w:tcPr>
          <w:p>
            <w:pPr>
              <w:wordWrap/>
              <w:topLinePunct w:val="0"/>
              <w:ind w:firstLine="0" w:firstLineChars="0"/>
              <w:rPr>
                <w:rFonts w:hint="eastAsia" w:asciiTheme="minorEastAsia" w:hAnsiTheme="minorEastAsia" w:eastAsiaTheme="minorEastAsia" w:cstheme="minorEastAsia"/>
                <w:color w:val="auto"/>
                <w:highlight w:val="none"/>
              </w:rPr>
            </w:pPr>
          </w:p>
        </w:tc>
        <w:tc>
          <w:tcPr>
            <w:tcW w:w="1688" w:type="dxa"/>
            <w:vAlign w:val="top"/>
          </w:tcPr>
          <w:p>
            <w:pPr>
              <w:wordWrap/>
              <w:topLinePunct w:val="0"/>
              <w:ind w:firstLine="0" w:firstLineChars="0"/>
              <w:rPr>
                <w:rFonts w:hint="eastAsia" w:asciiTheme="minorEastAsia" w:hAnsiTheme="minorEastAsia" w:eastAsiaTheme="minorEastAsia" w:cstheme="minorEastAsia"/>
                <w:color w:val="auto"/>
                <w:highlight w:val="none"/>
              </w:rPr>
            </w:pPr>
          </w:p>
        </w:tc>
      </w:tr>
    </w:tbl>
    <w:p>
      <w:pPr>
        <w:jc w:val="both"/>
        <w:rPr>
          <w:b/>
          <w:color w:val="auto"/>
          <w:sz w:val="32"/>
          <w:szCs w:val="32"/>
          <w:highlight w:val="none"/>
        </w:rPr>
      </w:pPr>
      <w:r>
        <w:rPr>
          <w:rFonts w:hint="eastAsia"/>
          <w:b/>
          <w:color w:val="auto"/>
          <w:sz w:val="32"/>
          <w:szCs w:val="32"/>
          <w:highlight w:val="none"/>
        </w:rPr>
        <w:br w:type="page"/>
      </w:r>
    </w:p>
    <w:p>
      <w:pPr>
        <w:jc w:val="center"/>
        <w:rPr>
          <w:b/>
          <w:color w:val="auto"/>
          <w:sz w:val="32"/>
          <w:szCs w:val="32"/>
          <w:highlight w:val="none"/>
        </w:rPr>
      </w:pPr>
    </w:p>
    <w:p>
      <w:pPr>
        <w:pStyle w:val="4"/>
        <w:jc w:val="center"/>
        <w:rPr>
          <w:rFonts w:ascii="黑体" w:hAnsi="黑体" w:cs="黑体"/>
          <w:color w:val="auto"/>
          <w:szCs w:val="32"/>
          <w:highlight w:val="none"/>
        </w:rPr>
      </w:pPr>
      <w:bookmarkStart w:id="844" w:name="_Toc18176"/>
      <w:bookmarkStart w:id="845" w:name="_Toc21080"/>
      <w:bookmarkStart w:id="846" w:name="_Toc20271"/>
      <w:bookmarkStart w:id="847" w:name="_Toc10529"/>
      <w:bookmarkStart w:id="848" w:name="_Toc15353"/>
      <w:bookmarkStart w:id="849" w:name="_Toc2646"/>
      <w:r>
        <w:rPr>
          <w:rFonts w:hint="eastAsia" w:ascii="黑体" w:hAnsi="黑体" w:cs="黑体"/>
          <w:color w:val="auto"/>
          <w:szCs w:val="32"/>
          <w:highlight w:val="none"/>
        </w:rPr>
        <w:t>第五章 报价清单</w:t>
      </w:r>
      <w:bookmarkEnd w:id="800"/>
      <w:bookmarkEnd w:id="844"/>
      <w:bookmarkEnd w:id="845"/>
      <w:bookmarkEnd w:id="846"/>
      <w:bookmarkEnd w:id="847"/>
      <w:bookmarkEnd w:id="848"/>
      <w:bookmarkEnd w:id="849"/>
    </w:p>
    <w:p>
      <w:pPr>
        <w:pStyle w:val="6"/>
        <w:rPr>
          <w:rFonts w:ascii="宋体" w:hAnsi="宋体" w:cs="宋体"/>
          <w:color w:val="auto"/>
          <w:kern w:val="0"/>
          <w:highlight w:val="none"/>
        </w:rPr>
      </w:pPr>
      <w:bookmarkStart w:id="850" w:name="_Toc28743"/>
      <w:bookmarkStart w:id="851" w:name="_Toc25594"/>
      <w:bookmarkStart w:id="852" w:name="_Toc3689"/>
      <w:bookmarkStart w:id="853" w:name="_Toc508286140"/>
      <w:bookmarkStart w:id="854" w:name="_Toc4399"/>
      <w:bookmarkStart w:id="855" w:name="_Toc1252"/>
      <w:bookmarkStart w:id="856" w:name="_Toc24643"/>
      <w:r>
        <w:rPr>
          <w:rFonts w:hint="eastAsia" w:ascii="宋体" w:hAnsi="宋体" w:cs="宋体"/>
          <w:color w:val="auto"/>
          <w:kern w:val="0"/>
          <w:highlight w:val="none"/>
        </w:rPr>
        <w:t>1. 报价清单综合说明</w:t>
      </w:r>
      <w:bookmarkEnd w:id="850"/>
      <w:bookmarkEnd w:id="851"/>
      <w:bookmarkEnd w:id="852"/>
      <w:bookmarkEnd w:id="853"/>
      <w:bookmarkEnd w:id="854"/>
      <w:bookmarkEnd w:id="855"/>
      <w:bookmarkEnd w:id="856"/>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1.1工程总承包报价范围一般包括勘察费、设计费、建筑安装工程费、设备购置费、总承包其他费及暂列金额等（具体参考《房屋建筑和市政基础设施项目工程总承包计价计量规范》）；投标人应充分了解施工场地的位置、周边环境、道路、装卸、保管、安装限制以及影响投标报价的其他要素。投标人根据投标设计，结合市场情况进行投标报价。投标报价应根据招标文件中的有关计价要求，并按照下列依据自主报价，但不得低于成本。</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(1)  本</w:t>
      </w:r>
      <w:r>
        <w:rPr>
          <w:rFonts w:hint="eastAsia" w:ascii="宋体" w:hAnsi="宋体" w:cs="宋体"/>
          <w:color w:val="auto"/>
          <w:szCs w:val="28"/>
          <w:highlight w:val="none"/>
        </w:rPr>
        <w:t>招标文件及其补充通知、答疑纪要</w:t>
      </w:r>
      <w:r>
        <w:rPr>
          <w:rFonts w:hint="eastAsia" w:ascii="宋体" w:hAnsi="宋体" w:cs="宋体"/>
          <w:color w:val="auto"/>
          <w:szCs w:val="22"/>
          <w:highlight w:val="none"/>
        </w:rPr>
        <w:t>；</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(2)  参考《建设工程工程量清单计价规范》 (GB50500-2013)及其9本计算规范；</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(3)  国家或省级、行业建设主管部门颁发的计价办法；</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(4)  企业定额，国家或省级、行业建设主管部门颁发的计价定额；</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(5)  投标设计文件及相关资料；</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(6)  施工现场情况、工程特点及拟定的投标施工组织设计或施工方案；</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(7) 与建设项目相关的标准、规范、规程等技术资料；</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(8)  市场价格信息或工程造价管理机构发布的工程造价信息；</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(9)  其他的相关资料。</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1.2投标报价中应考虑招标文件中要求投标人承担的风险范围以及相关的费用。</w:t>
      </w:r>
    </w:p>
    <w:p>
      <w:pPr>
        <w:spacing w:line="360" w:lineRule="auto"/>
        <w:ind w:left="4" w:leftChars="2" w:firstLine="359" w:firstLineChars="171"/>
        <w:rPr>
          <w:rFonts w:ascii="宋体" w:hAnsi="宋体" w:cs="宋体"/>
          <w:color w:val="auto"/>
          <w:szCs w:val="22"/>
          <w:highlight w:val="none"/>
        </w:rPr>
      </w:pPr>
      <w:r>
        <w:rPr>
          <w:rFonts w:hint="eastAsia" w:ascii="宋体" w:hAnsi="宋体" w:cs="宋体"/>
          <w:color w:val="auto"/>
          <w:szCs w:val="22"/>
          <w:highlight w:val="none"/>
        </w:rPr>
        <w:t>1.3投标总价为投标人在投标文件中提出的各项支付金额的总和，为实施、完成招标工程并修补缺陷以及履行招标文件中约定的风险范围内的所有责任和义务所发生的全部费用。</w:t>
      </w:r>
    </w:p>
    <w:p>
      <w:pPr>
        <w:spacing w:line="360" w:lineRule="auto"/>
        <w:ind w:firstLine="359" w:firstLineChars="171"/>
        <w:rPr>
          <w:rFonts w:ascii="宋体" w:hAnsi="宋体" w:cs="宋体"/>
          <w:color w:val="auto"/>
          <w:szCs w:val="22"/>
          <w:highlight w:val="none"/>
        </w:rPr>
      </w:pPr>
      <w:r>
        <w:rPr>
          <w:rFonts w:hint="eastAsia" w:ascii="宋体" w:hAnsi="宋体" w:cs="宋体"/>
          <w:color w:val="auto"/>
          <w:szCs w:val="22"/>
          <w:highlight w:val="none"/>
        </w:rPr>
        <w:t>1.4 有关投标报价的其他要求：</w:t>
      </w:r>
    </w:p>
    <w:p>
      <w:pPr>
        <w:spacing w:line="360" w:lineRule="auto"/>
        <w:jc w:val="center"/>
        <w:rPr>
          <w:b/>
          <w:bCs/>
          <w:color w:val="auto"/>
          <w:kern w:val="44"/>
          <w:sz w:val="32"/>
          <w:szCs w:val="32"/>
          <w:highlight w:val="none"/>
        </w:rPr>
      </w:pPr>
    </w:p>
    <w:p>
      <w:pPr>
        <w:pStyle w:val="6"/>
        <w:rPr>
          <w:rFonts w:ascii="宋体" w:hAnsi="宋体" w:cs="宋体"/>
          <w:b w:val="0"/>
          <w:color w:val="auto"/>
          <w:kern w:val="0"/>
          <w:highlight w:val="none"/>
        </w:rPr>
      </w:pPr>
      <w:bookmarkStart w:id="857" w:name="_Toc18295"/>
      <w:bookmarkStart w:id="858" w:name="_Toc20589"/>
      <w:bookmarkStart w:id="859" w:name="_Toc24750"/>
      <w:bookmarkStart w:id="860" w:name="_Toc2197"/>
      <w:bookmarkStart w:id="861" w:name="_Toc10794"/>
      <w:bookmarkStart w:id="862" w:name="_Toc8377"/>
      <w:r>
        <w:rPr>
          <w:rFonts w:hint="eastAsia" w:ascii="宋体" w:hAnsi="宋体" w:cs="宋体"/>
          <w:color w:val="auto"/>
          <w:kern w:val="0"/>
          <w:highlight w:val="none"/>
        </w:rPr>
        <w:t>2．设计计价原则：</w:t>
      </w:r>
      <w:bookmarkEnd w:id="857"/>
      <w:bookmarkEnd w:id="858"/>
      <w:bookmarkEnd w:id="859"/>
      <w:bookmarkEnd w:id="860"/>
      <w:bookmarkEnd w:id="861"/>
      <w:bookmarkEnd w:id="862"/>
    </w:p>
    <w:p>
      <w:pPr>
        <w:rPr>
          <w:rFonts w:ascii="宋体" w:hAnsi="宋体" w:cs="宋体"/>
          <w:b/>
          <w:bCs/>
          <w:color w:val="auto"/>
          <w:kern w:val="0"/>
          <w:szCs w:val="32"/>
          <w:highlight w:val="none"/>
        </w:rPr>
      </w:pPr>
    </w:p>
    <w:p>
      <w:pPr>
        <w:pStyle w:val="6"/>
        <w:rPr>
          <w:rFonts w:hint="eastAsia" w:ascii="宋体" w:hAnsi="宋体" w:eastAsia="宋体" w:cs="宋体"/>
          <w:color w:val="auto"/>
          <w:kern w:val="0"/>
          <w:highlight w:val="none"/>
          <w:lang w:eastAsia="zh-CN"/>
        </w:rPr>
      </w:pPr>
      <w:bookmarkStart w:id="863" w:name="_Toc10174"/>
      <w:bookmarkStart w:id="864" w:name="_Toc8385"/>
      <w:bookmarkStart w:id="865" w:name="_Toc27969"/>
      <w:bookmarkStart w:id="866" w:name="_Toc32541"/>
      <w:bookmarkStart w:id="867" w:name="_Toc6610"/>
      <w:bookmarkStart w:id="868" w:name="_Toc181"/>
      <w:r>
        <w:rPr>
          <w:rFonts w:hint="eastAsia" w:ascii="宋体" w:hAnsi="宋体" w:cs="宋体"/>
          <w:color w:val="auto"/>
          <w:kern w:val="0"/>
          <w:highlight w:val="none"/>
        </w:rPr>
        <w:t>3．施工计价原则：</w:t>
      </w:r>
      <w:r>
        <w:rPr>
          <w:rFonts w:hint="eastAsia" w:ascii="宋体" w:hAnsi="宋体" w:cs="宋体"/>
          <w:color w:val="auto"/>
          <w:kern w:val="0"/>
          <w:highlight w:val="none"/>
        </w:rPr>
        <w:br w:type="textWrapping"/>
      </w:r>
      <w:bookmarkEnd w:id="863"/>
      <w:bookmarkEnd w:id="864"/>
      <w:bookmarkEnd w:id="865"/>
      <w:bookmarkEnd w:id="866"/>
      <w:bookmarkEnd w:id="867"/>
      <w:bookmarkEnd w:id="868"/>
    </w:p>
    <w:p>
      <w:pPr>
        <w:rPr>
          <w:rFonts w:hint="eastAsia"/>
          <w:color w:val="auto"/>
          <w:highlight w:val="none"/>
          <w:lang w:eastAsia="zh-CN"/>
        </w:rPr>
      </w:pPr>
    </w:p>
    <w:p>
      <w:pPr>
        <w:rPr>
          <w:rFonts w:hint="eastAsia"/>
          <w:color w:val="auto"/>
          <w:highlight w:val="none"/>
          <w:lang w:eastAsia="zh-CN"/>
        </w:rPr>
      </w:pPr>
    </w:p>
    <w:p>
      <w:pPr>
        <w:rPr>
          <w:rFonts w:hint="eastAsia"/>
          <w:color w:val="auto"/>
          <w:highlight w:val="none"/>
          <w:lang w:eastAsia="zh-CN"/>
        </w:rPr>
      </w:pPr>
    </w:p>
    <w:p>
      <w:pPr>
        <w:pStyle w:val="6"/>
        <w:rPr>
          <w:rFonts w:ascii="宋体" w:hAnsi="宋体" w:cs="宋体"/>
          <w:b w:val="0"/>
          <w:color w:val="auto"/>
          <w:kern w:val="0"/>
          <w:highlight w:val="none"/>
        </w:rPr>
      </w:pPr>
      <w:bookmarkStart w:id="869" w:name="_Toc13702"/>
      <w:bookmarkStart w:id="870" w:name="_Toc19208"/>
      <w:bookmarkStart w:id="871" w:name="_Toc1598"/>
      <w:bookmarkStart w:id="872" w:name="_Toc18159"/>
      <w:bookmarkStart w:id="873" w:name="_Toc11698"/>
      <w:bookmarkStart w:id="874" w:name="_Toc30684"/>
      <w:r>
        <w:rPr>
          <w:rFonts w:hint="eastAsia" w:ascii="宋体" w:hAnsi="宋体" w:cs="宋体"/>
          <w:color w:val="auto"/>
          <w:kern w:val="0"/>
          <w:highlight w:val="none"/>
        </w:rPr>
        <w:t>4．采购计价原则：</w:t>
      </w:r>
      <w:bookmarkEnd w:id="869"/>
      <w:bookmarkEnd w:id="870"/>
      <w:bookmarkEnd w:id="871"/>
      <w:bookmarkEnd w:id="872"/>
      <w:bookmarkEnd w:id="873"/>
      <w:bookmarkEnd w:id="874"/>
    </w:p>
    <w:p>
      <w:pPr>
        <w:spacing w:line="360" w:lineRule="auto"/>
        <w:jc w:val="left"/>
        <w:rPr>
          <w:rFonts w:ascii="宋体" w:hAnsi="宋体" w:cs="宋体"/>
          <w:color w:val="auto"/>
          <w:kern w:val="0"/>
          <w:highlight w:val="none"/>
        </w:rPr>
      </w:pPr>
    </w:p>
    <w:p>
      <w:pPr>
        <w:pStyle w:val="6"/>
        <w:rPr>
          <w:rFonts w:ascii="宋体" w:hAnsi="宋体" w:cs="宋体"/>
          <w:b w:val="0"/>
          <w:color w:val="auto"/>
          <w:kern w:val="0"/>
          <w:highlight w:val="none"/>
        </w:rPr>
      </w:pPr>
      <w:bookmarkStart w:id="875" w:name="_Toc5416"/>
      <w:bookmarkStart w:id="876" w:name="_Toc24207"/>
      <w:bookmarkStart w:id="877" w:name="_Toc3142"/>
      <w:bookmarkStart w:id="878" w:name="_Toc16391"/>
      <w:bookmarkStart w:id="879" w:name="_Toc3391"/>
      <w:bookmarkStart w:id="880" w:name="_Toc26203"/>
      <w:r>
        <w:rPr>
          <w:rFonts w:hint="eastAsia" w:ascii="宋体" w:hAnsi="宋体" w:cs="宋体"/>
          <w:color w:val="auto"/>
          <w:kern w:val="0"/>
          <w:highlight w:val="none"/>
        </w:rPr>
        <w:t>5．其他说明：</w:t>
      </w:r>
      <w:bookmarkEnd w:id="875"/>
      <w:bookmarkEnd w:id="876"/>
      <w:bookmarkEnd w:id="877"/>
      <w:bookmarkEnd w:id="878"/>
      <w:bookmarkEnd w:id="879"/>
      <w:bookmarkEnd w:id="880"/>
    </w:p>
    <w:p>
      <w:pPr>
        <w:spacing w:line="360" w:lineRule="auto"/>
        <w:jc w:val="left"/>
        <w:rPr>
          <w:b/>
          <w:bCs/>
          <w:color w:val="auto"/>
          <w:kern w:val="44"/>
          <w:sz w:val="32"/>
          <w:szCs w:val="32"/>
          <w:highlight w:val="none"/>
        </w:rPr>
      </w:pPr>
    </w:p>
    <w:p>
      <w:pPr>
        <w:rPr>
          <w:color w:val="auto"/>
          <w:highlight w:val="none"/>
        </w:rPr>
      </w:pPr>
    </w:p>
    <w:p>
      <w:pPr>
        <w:rPr>
          <w:color w:val="auto"/>
          <w:highlight w:val="none"/>
        </w:rPr>
      </w:pPr>
    </w:p>
    <w:p>
      <w:pPr>
        <w:pStyle w:val="4"/>
        <w:jc w:val="center"/>
        <w:rPr>
          <w:color w:val="auto"/>
          <w:highlight w:val="none"/>
        </w:rPr>
      </w:pPr>
      <w:bookmarkStart w:id="881" w:name="_Toc23451"/>
      <w:bookmarkStart w:id="882" w:name="_Toc4214"/>
      <w:bookmarkStart w:id="883" w:name="_Toc20527"/>
      <w:bookmarkStart w:id="884" w:name="_Toc508286141"/>
      <w:bookmarkStart w:id="885" w:name="_Toc3277"/>
      <w:bookmarkStart w:id="886" w:name="_Toc19805"/>
      <w:bookmarkStart w:id="887" w:name="_Toc13962"/>
      <w:r>
        <w:rPr>
          <w:rFonts w:hint="eastAsia"/>
          <w:color w:val="auto"/>
          <w:highlight w:val="none"/>
        </w:rPr>
        <w:t>第六章 发包人要求</w:t>
      </w:r>
      <w:bookmarkEnd w:id="881"/>
      <w:bookmarkEnd w:id="882"/>
      <w:bookmarkEnd w:id="883"/>
      <w:bookmarkEnd w:id="884"/>
      <w:bookmarkEnd w:id="885"/>
      <w:bookmarkEnd w:id="886"/>
      <w:bookmarkEnd w:id="887"/>
    </w:p>
    <w:p>
      <w:pPr>
        <w:spacing w:line="440" w:lineRule="exact"/>
        <w:ind w:firstLine="359" w:firstLineChars="171"/>
        <w:rPr>
          <w:color w:val="auto"/>
          <w:szCs w:val="21"/>
          <w:highlight w:val="none"/>
        </w:rPr>
      </w:pPr>
      <w:r>
        <w:rPr>
          <w:rFonts w:hint="eastAsia"/>
          <w:color w:val="auto"/>
          <w:szCs w:val="21"/>
          <w:highlight w:val="none"/>
        </w:rPr>
        <w:t>发包人要求应尽可能清晰准确，对于可以进行定量评估的工作，发包人要求不仅应明确规定其产能、功能、用途、质量、环境、安全，并且要规定偏离的范围和计算方法，以及检验、试验、试运行的具体要求。对于承包人负责提供的有关设备和服务，对发包人人员进行培训和提供一些消耗品等，在发包人要求中应一并明确规定。</w:t>
      </w:r>
    </w:p>
    <w:p>
      <w:pPr>
        <w:spacing w:line="440" w:lineRule="exact"/>
        <w:ind w:firstLine="359" w:firstLineChars="171"/>
        <w:rPr>
          <w:color w:val="auto"/>
          <w:szCs w:val="21"/>
          <w:highlight w:val="none"/>
        </w:rPr>
      </w:pPr>
      <w:r>
        <w:rPr>
          <w:rFonts w:hint="eastAsia"/>
          <w:color w:val="auto"/>
          <w:szCs w:val="21"/>
          <w:highlight w:val="none"/>
        </w:rPr>
        <w:t>发包人要求通常包括但不限于以下内容：</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一、功能要求</w:t>
      </w:r>
    </w:p>
    <w:p>
      <w:pPr>
        <w:spacing w:line="440" w:lineRule="exact"/>
        <w:ind w:firstLine="567" w:firstLineChars="270"/>
        <w:rPr>
          <w:color w:val="auto"/>
          <w:szCs w:val="21"/>
          <w:highlight w:val="none"/>
        </w:rPr>
      </w:pPr>
      <w:r>
        <w:rPr>
          <w:rFonts w:hint="eastAsia"/>
          <w:color w:val="auto"/>
          <w:szCs w:val="21"/>
          <w:highlight w:val="none"/>
        </w:rPr>
        <w:t>（一）工程的目的。</w:t>
      </w:r>
    </w:p>
    <w:p>
      <w:pPr>
        <w:spacing w:line="440" w:lineRule="exact"/>
        <w:ind w:firstLine="567" w:firstLineChars="270"/>
        <w:rPr>
          <w:color w:val="auto"/>
          <w:szCs w:val="21"/>
          <w:highlight w:val="none"/>
        </w:rPr>
      </w:pPr>
      <w:r>
        <w:rPr>
          <w:rFonts w:hint="eastAsia"/>
          <w:color w:val="auto"/>
          <w:szCs w:val="21"/>
          <w:highlight w:val="none"/>
        </w:rPr>
        <w:t>（二）工程规模。</w:t>
      </w:r>
    </w:p>
    <w:p>
      <w:pPr>
        <w:spacing w:line="440" w:lineRule="exact"/>
        <w:ind w:firstLine="567" w:firstLineChars="270"/>
        <w:rPr>
          <w:color w:val="auto"/>
          <w:szCs w:val="21"/>
          <w:highlight w:val="none"/>
        </w:rPr>
      </w:pPr>
      <w:r>
        <w:rPr>
          <w:rFonts w:hint="eastAsia"/>
          <w:color w:val="auto"/>
          <w:szCs w:val="21"/>
          <w:highlight w:val="none"/>
        </w:rPr>
        <w:t>（三）性能保证指标（性能保证表）。</w:t>
      </w:r>
    </w:p>
    <w:p>
      <w:pPr>
        <w:spacing w:line="440" w:lineRule="exact"/>
        <w:ind w:firstLine="567" w:firstLineChars="270"/>
        <w:rPr>
          <w:color w:val="auto"/>
          <w:szCs w:val="21"/>
          <w:highlight w:val="none"/>
        </w:rPr>
      </w:pPr>
      <w:r>
        <w:rPr>
          <w:rFonts w:hint="eastAsia"/>
          <w:color w:val="auto"/>
          <w:szCs w:val="21"/>
          <w:highlight w:val="none"/>
        </w:rPr>
        <w:t>（四）产能保证指标。</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二、工程范围</w:t>
      </w:r>
    </w:p>
    <w:p>
      <w:pPr>
        <w:spacing w:line="400" w:lineRule="exact"/>
        <w:ind w:firstLine="630" w:firstLineChars="300"/>
        <w:rPr>
          <w:rFonts w:ascii="宋体" w:hAnsi="宋体" w:cs="宋体"/>
          <w:color w:val="auto"/>
          <w:highlight w:val="none"/>
        </w:rPr>
      </w:pPr>
      <w:r>
        <w:rPr>
          <w:rFonts w:hint="eastAsia" w:ascii="宋体" w:hAnsi="宋体" w:cs="宋体"/>
          <w:color w:val="auto"/>
          <w:highlight w:val="none"/>
        </w:rPr>
        <w:t>（一）概述</w:t>
      </w:r>
    </w:p>
    <w:p>
      <w:pPr>
        <w:spacing w:line="400" w:lineRule="exact"/>
        <w:ind w:firstLine="630" w:firstLineChars="300"/>
        <w:rPr>
          <w:rFonts w:ascii="宋体" w:hAnsi="宋体" w:cs="宋体"/>
          <w:color w:val="auto"/>
          <w:highlight w:val="none"/>
        </w:rPr>
      </w:pPr>
      <w:r>
        <w:rPr>
          <w:rFonts w:hint="eastAsia" w:ascii="宋体" w:hAnsi="宋体" w:cs="宋体"/>
          <w:color w:val="auto"/>
          <w:highlight w:val="none"/>
        </w:rPr>
        <w:t>（二）包括的工作</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1. 永久工程的设计、采购、施工范围。</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2. 临时工程的设计与施工范围。</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3. 竣工验收工作范围。</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4. 技术服务工作范围。</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5. 培训工作范围。</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6. 保修工作范围。</w:t>
      </w:r>
    </w:p>
    <w:p>
      <w:pPr>
        <w:spacing w:line="440" w:lineRule="exact"/>
        <w:ind w:firstLine="539" w:firstLineChars="257"/>
        <w:rPr>
          <w:rFonts w:ascii="宋体" w:hAnsi="宋体" w:cs="宋体"/>
          <w:color w:val="auto"/>
          <w:highlight w:val="none"/>
        </w:rPr>
      </w:pPr>
      <w:r>
        <w:rPr>
          <w:rFonts w:hint="eastAsia" w:ascii="宋体" w:hAnsi="宋体" w:cs="宋体"/>
          <w:color w:val="auto"/>
          <w:highlight w:val="none"/>
        </w:rPr>
        <w:t>（三）工作界区</w:t>
      </w:r>
    </w:p>
    <w:p>
      <w:pPr>
        <w:spacing w:line="400" w:lineRule="exact"/>
        <w:ind w:firstLine="539" w:firstLineChars="257"/>
        <w:rPr>
          <w:rFonts w:ascii="宋体" w:hAnsi="宋体" w:cs="宋体"/>
          <w:color w:val="auto"/>
          <w:highlight w:val="none"/>
        </w:rPr>
      </w:pPr>
      <w:r>
        <w:rPr>
          <w:rFonts w:hint="eastAsia" w:ascii="宋体" w:hAnsi="宋体" w:cs="宋体"/>
          <w:color w:val="auto"/>
          <w:highlight w:val="none"/>
        </w:rPr>
        <w:t>（四）发包人提供的现场条件</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1. 施工用电。</w:t>
      </w:r>
    </w:p>
    <w:p>
      <w:pPr>
        <w:spacing w:line="440" w:lineRule="exact"/>
        <w:ind w:firstLine="987" w:firstLineChars="470"/>
        <w:rPr>
          <w:rFonts w:ascii="宋体" w:hAnsi="宋体" w:cs="宋体"/>
          <w:color w:val="auto"/>
          <w:szCs w:val="21"/>
          <w:highlight w:val="none"/>
        </w:rPr>
      </w:pPr>
      <w:r>
        <w:rPr>
          <w:rFonts w:hint="eastAsia" w:ascii="宋体" w:hAnsi="宋体" w:cs="宋体"/>
          <w:color w:val="auto"/>
          <w:szCs w:val="21"/>
          <w:highlight w:val="none"/>
        </w:rPr>
        <w:t>2. 施工用水。</w:t>
      </w:r>
    </w:p>
    <w:p>
      <w:pPr>
        <w:spacing w:line="440" w:lineRule="exact"/>
        <w:ind w:firstLine="1003" w:firstLineChars="478"/>
        <w:rPr>
          <w:rFonts w:ascii="宋体" w:hAnsi="宋体" w:cs="宋体"/>
          <w:color w:val="auto"/>
          <w:highlight w:val="none"/>
        </w:rPr>
      </w:pPr>
      <w:r>
        <w:rPr>
          <w:rFonts w:hint="eastAsia" w:ascii="宋体" w:hAnsi="宋体" w:cs="宋体"/>
          <w:color w:val="auto"/>
          <w:szCs w:val="21"/>
          <w:highlight w:val="none"/>
        </w:rPr>
        <w:t>3. 施工排水。</w:t>
      </w:r>
      <w:r>
        <w:rPr>
          <w:rFonts w:hint="eastAsia" w:ascii="宋体" w:hAnsi="宋体" w:cs="宋体"/>
          <w:color w:val="auto"/>
          <w:highlight w:val="none"/>
        </w:rPr>
        <w:tab/>
      </w:r>
    </w:p>
    <w:p>
      <w:pPr>
        <w:spacing w:line="400" w:lineRule="exact"/>
        <w:rPr>
          <w:rFonts w:ascii="宋体" w:hAnsi="宋体" w:cs="宋体"/>
          <w:color w:val="auto"/>
          <w:highlight w:val="none"/>
        </w:rPr>
      </w:pPr>
      <w:r>
        <w:rPr>
          <w:rFonts w:hint="eastAsia" w:ascii="宋体" w:hAnsi="宋体" w:cs="宋体"/>
          <w:color w:val="auto"/>
          <w:highlight w:val="none"/>
        </w:rPr>
        <w:t>（五）发包人提供的技术文件</w:t>
      </w:r>
    </w:p>
    <w:p>
      <w:pPr>
        <w:spacing w:line="440" w:lineRule="exact"/>
        <w:ind w:firstLine="898" w:firstLineChars="428"/>
        <w:rPr>
          <w:rFonts w:ascii="宋体" w:hAnsi="宋体" w:cs="宋体"/>
          <w:color w:val="auto"/>
          <w:highlight w:val="none"/>
        </w:rPr>
      </w:pPr>
      <w:r>
        <w:rPr>
          <w:rFonts w:hint="eastAsia" w:ascii="宋体" w:hAnsi="宋体" w:cs="宋体"/>
          <w:color w:val="auto"/>
          <w:highlight w:val="none"/>
        </w:rPr>
        <w:t>除另有批准外，承包人的工作需要遵照发包人的下列技术文件:</w:t>
      </w:r>
    </w:p>
    <w:p>
      <w:pPr>
        <w:spacing w:line="440" w:lineRule="exact"/>
        <w:ind w:firstLine="898" w:firstLineChars="428"/>
        <w:rPr>
          <w:rFonts w:ascii="宋体" w:hAnsi="宋体" w:cs="宋体"/>
          <w:color w:val="auto"/>
          <w:szCs w:val="21"/>
          <w:highlight w:val="none"/>
        </w:rPr>
      </w:pPr>
      <w:r>
        <w:rPr>
          <w:rFonts w:hint="eastAsia" w:ascii="宋体" w:hAnsi="宋体" w:cs="宋体"/>
          <w:color w:val="auto"/>
          <w:szCs w:val="21"/>
          <w:highlight w:val="none"/>
        </w:rPr>
        <w:t>1. 发包人需求任务书。</w:t>
      </w:r>
    </w:p>
    <w:p>
      <w:pPr>
        <w:spacing w:line="440" w:lineRule="exact"/>
        <w:ind w:firstLine="898" w:firstLineChars="428"/>
        <w:rPr>
          <w:rFonts w:ascii="宋体" w:hAnsi="宋体" w:cs="宋体"/>
          <w:color w:val="auto"/>
          <w:szCs w:val="21"/>
          <w:highlight w:val="none"/>
        </w:rPr>
      </w:pPr>
      <w:r>
        <w:rPr>
          <w:rFonts w:hint="eastAsia" w:ascii="宋体" w:hAnsi="宋体" w:cs="宋体"/>
          <w:color w:val="auto"/>
          <w:szCs w:val="21"/>
          <w:highlight w:val="none"/>
        </w:rPr>
        <w:t>2. 发包人已完成的设计文件。</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三、工艺安排或要求（如有）</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四、时间要求</w:t>
      </w:r>
    </w:p>
    <w:p>
      <w:pPr>
        <w:spacing w:line="440" w:lineRule="exact"/>
        <w:ind w:firstLine="567" w:firstLineChars="270"/>
        <w:rPr>
          <w:color w:val="auto"/>
          <w:szCs w:val="21"/>
          <w:highlight w:val="none"/>
        </w:rPr>
      </w:pPr>
      <w:r>
        <w:rPr>
          <w:rFonts w:hint="eastAsia"/>
          <w:color w:val="auto"/>
          <w:szCs w:val="21"/>
          <w:highlight w:val="none"/>
        </w:rPr>
        <w:t>（一）开始工作时间。</w:t>
      </w:r>
    </w:p>
    <w:p>
      <w:pPr>
        <w:spacing w:line="440" w:lineRule="exact"/>
        <w:ind w:firstLine="567" w:firstLineChars="270"/>
        <w:rPr>
          <w:color w:val="auto"/>
          <w:szCs w:val="21"/>
          <w:highlight w:val="none"/>
        </w:rPr>
      </w:pPr>
      <w:r>
        <w:rPr>
          <w:rFonts w:hint="eastAsia"/>
          <w:color w:val="auto"/>
          <w:szCs w:val="21"/>
          <w:highlight w:val="none"/>
        </w:rPr>
        <w:t>（二）设计完成时间。</w:t>
      </w:r>
    </w:p>
    <w:p>
      <w:pPr>
        <w:spacing w:line="440" w:lineRule="exact"/>
        <w:ind w:firstLine="567" w:firstLineChars="270"/>
        <w:rPr>
          <w:color w:val="auto"/>
          <w:szCs w:val="21"/>
          <w:highlight w:val="none"/>
        </w:rPr>
      </w:pPr>
      <w:r>
        <w:rPr>
          <w:rFonts w:hint="eastAsia"/>
          <w:color w:val="auto"/>
          <w:szCs w:val="21"/>
          <w:highlight w:val="none"/>
        </w:rPr>
        <w:t>（三）进度计划。</w:t>
      </w:r>
    </w:p>
    <w:p>
      <w:pPr>
        <w:spacing w:line="440" w:lineRule="exact"/>
        <w:ind w:firstLine="567" w:firstLineChars="270"/>
        <w:rPr>
          <w:color w:val="auto"/>
          <w:szCs w:val="21"/>
          <w:highlight w:val="none"/>
        </w:rPr>
      </w:pPr>
      <w:r>
        <w:rPr>
          <w:rFonts w:hint="eastAsia"/>
          <w:color w:val="auto"/>
          <w:szCs w:val="21"/>
          <w:highlight w:val="none"/>
        </w:rPr>
        <w:t>（四）竣工时间。</w:t>
      </w:r>
    </w:p>
    <w:p>
      <w:pPr>
        <w:spacing w:line="440" w:lineRule="exact"/>
        <w:ind w:firstLine="567" w:firstLineChars="270"/>
        <w:rPr>
          <w:color w:val="auto"/>
          <w:szCs w:val="21"/>
          <w:highlight w:val="none"/>
        </w:rPr>
      </w:pPr>
      <w:r>
        <w:rPr>
          <w:rFonts w:hint="eastAsia"/>
          <w:color w:val="auto"/>
          <w:szCs w:val="21"/>
          <w:highlight w:val="none"/>
        </w:rPr>
        <w:t>（五）缺陷责任期。</w:t>
      </w:r>
    </w:p>
    <w:p>
      <w:pPr>
        <w:spacing w:line="440" w:lineRule="exact"/>
        <w:ind w:firstLine="567" w:firstLineChars="270"/>
        <w:rPr>
          <w:color w:val="auto"/>
          <w:szCs w:val="21"/>
          <w:highlight w:val="none"/>
        </w:rPr>
      </w:pPr>
      <w:r>
        <w:rPr>
          <w:rFonts w:hint="eastAsia"/>
          <w:color w:val="auto"/>
          <w:szCs w:val="21"/>
          <w:highlight w:val="none"/>
        </w:rPr>
        <w:t>（六）其他时间要求。</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五、技术要求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（一）设计阶段和设计任务。</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（二）设计标准和规范。</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（三）技术标准和要求。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（四）质量标准。</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（五）设计、施工和设备监造、试验（如有）。</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（六）样品。</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（七）发包人提供的其他条件，如发包人或其委托的第三人提供的设计、工艺包括用于试验检验的工器具等，以及据此对承包人提出的予以配套的要求。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注：本节技术标准和要求由招标人根据国家、行业、项目所在地现行规范、标准和规程等，以及项目具体情况摘录。</w:t>
      </w:r>
    </w:p>
    <w:p>
      <w:pPr>
        <w:spacing w:line="440" w:lineRule="exact"/>
        <w:ind w:firstLine="359" w:firstLineChars="171"/>
        <w:rPr>
          <w:rFonts w:ascii="宋体" w:hAnsi="宋体" w:cs="宋体"/>
          <w:color w:val="auto"/>
          <w:szCs w:val="21"/>
          <w:highlight w:val="none"/>
        </w:rPr>
      </w:pPr>
      <w:r>
        <w:rPr>
          <w:rFonts w:hint="eastAsia" w:ascii="宋体" w:hAnsi="宋体" w:cs="宋体"/>
          <w:color w:val="auto"/>
          <w:szCs w:val="21"/>
          <w:highlight w:val="none"/>
        </w:rPr>
        <w:t>六、竣工试验</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（一）第一阶段，如对单车试验等的要求，包括试验前准备。</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（二）第二阶段，如对联动试车、投料试车等的要求，包括人员、设备、材料、燃料、电力、消耗品、工具等必要条件。</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（三）第三阶段，如对性能测试及其他竣工试验的要求，包括产能指标、产品质量标准、运营指标、环保指标等。</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七、竣工验收</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八、竣工后试验（如有）</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九、文件要求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（一）设计文件，及其相关审批、核准、备案要求。</w:t>
      </w:r>
    </w:p>
    <w:p>
      <w:pPr>
        <w:spacing w:line="440" w:lineRule="exact"/>
        <w:ind w:firstLine="567" w:firstLineChars="270"/>
        <w:rPr>
          <w:rFonts w:ascii="宋体" w:hAnsi="宋体" w:cs="宋体"/>
          <w:color w:val="auto"/>
          <w:kern w:val="0"/>
          <w:szCs w:val="21"/>
          <w:highlight w:val="none"/>
        </w:rPr>
      </w:pPr>
      <w:r>
        <w:rPr>
          <w:rFonts w:hint="eastAsia" w:ascii="宋体" w:hAnsi="宋体" w:cs="宋体"/>
          <w:color w:val="auto"/>
          <w:szCs w:val="21"/>
          <w:highlight w:val="none"/>
        </w:rPr>
        <w:t>1.</w:t>
      </w:r>
      <w:r>
        <w:rPr>
          <w:rFonts w:hint="eastAsia" w:ascii="宋体" w:hAnsi="宋体" w:cs="宋体"/>
          <w:color w:val="auto"/>
          <w:kern w:val="0"/>
          <w:szCs w:val="21"/>
          <w:highlight w:val="none"/>
        </w:rPr>
        <w:t xml:space="preserve"> 设计设计文件的组成：设计说明、图纸等</w:t>
      </w:r>
    </w:p>
    <w:p>
      <w:pPr>
        <w:spacing w:line="440" w:lineRule="exact"/>
        <w:ind w:firstLine="567" w:firstLineChars="270"/>
        <w:rPr>
          <w:rFonts w:ascii="宋体" w:hAnsi="宋体" w:cs="宋体"/>
          <w:color w:val="auto"/>
          <w:kern w:val="0"/>
          <w:szCs w:val="21"/>
          <w:highlight w:val="none"/>
        </w:rPr>
      </w:pPr>
      <w:r>
        <w:rPr>
          <w:rFonts w:hint="eastAsia" w:ascii="宋体" w:hAnsi="宋体" w:cs="宋体"/>
          <w:color w:val="auto"/>
          <w:kern w:val="0"/>
          <w:szCs w:val="21"/>
          <w:highlight w:val="none"/>
        </w:rPr>
        <w:t>2.</w:t>
      </w:r>
      <w:r>
        <w:rPr>
          <w:rFonts w:hint="eastAsia" w:ascii="宋体" w:hAnsi="宋体" w:cs="宋体"/>
          <w:color w:val="auto"/>
          <w:szCs w:val="21"/>
          <w:highlight w:val="none"/>
        </w:rPr>
        <w:t>设计</w:t>
      </w:r>
      <w:r>
        <w:rPr>
          <w:rFonts w:hint="eastAsia" w:ascii="宋体" w:hAnsi="宋体" w:cs="宋体"/>
          <w:color w:val="auto"/>
          <w:kern w:val="0"/>
          <w:szCs w:val="21"/>
          <w:highlight w:val="none"/>
        </w:rPr>
        <w:t>文件的深度</w:t>
      </w:r>
    </w:p>
    <w:p>
      <w:pPr>
        <w:spacing w:line="440" w:lineRule="exact"/>
        <w:ind w:firstLine="567" w:firstLineChars="270"/>
        <w:rPr>
          <w:rFonts w:ascii="宋体" w:hAnsi="宋体" w:cs="宋体"/>
          <w:color w:val="auto"/>
          <w:kern w:val="0"/>
          <w:szCs w:val="21"/>
          <w:highlight w:val="none"/>
        </w:rPr>
      </w:pPr>
      <w:r>
        <w:rPr>
          <w:rFonts w:hint="eastAsia" w:ascii="宋体" w:hAnsi="宋体" w:cs="宋体"/>
          <w:color w:val="auto"/>
          <w:kern w:val="0"/>
          <w:szCs w:val="21"/>
          <w:highlight w:val="none"/>
        </w:rPr>
        <w:t>3.</w:t>
      </w:r>
      <w:r>
        <w:rPr>
          <w:rFonts w:hint="eastAsia" w:ascii="宋体" w:hAnsi="宋体" w:cs="宋体"/>
          <w:color w:val="auto"/>
          <w:szCs w:val="21"/>
          <w:highlight w:val="none"/>
        </w:rPr>
        <w:t>设计</w:t>
      </w:r>
      <w:r>
        <w:rPr>
          <w:rFonts w:hint="eastAsia" w:ascii="宋体" w:hAnsi="宋体" w:cs="宋体"/>
          <w:color w:val="auto"/>
          <w:kern w:val="0"/>
          <w:szCs w:val="21"/>
          <w:highlight w:val="none"/>
        </w:rPr>
        <w:t>文件的格式要求</w:t>
      </w:r>
    </w:p>
    <w:p>
      <w:pPr>
        <w:spacing w:line="440" w:lineRule="exact"/>
        <w:ind w:firstLine="567" w:firstLineChars="270"/>
        <w:rPr>
          <w:rFonts w:ascii="宋体" w:hAnsi="宋体" w:cs="宋体"/>
          <w:color w:val="auto"/>
          <w:kern w:val="0"/>
          <w:szCs w:val="21"/>
          <w:highlight w:val="none"/>
        </w:rPr>
      </w:pPr>
      <w:r>
        <w:rPr>
          <w:rFonts w:hint="eastAsia" w:ascii="宋体" w:hAnsi="宋体" w:cs="宋体"/>
          <w:color w:val="auto"/>
          <w:kern w:val="0"/>
          <w:szCs w:val="21"/>
          <w:highlight w:val="none"/>
        </w:rPr>
        <w:t>4.</w:t>
      </w:r>
      <w:r>
        <w:rPr>
          <w:rFonts w:hint="eastAsia" w:ascii="宋体" w:hAnsi="宋体" w:cs="宋体"/>
          <w:color w:val="auto"/>
          <w:szCs w:val="21"/>
          <w:highlight w:val="none"/>
        </w:rPr>
        <w:t>设计</w:t>
      </w:r>
      <w:r>
        <w:rPr>
          <w:rFonts w:hint="eastAsia" w:ascii="宋体" w:hAnsi="宋体" w:cs="宋体"/>
          <w:color w:val="auto"/>
          <w:kern w:val="0"/>
          <w:szCs w:val="21"/>
          <w:highlight w:val="none"/>
        </w:rPr>
        <w:t>文件的份数要求</w:t>
      </w:r>
    </w:p>
    <w:p>
      <w:pPr>
        <w:spacing w:line="440" w:lineRule="exact"/>
        <w:ind w:firstLine="567" w:firstLineChars="270"/>
        <w:rPr>
          <w:rFonts w:ascii="宋体" w:hAnsi="宋体" w:cs="宋体"/>
          <w:color w:val="auto"/>
          <w:kern w:val="0"/>
          <w:szCs w:val="21"/>
          <w:highlight w:val="none"/>
        </w:rPr>
      </w:pPr>
      <w:r>
        <w:rPr>
          <w:rFonts w:hint="eastAsia" w:ascii="宋体" w:hAnsi="宋体" w:cs="宋体"/>
          <w:color w:val="auto"/>
          <w:kern w:val="0"/>
          <w:szCs w:val="21"/>
          <w:highlight w:val="none"/>
        </w:rPr>
        <w:t>5.</w:t>
      </w:r>
      <w:r>
        <w:rPr>
          <w:rFonts w:hint="eastAsia" w:ascii="宋体" w:hAnsi="宋体" w:cs="宋体"/>
          <w:color w:val="auto"/>
          <w:szCs w:val="21"/>
          <w:highlight w:val="none"/>
        </w:rPr>
        <w:t>设计</w:t>
      </w:r>
      <w:r>
        <w:rPr>
          <w:rFonts w:hint="eastAsia" w:ascii="宋体" w:hAnsi="宋体" w:cs="宋体"/>
          <w:color w:val="auto"/>
          <w:kern w:val="0"/>
          <w:szCs w:val="21"/>
          <w:highlight w:val="none"/>
        </w:rPr>
        <w:t>文件的载体要求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（1）纸质版的要求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（2）电子版的要求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（3）其他要求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6.设计文件的展板、模型、沙盘、动画要求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7.设计文件的其他要求</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（二）沟通计划。</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（三）风险管理计划。</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（四）竣工文件和工程的其他记录。</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（五）操作和维修手册。</w:t>
      </w:r>
    </w:p>
    <w:p>
      <w:pPr>
        <w:spacing w:line="440" w:lineRule="exact"/>
        <w:ind w:firstLine="567" w:firstLineChars="270"/>
        <w:rPr>
          <w:rFonts w:ascii="宋体" w:hAnsi="宋体" w:cs="宋体"/>
          <w:color w:val="auto"/>
          <w:szCs w:val="21"/>
          <w:highlight w:val="none"/>
        </w:rPr>
      </w:pPr>
      <w:r>
        <w:rPr>
          <w:rFonts w:hint="eastAsia" w:ascii="宋体" w:hAnsi="宋体" w:cs="宋体"/>
          <w:color w:val="auto"/>
          <w:szCs w:val="21"/>
          <w:highlight w:val="none"/>
        </w:rPr>
        <w:t>（六）其他承包人文件。</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十、工程项目管理规定</w:t>
      </w:r>
    </w:p>
    <w:p>
      <w:pPr>
        <w:spacing w:line="400" w:lineRule="exact"/>
        <w:ind w:firstLine="525" w:firstLineChars="250"/>
        <w:rPr>
          <w:rFonts w:ascii="宋体" w:hAnsi="宋体" w:cs="宋体"/>
          <w:color w:val="auto"/>
          <w:highlight w:val="none"/>
        </w:rPr>
      </w:pPr>
      <w:r>
        <w:rPr>
          <w:rFonts w:hint="eastAsia" w:ascii="宋体" w:hAnsi="宋体" w:cs="宋体"/>
          <w:color w:val="auto"/>
          <w:highlight w:val="none"/>
        </w:rPr>
        <w:t>（一）质量。</w:t>
      </w:r>
    </w:p>
    <w:p>
      <w:pPr>
        <w:spacing w:line="400" w:lineRule="exact"/>
        <w:ind w:firstLine="525" w:firstLineChars="250"/>
        <w:rPr>
          <w:rFonts w:ascii="宋体" w:hAnsi="宋体" w:cs="宋体"/>
          <w:color w:val="auto"/>
          <w:highlight w:val="none"/>
        </w:rPr>
      </w:pPr>
      <w:r>
        <w:rPr>
          <w:rFonts w:hint="eastAsia" w:ascii="宋体" w:hAnsi="宋体" w:cs="宋体"/>
          <w:color w:val="auto"/>
          <w:highlight w:val="none"/>
        </w:rPr>
        <w:t>（二）进度，包括里程碑进度计划（如果有）。</w:t>
      </w:r>
    </w:p>
    <w:p>
      <w:pPr>
        <w:spacing w:line="400" w:lineRule="exact"/>
        <w:ind w:firstLine="525" w:firstLineChars="250"/>
        <w:rPr>
          <w:rFonts w:ascii="宋体" w:hAnsi="宋体" w:cs="宋体"/>
          <w:color w:val="auto"/>
          <w:highlight w:val="none"/>
        </w:rPr>
      </w:pPr>
      <w:r>
        <w:rPr>
          <w:rFonts w:hint="eastAsia" w:ascii="宋体" w:hAnsi="宋体" w:cs="宋体"/>
          <w:color w:val="auto"/>
          <w:highlight w:val="none"/>
        </w:rPr>
        <w:t>（三）支付。</w:t>
      </w:r>
    </w:p>
    <w:p>
      <w:pPr>
        <w:spacing w:line="400" w:lineRule="exact"/>
        <w:ind w:firstLine="525" w:firstLineChars="250"/>
        <w:rPr>
          <w:rFonts w:ascii="宋体" w:hAnsi="宋体" w:cs="宋体"/>
          <w:color w:val="auto"/>
          <w:highlight w:val="none"/>
        </w:rPr>
      </w:pPr>
      <w:r>
        <w:rPr>
          <w:rFonts w:hint="eastAsia" w:ascii="宋体" w:hAnsi="宋体" w:cs="宋体"/>
          <w:color w:val="auto"/>
          <w:highlight w:val="none"/>
        </w:rPr>
        <w:t>（四）HSE（健康、安全与环境管理体系）。</w:t>
      </w:r>
    </w:p>
    <w:p>
      <w:pPr>
        <w:spacing w:line="400" w:lineRule="exact"/>
        <w:ind w:firstLine="525" w:firstLineChars="250"/>
        <w:rPr>
          <w:rFonts w:ascii="宋体" w:hAnsi="宋体" w:cs="宋体"/>
          <w:color w:val="auto"/>
          <w:highlight w:val="none"/>
        </w:rPr>
      </w:pPr>
      <w:r>
        <w:rPr>
          <w:rFonts w:hint="eastAsia" w:ascii="宋体" w:hAnsi="宋体" w:cs="宋体"/>
          <w:color w:val="auto"/>
          <w:highlight w:val="none"/>
        </w:rPr>
        <w:t>（五）沟通。</w:t>
      </w:r>
    </w:p>
    <w:p>
      <w:pPr>
        <w:spacing w:line="400" w:lineRule="exact"/>
        <w:ind w:firstLine="525" w:firstLineChars="250"/>
        <w:rPr>
          <w:rFonts w:ascii="宋体" w:hAnsi="宋体" w:cs="宋体"/>
          <w:color w:val="auto"/>
          <w:highlight w:val="none"/>
        </w:rPr>
      </w:pPr>
      <w:r>
        <w:rPr>
          <w:rFonts w:hint="eastAsia" w:ascii="宋体" w:hAnsi="宋体" w:cs="宋体"/>
          <w:color w:val="auto"/>
          <w:highlight w:val="none"/>
        </w:rPr>
        <w:t>（六）变更。</w:t>
      </w:r>
    </w:p>
    <w:p>
      <w:pPr>
        <w:spacing w:line="440" w:lineRule="exact"/>
        <w:ind w:firstLine="361" w:firstLineChars="171"/>
        <w:rPr>
          <w:rFonts w:ascii="宋体" w:hAnsi="宋体" w:cs="宋体"/>
          <w:b/>
          <w:bCs/>
          <w:color w:val="auto"/>
          <w:szCs w:val="21"/>
          <w:highlight w:val="none"/>
        </w:rPr>
      </w:pPr>
      <w:r>
        <w:rPr>
          <w:rFonts w:hint="eastAsia" w:ascii="宋体" w:hAnsi="宋体" w:cs="宋体"/>
          <w:b/>
          <w:bCs/>
          <w:color w:val="auto"/>
          <w:szCs w:val="21"/>
          <w:highlight w:val="none"/>
        </w:rPr>
        <w:t>十一、其他要求</w:t>
      </w:r>
    </w:p>
    <w:p>
      <w:pPr>
        <w:spacing w:line="440" w:lineRule="exact"/>
        <w:ind w:firstLine="567" w:firstLineChars="270"/>
        <w:rPr>
          <w:color w:val="auto"/>
          <w:szCs w:val="21"/>
          <w:highlight w:val="none"/>
        </w:rPr>
      </w:pPr>
      <w:r>
        <w:rPr>
          <w:rFonts w:hint="eastAsia"/>
          <w:color w:val="auto"/>
          <w:szCs w:val="21"/>
          <w:highlight w:val="none"/>
        </w:rPr>
        <w:t>（一）对承包人的主要人员资格要求。</w:t>
      </w:r>
    </w:p>
    <w:p>
      <w:pPr>
        <w:spacing w:line="440" w:lineRule="exact"/>
        <w:ind w:firstLine="567" w:firstLineChars="270"/>
        <w:rPr>
          <w:color w:val="auto"/>
          <w:szCs w:val="21"/>
          <w:highlight w:val="none"/>
        </w:rPr>
      </w:pPr>
      <w:r>
        <w:rPr>
          <w:rFonts w:hint="eastAsia"/>
          <w:color w:val="auto"/>
          <w:szCs w:val="21"/>
          <w:highlight w:val="none"/>
        </w:rPr>
        <w:t>（二）相关审批、核准和备案手续的办理。</w:t>
      </w:r>
    </w:p>
    <w:p>
      <w:pPr>
        <w:spacing w:line="440" w:lineRule="exact"/>
        <w:ind w:firstLine="567" w:firstLineChars="270"/>
        <w:rPr>
          <w:color w:val="auto"/>
          <w:szCs w:val="21"/>
          <w:highlight w:val="none"/>
        </w:rPr>
      </w:pPr>
      <w:r>
        <w:rPr>
          <w:rFonts w:hint="eastAsia"/>
          <w:color w:val="auto"/>
          <w:szCs w:val="21"/>
          <w:highlight w:val="none"/>
        </w:rPr>
        <w:t>（三）对项目业主人员的操作培训。</w:t>
      </w:r>
    </w:p>
    <w:p>
      <w:pPr>
        <w:spacing w:line="440" w:lineRule="exact"/>
        <w:ind w:firstLine="567" w:firstLineChars="270"/>
        <w:rPr>
          <w:color w:val="auto"/>
          <w:szCs w:val="21"/>
          <w:highlight w:val="none"/>
        </w:rPr>
      </w:pPr>
      <w:r>
        <w:rPr>
          <w:rFonts w:hint="eastAsia"/>
          <w:color w:val="auto"/>
          <w:szCs w:val="21"/>
          <w:highlight w:val="none"/>
        </w:rPr>
        <w:t>（四）再发包。</w:t>
      </w:r>
    </w:p>
    <w:p>
      <w:pPr>
        <w:spacing w:line="440" w:lineRule="exact"/>
        <w:ind w:firstLine="567" w:firstLineChars="270"/>
        <w:rPr>
          <w:color w:val="auto"/>
          <w:szCs w:val="21"/>
          <w:highlight w:val="none"/>
        </w:rPr>
      </w:pPr>
      <w:r>
        <w:rPr>
          <w:rFonts w:hint="eastAsia"/>
          <w:color w:val="auto"/>
          <w:szCs w:val="21"/>
          <w:highlight w:val="none"/>
        </w:rPr>
        <w:t>（五）分包。</w:t>
      </w:r>
    </w:p>
    <w:p>
      <w:pPr>
        <w:spacing w:line="440" w:lineRule="exact"/>
        <w:ind w:firstLine="567" w:firstLineChars="270"/>
        <w:rPr>
          <w:color w:val="auto"/>
          <w:szCs w:val="21"/>
          <w:highlight w:val="none"/>
        </w:rPr>
      </w:pPr>
      <w:r>
        <w:rPr>
          <w:rFonts w:hint="eastAsia"/>
          <w:color w:val="auto"/>
          <w:szCs w:val="21"/>
          <w:highlight w:val="none"/>
        </w:rPr>
        <w:t>（六）设备供应商。</w:t>
      </w:r>
    </w:p>
    <w:p>
      <w:pPr>
        <w:spacing w:line="440" w:lineRule="exact"/>
        <w:ind w:firstLine="567" w:firstLineChars="270"/>
        <w:rPr>
          <w:color w:val="auto"/>
          <w:szCs w:val="21"/>
          <w:highlight w:val="none"/>
        </w:rPr>
      </w:pPr>
      <w:r>
        <w:rPr>
          <w:rFonts w:hint="eastAsia"/>
          <w:color w:val="auto"/>
          <w:szCs w:val="21"/>
          <w:highlight w:val="none"/>
        </w:rPr>
        <w:t>（七）缺陷责任期的服务要求。</w:t>
      </w:r>
    </w:p>
    <w:p>
      <w:pPr>
        <w:spacing w:line="400" w:lineRule="exact"/>
        <w:jc w:val="center"/>
        <w:rPr>
          <w:b/>
          <w:color w:val="auto"/>
          <w:sz w:val="32"/>
          <w:szCs w:val="32"/>
          <w:highlight w:val="none"/>
        </w:rPr>
      </w:pPr>
      <w:r>
        <w:rPr>
          <w:rFonts w:ascii="宋体" w:hAnsi="宋体"/>
          <w:color w:val="auto"/>
          <w:szCs w:val="21"/>
          <w:highlight w:val="none"/>
        </w:rPr>
        <w:br w:type="page"/>
      </w:r>
      <w:r>
        <w:rPr>
          <w:rFonts w:hint="eastAsia"/>
          <w:b/>
          <w:color w:val="auto"/>
          <w:sz w:val="32"/>
          <w:szCs w:val="32"/>
          <w:highlight w:val="none"/>
        </w:rPr>
        <w:t>发包人要求附件清单</w:t>
      </w:r>
    </w:p>
    <w:p>
      <w:pPr>
        <w:spacing w:line="400" w:lineRule="exact"/>
        <w:jc w:val="center"/>
        <w:rPr>
          <w:color w:val="auto"/>
          <w:highlight w:val="none"/>
        </w:rPr>
      </w:pPr>
    </w:p>
    <w:p>
      <w:pPr>
        <w:spacing w:line="360" w:lineRule="auto"/>
        <w:rPr>
          <w:color w:val="auto"/>
          <w:highlight w:val="none"/>
        </w:rPr>
      </w:pPr>
      <w:r>
        <w:rPr>
          <w:rFonts w:hint="eastAsia"/>
          <w:color w:val="auto"/>
          <w:highlight w:val="none"/>
        </w:rPr>
        <w:t>附件一：性能保证表</w:t>
      </w:r>
    </w:p>
    <w:p>
      <w:pPr>
        <w:spacing w:line="360" w:lineRule="auto"/>
        <w:rPr>
          <w:color w:val="auto"/>
          <w:highlight w:val="none"/>
        </w:rPr>
      </w:pPr>
      <w:r>
        <w:rPr>
          <w:rFonts w:hint="eastAsia"/>
          <w:color w:val="auto"/>
          <w:highlight w:val="none"/>
        </w:rPr>
        <w:t>附件二：工作界区图</w:t>
      </w:r>
    </w:p>
    <w:p>
      <w:pPr>
        <w:spacing w:line="360" w:lineRule="auto"/>
        <w:rPr>
          <w:color w:val="auto"/>
          <w:highlight w:val="none"/>
        </w:rPr>
      </w:pPr>
      <w:r>
        <w:rPr>
          <w:rFonts w:hint="eastAsia"/>
          <w:color w:val="auto"/>
          <w:highlight w:val="none"/>
        </w:rPr>
        <w:t>附件三：发包人需求任务书</w:t>
      </w:r>
    </w:p>
    <w:p>
      <w:pPr>
        <w:spacing w:line="360" w:lineRule="auto"/>
        <w:rPr>
          <w:color w:val="auto"/>
          <w:highlight w:val="none"/>
        </w:rPr>
      </w:pPr>
      <w:r>
        <w:rPr>
          <w:rFonts w:hint="eastAsia"/>
          <w:color w:val="auto"/>
          <w:highlight w:val="none"/>
        </w:rPr>
        <w:t>附件四：发包人已完成的设计文件</w:t>
      </w:r>
    </w:p>
    <w:p>
      <w:pPr>
        <w:spacing w:line="360" w:lineRule="auto"/>
        <w:rPr>
          <w:color w:val="auto"/>
          <w:highlight w:val="none"/>
        </w:rPr>
      </w:pPr>
      <w:r>
        <w:rPr>
          <w:rFonts w:hint="eastAsia"/>
          <w:color w:val="auto"/>
          <w:highlight w:val="none"/>
        </w:rPr>
        <w:t>附件五：承包人文件要求</w:t>
      </w:r>
    </w:p>
    <w:p>
      <w:pPr>
        <w:spacing w:line="360" w:lineRule="auto"/>
        <w:rPr>
          <w:color w:val="auto"/>
          <w:highlight w:val="none"/>
        </w:rPr>
      </w:pPr>
      <w:r>
        <w:rPr>
          <w:rFonts w:hint="eastAsia"/>
          <w:color w:val="auto"/>
          <w:highlight w:val="none"/>
        </w:rPr>
        <w:t>附件六：承包人人员资格要求及审查规定</w:t>
      </w:r>
    </w:p>
    <w:p>
      <w:pPr>
        <w:spacing w:line="360" w:lineRule="auto"/>
        <w:rPr>
          <w:color w:val="auto"/>
          <w:highlight w:val="none"/>
        </w:rPr>
      </w:pPr>
      <w:r>
        <w:rPr>
          <w:rFonts w:hint="eastAsia"/>
          <w:color w:val="auto"/>
          <w:highlight w:val="none"/>
        </w:rPr>
        <w:t>附件七：承包人设计文件审查规定</w:t>
      </w:r>
    </w:p>
    <w:p>
      <w:pPr>
        <w:spacing w:line="360" w:lineRule="auto"/>
        <w:rPr>
          <w:color w:val="auto"/>
          <w:highlight w:val="none"/>
        </w:rPr>
      </w:pPr>
      <w:r>
        <w:rPr>
          <w:rFonts w:hint="eastAsia"/>
          <w:color w:val="auto"/>
          <w:highlight w:val="none"/>
        </w:rPr>
        <w:t>附件八：承包人采购审查与批准规定</w:t>
      </w:r>
    </w:p>
    <w:p>
      <w:pPr>
        <w:spacing w:line="360" w:lineRule="auto"/>
        <w:rPr>
          <w:color w:val="auto"/>
          <w:highlight w:val="none"/>
        </w:rPr>
      </w:pPr>
      <w:r>
        <w:rPr>
          <w:rFonts w:hint="eastAsia"/>
          <w:color w:val="auto"/>
          <w:highlight w:val="none"/>
        </w:rPr>
        <w:t>附件九：材料、工程设备和工程试验规定</w:t>
      </w:r>
    </w:p>
    <w:p>
      <w:pPr>
        <w:spacing w:line="360" w:lineRule="auto"/>
        <w:rPr>
          <w:color w:val="auto"/>
          <w:highlight w:val="none"/>
        </w:rPr>
      </w:pPr>
      <w:r>
        <w:rPr>
          <w:rFonts w:hint="eastAsia"/>
          <w:color w:val="auto"/>
          <w:highlight w:val="none"/>
        </w:rPr>
        <w:t>附件十：竣工试验规定</w:t>
      </w:r>
    </w:p>
    <w:p>
      <w:pPr>
        <w:spacing w:line="360" w:lineRule="auto"/>
        <w:rPr>
          <w:color w:val="auto"/>
          <w:highlight w:val="none"/>
        </w:rPr>
      </w:pPr>
      <w:r>
        <w:rPr>
          <w:rFonts w:hint="eastAsia"/>
          <w:color w:val="auto"/>
          <w:highlight w:val="none"/>
        </w:rPr>
        <w:t>附件十一：竣工验收规定</w:t>
      </w:r>
    </w:p>
    <w:p>
      <w:pPr>
        <w:spacing w:line="360" w:lineRule="auto"/>
        <w:rPr>
          <w:color w:val="auto"/>
          <w:highlight w:val="none"/>
        </w:rPr>
      </w:pPr>
      <w:r>
        <w:rPr>
          <w:rFonts w:hint="eastAsia"/>
          <w:color w:val="auto"/>
          <w:highlight w:val="none"/>
        </w:rPr>
        <w:t>附件十二：竣工后试验规定</w:t>
      </w:r>
    </w:p>
    <w:p>
      <w:pPr>
        <w:spacing w:line="360" w:lineRule="auto"/>
        <w:rPr>
          <w:color w:val="auto"/>
          <w:highlight w:val="none"/>
        </w:rPr>
      </w:pPr>
      <w:r>
        <w:rPr>
          <w:rFonts w:hint="eastAsia"/>
          <w:color w:val="auto"/>
          <w:highlight w:val="none"/>
        </w:rPr>
        <w:t>附件十三：工程项目管理规定</w:t>
      </w:r>
      <w:r>
        <w:rPr>
          <w:color w:val="auto"/>
          <w:sz w:val="44"/>
          <w:szCs w:val="44"/>
          <w:highlight w:val="none"/>
        </w:rPr>
        <w:br w:type="page"/>
      </w:r>
    </w:p>
    <w:p>
      <w:pPr>
        <w:pStyle w:val="4"/>
        <w:jc w:val="center"/>
        <w:rPr>
          <w:color w:val="auto"/>
          <w:szCs w:val="32"/>
          <w:highlight w:val="none"/>
        </w:rPr>
      </w:pPr>
      <w:bookmarkStart w:id="888" w:name="_Toc661"/>
      <w:bookmarkStart w:id="889" w:name="_Toc7990"/>
      <w:bookmarkStart w:id="890" w:name="_Toc20077"/>
      <w:bookmarkStart w:id="891" w:name="_Toc508286142"/>
      <w:bookmarkStart w:id="892" w:name="_Toc32653"/>
      <w:bookmarkStart w:id="893" w:name="_Toc18234"/>
      <w:bookmarkStart w:id="894" w:name="_Toc8150"/>
      <w:r>
        <w:rPr>
          <w:rFonts w:hint="eastAsia"/>
          <w:color w:val="auto"/>
          <w:szCs w:val="32"/>
          <w:highlight w:val="none"/>
        </w:rPr>
        <w:t>第七章</w:t>
      </w:r>
      <w:r>
        <w:rPr>
          <w:color w:val="auto"/>
          <w:szCs w:val="32"/>
          <w:highlight w:val="none"/>
        </w:rPr>
        <w:t xml:space="preserve"> </w:t>
      </w:r>
      <w:r>
        <w:rPr>
          <w:rFonts w:hint="eastAsia"/>
          <w:color w:val="auto"/>
          <w:szCs w:val="32"/>
          <w:highlight w:val="none"/>
        </w:rPr>
        <w:t>发包人提供的资料</w:t>
      </w:r>
      <w:bookmarkEnd w:id="888"/>
      <w:bookmarkEnd w:id="889"/>
      <w:bookmarkEnd w:id="890"/>
      <w:bookmarkEnd w:id="891"/>
      <w:bookmarkEnd w:id="892"/>
      <w:bookmarkEnd w:id="893"/>
      <w:bookmarkEnd w:id="894"/>
    </w:p>
    <w:p>
      <w:pPr>
        <w:spacing w:line="360" w:lineRule="auto"/>
        <w:ind w:firstLine="422" w:firstLineChars="200"/>
        <w:rPr>
          <w:rFonts w:ascii="宋体" w:hAnsi="宋体" w:cs="宋体"/>
          <w:b/>
          <w:bCs/>
          <w:color w:val="auto"/>
          <w:szCs w:val="21"/>
          <w:highlight w:val="none"/>
        </w:rPr>
      </w:pPr>
      <w:r>
        <w:rPr>
          <w:rFonts w:hint="eastAsia" w:ascii="宋体" w:hAnsi="宋体" w:cs="宋体"/>
          <w:b/>
          <w:bCs/>
          <w:color w:val="auto"/>
          <w:szCs w:val="21"/>
          <w:highlight w:val="none"/>
        </w:rPr>
        <w:t>一、项目概况</w:t>
      </w:r>
    </w:p>
    <w:p>
      <w:pPr>
        <w:spacing w:line="360" w:lineRule="auto"/>
        <w:ind w:firstLine="420" w:firstLineChars="200"/>
        <w:rPr>
          <w:rFonts w:ascii="黑体" w:hAnsi="宋体" w:eastAsia="黑体"/>
          <w:color w:val="auto"/>
          <w:szCs w:val="21"/>
          <w:highlight w:val="none"/>
        </w:rPr>
      </w:pPr>
      <w:r>
        <w:rPr>
          <w:rFonts w:hint="eastAsia"/>
          <w:color w:val="auto"/>
          <w:highlight w:val="none"/>
        </w:rPr>
        <w:t>包括项目名称、建设单位、建设规模、项目地理位置、周边环境、树木情况、文物情况、地址地貌、气候及气象条件、道路交通状况、市政情况等。</w:t>
      </w:r>
    </w:p>
    <w:p>
      <w:pPr>
        <w:spacing w:line="360" w:lineRule="auto"/>
        <w:ind w:firstLine="422" w:firstLineChars="200"/>
        <w:rPr>
          <w:rFonts w:ascii="宋体" w:hAnsi="宋体" w:cs="宋体"/>
          <w:b/>
          <w:bCs/>
          <w:color w:val="auto"/>
          <w:szCs w:val="21"/>
          <w:highlight w:val="none"/>
        </w:rPr>
      </w:pPr>
      <w:r>
        <w:rPr>
          <w:rFonts w:hint="eastAsia" w:ascii="宋体" w:hAnsi="宋体" w:cs="宋体"/>
          <w:b/>
          <w:bCs/>
          <w:color w:val="auto"/>
          <w:szCs w:val="21"/>
          <w:highlight w:val="none"/>
        </w:rPr>
        <w:t>二、发包人提供的资料</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施工场地及毗邻区域内的供水、排水、供电、供气、供热、通信、广播电视等地下管线资料、气象和水文观测资料，相邻建筑物和构筑物、地下工程的有关资料，以及其他与建设工程有关的原始资料。</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定位放线的基准点、基准线和基准标高。</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发包人取得的有关审批、核准和备案材料，如规划许可证。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4.发包人提供的勘察资料（如果有）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5．发包人提供的技术标准、规范</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6. 其他资料</w:t>
      </w:r>
      <w:bookmarkStart w:id="895" w:name="_Toc508286143"/>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br w:type="page"/>
      </w:r>
    </w:p>
    <w:p>
      <w:pPr>
        <w:pStyle w:val="4"/>
        <w:jc w:val="center"/>
        <w:rPr>
          <w:color w:val="auto"/>
          <w:highlight w:val="none"/>
        </w:rPr>
      </w:pPr>
      <w:bookmarkStart w:id="896" w:name="_Toc31071"/>
      <w:bookmarkStart w:id="897" w:name="_Toc12217"/>
      <w:bookmarkStart w:id="898" w:name="_Toc27154"/>
      <w:bookmarkStart w:id="899" w:name="_Toc32739"/>
      <w:bookmarkStart w:id="900" w:name="_Toc26894"/>
      <w:bookmarkStart w:id="901" w:name="_Toc3274"/>
      <w:r>
        <w:rPr>
          <w:rFonts w:hint="eastAsia"/>
          <w:color w:val="auto"/>
          <w:szCs w:val="32"/>
          <w:highlight w:val="none"/>
        </w:rPr>
        <w:t>第八章</w:t>
      </w:r>
      <w:r>
        <w:rPr>
          <w:color w:val="auto"/>
          <w:szCs w:val="32"/>
          <w:highlight w:val="none"/>
        </w:rPr>
        <w:t xml:space="preserve"> </w:t>
      </w:r>
      <w:r>
        <w:rPr>
          <w:rFonts w:hint="eastAsia"/>
          <w:color w:val="auto"/>
          <w:szCs w:val="32"/>
          <w:highlight w:val="none"/>
        </w:rPr>
        <w:t>投标文件格式</w:t>
      </w:r>
      <w:bookmarkEnd w:id="895"/>
      <w:r>
        <w:rPr>
          <w:color w:val="auto"/>
          <w:highlight w:val="none"/>
        </w:rPr>
        <w:br w:type="page"/>
      </w:r>
      <w:bookmarkEnd w:id="896"/>
      <w:bookmarkEnd w:id="897"/>
      <w:bookmarkEnd w:id="898"/>
      <w:bookmarkEnd w:id="899"/>
      <w:bookmarkEnd w:id="900"/>
      <w:bookmarkEnd w:id="901"/>
    </w:p>
    <w:p>
      <w:pPr>
        <w:spacing w:before="240" w:beforeLines="100" w:after="240" w:afterLines="100"/>
        <w:rPr>
          <w:rFonts w:eastAsia="楷体_GB2312"/>
          <w:color w:val="auto"/>
          <w:highlight w:val="none"/>
        </w:rPr>
      </w:pPr>
    </w:p>
    <w:p>
      <w:pPr>
        <w:jc w:val="center"/>
        <w:rPr>
          <w:rFonts w:ascii="宋体" w:hAnsi="宋体" w:cs="宋体"/>
          <w:color w:val="auto"/>
          <w:sz w:val="44"/>
          <w:szCs w:val="44"/>
          <w:highlight w:val="none"/>
          <w:u w:val="single"/>
        </w:rPr>
      </w:pPr>
    </w:p>
    <w:p>
      <w:pPr>
        <w:jc w:val="center"/>
        <w:rPr>
          <w:rFonts w:ascii="宋体" w:hAnsi="宋体" w:cs="宋体"/>
          <w:color w:val="auto"/>
          <w:sz w:val="36"/>
          <w:szCs w:val="44"/>
          <w:highlight w:val="none"/>
        </w:rPr>
      </w:pPr>
      <w:r>
        <w:rPr>
          <w:rFonts w:hint="eastAsia" w:ascii="宋体" w:hAnsi="宋体" w:cs="宋体"/>
          <w:color w:val="auto"/>
          <w:sz w:val="36"/>
          <w:szCs w:val="44"/>
          <w:highlight w:val="none"/>
          <w:u w:val="single"/>
        </w:rPr>
        <w:t>（项目、标段名称）</w:t>
      </w:r>
      <w:r>
        <w:rPr>
          <w:rFonts w:hint="eastAsia" w:ascii="宋体" w:hAnsi="宋体" w:cs="宋体"/>
          <w:color w:val="auto"/>
          <w:sz w:val="36"/>
          <w:szCs w:val="44"/>
          <w:highlight w:val="none"/>
        </w:rPr>
        <w:t>工程总承包招标</w:t>
      </w:r>
    </w:p>
    <w:p>
      <w:pPr>
        <w:jc w:val="center"/>
        <w:rPr>
          <w:rFonts w:ascii="宋体" w:hAnsi="宋体" w:cs="宋体"/>
          <w:color w:val="auto"/>
          <w:sz w:val="22"/>
          <w:szCs w:val="28"/>
          <w:highlight w:val="none"/>
        </w:rPr>
      </w:pPr>
    </w:p>
    <w:p>
      <w:pPr>
        <w:rPr>
          <w:color w:val="auto"/>
          <w:sz w:val="22"/>
          <w:szCs w:val="28"/>
          <w:highlight w:val="none"/>
        </w:rPr>
      </w:pPr>
    </w:p>
    <w:p>
      <w:pPr>
        <w:spacing w:before="240" w:beforeLines="100"/>
        <w:jc w:val="center"/>
        <w:rPr>
          <w:b/>
          <w:color w:val="auto"/>
          <w:sz w:val="44"/>
          <w:szCs w:val="52"/>
          <w:highlight w:val="none"/>
        </w:rPr>
      </w:pPr>
      <w:r>
        <w:rPr>
          <w:rFonts w:hint="eastAsia"/>
          <w:b/>
          <w:color w:val="auto"/>
          <w:sz w:val="44"/>
          <w:szCs w:val="52"/>
          <w:highlight w:val="none"/>
        </w:rPr>
        <w:t>投标文件</w:t>
      </w:r>
    </w:p>
    <w:p>
      <w:pPr>
        <w:jc w:val="center"/>
        <w:rPr>
          <w:color w:val="auto"/>
          <w:sz w:val="24"/>
          <w:szCs w:val="32"/>
          <w:highlight w:val="none"/>
        </w:rPr>
      </w:pPr>
    </w:p>
    <w:p>
      <w:pPr>
        <w:jc w:val="center"/>
        <w:rPr>
          <w:color w:val="auto"/>
          <w:sz w:val="24"/>
          <w:szCs w:val="32"/>
          <w:highlight w:val="none"/>
        </w:rPr>
      </w:pPr>
    </w:p>
    <w:p>
      <w:pPr>
        <w:jc w:val="center"/>
        <w:rPr>
          <w:color w:val="auto"/>
          <w:sz w:val="24"/>
          <w:szCs w:val="32"/>
          <w:highlight w:val="none"/>
        </w:rPr>
      </w:pPr>
    </w:p>
    <w:p>
      <w:pPr>
        <w:jc w:val="center"/>
        <w:rPr>
          <w:color w:val="auto"/>
          <w:sz w:val="32"/>
          <w:szCs w:val="32"/>
          <w:highlight w:val="none"/>
        </w:rPr>
      </w:pPr>
    </w:p>
    <w:p>
      <w:pPr>
        <w:jc w:val="center"/>
        <w:rPr>
          <w:color w:val="auto"/>
          <w:sz w:val="32"/>
          <w:szCs w:val="32"/>
          <w:highlight w:val="none"/>
        </w:rPr>
      </w:pPr>
    </w:p>
    <w:p>
      <w:pPr>
        <w:jc w:val="center"/>
        <w:rPr>
          <w:color w:val="auto"/>
          <w:sz w:val="32"/>
          <w:szCs w:val="32"/>
          <w:highlight w:val="none"/>
        </w:rPr>
      </w:pPr>
    </w:p>
    <w:p>
      <w:pPr>
        <w:jc w:val="center"/>
        <w:rPr>
          <w:color w:val="auto"/>
          <w:sz w:val="32"/>
          <w:szCs w:val="32"/>
          <w:highlight w:val="none"/>
        </w:rPr>
      </w:pPr>
      <w:r>
        <w:rPr>
          <w:rFonts w:hint="eastAsia"/>
          <w:color w:val="auto"/>
          <w:sz w:val="32"/>
          <w:szCs w:val="32"/>
          <w:highlight w:val="none"/>
        </w:rPr>
        <w:t xml:space="preserve"> </w:t>
      </w:r>
    </w:p>
    <w:p>
      <w:pPr>
        <w:jc w:val="center"/>
        <w:rPr>
          <w:color w:val="auto"/>
          <w:sz w:val="32"/>
          <w:szCs w:val="32"/>
          <w:highlight w:val="none"/>
        </w:rPr>
      </w:pPr>
    </w:p>
    <w:p>
      <w:pPr>
        <w:jc w:val="center"/>
        <w:rPr>
          <w:color w:val="auto"/>
          <w:sz w:val="32"/>
          <w:szCs w:val="32"/>
          <w:highlight w:val="none"/>
        </w:rPr>
      </w:pPr>
    </w:p>
    <w:p>
      <w:pPr>
        <w:jc w:val="center"/>
        <w:rPr>
          <w:color w:val="auto"/>
          <w:sz w:val="32"/>
          <w:szCs w:val="32"/>
          <w:highlight w:val="none"/>
        </w:rPr>
      </w:pPr>
    </w:p>
    <w:p>
      <w:pPr>
        <w:jc w:val="center"/>
        <w:rPr>
          <w:color w:val="auto"/>
          <w:sz w:val="32"/>
          <w:szCs w:val="32"/>
          <w:highlight w:val="none"/>
        </w:rPr>
      </w:pPr>
    </w:p>
    <w:p>
      <w:pPr>
        <w:jc w:val="center"/>
        <w:rPr>
          <w:color w:val="auto"/>
          <w:sz w:val="32"/>
          <w:szCs w:val="32"/>
          <w:highlight w:val="none"/>
        </w:rPr>
      </w:pPr>
    </w:p>
    <w:p>
      <w:pPr>
        <w:jc w:val="center"/>
        <w:rPr>
          <w:color w:val="auto"/>
          <w:sz w:val="32"/>
          <w:szCs w:val="32"/>
          <w:highlight w:val="none"/>
        </w:rPr>
      </w:pPr>
    </w:p>
    <w:p>
      <w:pPr>
        <w:jc w:val="center"/>
        <w:rPr>
          <w:color w:val="auto"/>
          <w:sz w:val="32"/>
          <w:szCs w:val="32"/>
          <w:highlight w:val="none"/>
        </w:rPr>
      </w:pPr>
    </w:p>
    <w:p>
      <w:pPr>
        <w:spacing w:line="360" w:lineRule="auto"/>
        <w:ind w:firstLine="1920" w:firstLineChars="800"/>
        <w:rPr>
          <w:color w:val="auto"/>
          <w:sz w:val="24"/>
          <w:szCs w:val="28"/>
          <w:highlight w:val="none"/>
        </w:rPr>
      </w:pPr>
      <w:r>
        <w:rPr>
          <w:color w:val="auto"/>
          <w:sz w:val="24"/>
          <w:szCs w:val="28"/>
          <w:highlight w:val="none"/>
        </w:rPr>
        <w:t>投</w:t>
      </w:r>
      <w:r>
        <w:rPr>
          <w:rFonts w:hint="eastAsia"/>
          <w:color w:val="auto"/>
          <w:sz w:val="24"/>
          <w:szCs w:val="28"/>
          <w:highlight w:val="none"/>
        </w:rPr>
        <w:t xml:space="preserve">  </w:t>
      </w:r>
      <w:r>
        <w:rPr>
          <w:color w:val="auto"/>
          <w:sz w:val="24"/>
          <w:szCs w:val="28"/>
          <w:highlight w:val="none"/>
        </w:rPr>
        <w:t>标</w:t>
      </w:r>
      <w:r>
        <w:rPr>
          <w:rFonts w:hint="eastAsia"/>
          <w:color w:val="auto"/>
          <w:sz w:val="24"/>
          <w:szCs w:val="28"/>
          <w:highlight w:val="none"/>
        </w:rPr>
        <w:t xml:space="preserve">  </w:t>
      </w:r>
      <w:r>
        <w:rPr>
          <w:color w:val="auto"/>
          <w:sz w:val="24"/>
          <w:szCs w:val="28"/>
          <w:highlight w:val="none"/>
        </w:rPr>
        <w:t>人：</w:t>
      </w:r>
      <w:r>
        <w:rPr>
          <w:rFonts w:hint="eastAsia"/>
          <w:color w:val="auto"/>
          <w:sz w:val="24"/>
          <w:szCs w:val="28"/>
          <w:highlight w:val="none"/>
          <w:u w:val="single"/>
        </w:rPr>
        <w:t xml:space="preserve">                         </w:t>
      </w:r>
      <w:r>
        <w:rPr>
          <w:rFonts w:hint="eastAsia"/>
          <w:color w:val="auto"/>
          <w:sz w:val="24"/>
          <w:szCs w:val="28"/>
          <w:highlight w:val="none"/>
        </w:rPr>
        <w:t xml:space="preserve"> </w:t>
      </w:r>
      <w:r>
        <w:rPr>
          <w:color w:val="auto"/>
          <w:sz w:val="24"/>
          <w:szCs w:val="28"/>
          <w:highlight w:val="none"/>
        </w:rPr>
        <w:t>（盖单位章）</w:t>
      </w:r>
    </w:p>
    <w:p>
      <w:pPr>
        <w:spacing w:line="360" w:lineRule="auto"/>
        <w:rPr>
          <w:color w:val="auto"/>
          <w:sz w:val="24"/>
          <w:szCs w:val="28"/>
          <w:highlight w:val="none"/>
        </w:rPr>
      </w:pPr>
    </w:p>
    <w:p>
      <w:pPr>
        <w:spacing w:line="360" w:lineRule="auto"/>
        <w:ind w:firstLine="1920" w:firstLineChars="800"/>
        <w:rPr>
          <w:color w:val="auto"/>
          <w:sz w:val="24"/>
          <w:szCs w:val="28"/>
          <w:highlight w:val="none"/>
        </w:rPr>
      </w:pPr>
      <w:r>
        <w:rPr>
          <w:color w:val="auto"/>
          <w:sz w:val="24"/>
          <w:szCs w:val="28"/>
          <w:highlight w:val="none"/>
        </w:rPr>
        <w:t>法定代表人或其委托代理人：</w:t>
      </w:r>
      <w:r>
        <w:rPr>
          <w:rFonts w:hint="eastAsia"/>
          <w:color w:val="auto"/>
          <w:sz w:val="24"/>
          <w:szCs w:val="28"/>
          <w:highlight w:val="none"/>
          <w:u w:val="single"/>
        </w:rPr>
        <w:t xml:space="preserve">            </w:t>
      </w:r>
      <w:r>
        <w:rPr>
          <w:color w:val="auto"/>
          <w:sz w:val="24"/>
          <w:szCs w:val="28"/>
          <w:highlight w:val="none"/>
        </w:rPr>
        <w:t>（签字</w:t>
      </w:r>
      <w:r>
        <w:rPr>
          <w:rFonts w:hint="eastAsia"/>
          <w:color w:val="auto"/>
          <w:sz w:val="24"/>
          <w:szCs w:val="28"/>
          <w:highlight w:val="none"/>
        </w:rPr>
        <w:t>或盖章</w:t>
      </w:r>
      <w:r>
        <w:rPr>
          <w:color w:val="auto"/>
          <w:sz w:val="24"/>
          <w:szCs w:val="28"/>
          <w:highlight w:val="none"/>
        </w:rPr>
        <w:t>）</w:t>
      </w:r>
    </w:p>
    <w:p>
      <w:pPr>
        <w:rPr>
          <w:color w:val="auto"/>
          <w:sz w:val="24"/>
          <w:szCs w:val="28"/>
          <w:highlight w:val="none"/>
        </w:rPr>
      </w:pPr>
    </w:p>
    <w:p>
      <w:pPr>
        <w:wordWrap w:val="0"/>
        <w:spacing w:before="120" w:beforeLines="50" w:after="240" w:afterLines="100" w:line="360" w:lineRule="auto"/>
        <w:ind w:firstLine="1920" w:firstLineChars="800"/>
        <w:rPr>
          <w:color w:val="auto"/>
          <w:sz w:val="24"/>
          <w:highlight w:val="none"/>
        </w:rPr>
      </w:pPr>
      <w:r>
        <w:rPr>
          <w:rFonts w:hint="eastAsia"/>
          <w:color w:val="auto"/>
          <w:sz w:val="24"/>
          <w:highlight w:val="none"/>
        </w:rPr>
        <w:t>日期：</w:t>
      </w:r>
      <w:r>
        <w:rPr>
          <w:rFonts w:hint="eastAsia"/>
          <w:color w:val="auto"/>
          <w:sz w:val="24"/>
          <w:highlight w:val="none"/>
          <w:u w:val="single"/>
        </w:rPr>
        <w:t xml:space="preserve">                                  </w:t>
      </w:r>
      <w:r>
        <w:rPr>
          <w:rFonts w:hint="eastAsia"/>
          <w:color w:val="auto"/>
          <w:sz w:val="24"/>
          <w:highlight w:val="none"/>
        </w:rPr>
        <w:br w:type="page"/>
      </w:r>
    </w:p>
    <w:p>
      <w:pPr>
        <w:pStyle w:val="6"/>
        <w:jc w:val="center"/>
        <w:rPr>
          <w:rFonts w:ascii="黑体" w:hAnsi="黑体" w:eastAsia="黑体" w:cs="黑体"/>
          <w:b w:val="0"/>
          <w:bCs w:val="0"/>
          <w:color w:val="auto"/>
          <w:sz w:val="32"/>
          <w:highlight w:val="none"/>
        </w:rPr>
      </w:pPr>
      <w:bookmarkStart w:id="902" w:name="_Toc29571"/>
      <w:bookmarkStart w:id="903" w:name="_Toc30833"/>
      <w:bookmarkStart w:id="904" w:name="_Toc7573"/>
      <w:bookmarkStart w:id="905" w:name="_Toc16479"/>
      <w:bookmarkStart w:id="906" w:name="_Toc3152"/>
      <w:bookmarkStart w:id="907" w:name="_Toc14665"/>
      <w:r>
        <w:rPr>
          <w:rFonts w:hint="eastAsia" w:ascii="黑体" w:hAnsi="黑体" w:eastAsia="黑体" w:cs="黑体"/>
          <w:b w:val="0"/>
          <w:bCs w:val="0"/>
          <w:color w:val="auto"/>
          <w:sz w:val="32"/>
          <w:highlight w:val="none"/>
        </w:rPr>
        <w:t>一、投标函及投标函附录</w:t>
      </w:r>
      <w:bookmarkEnd w:id="902"/>
      <w:bookmarkEnd w:id="903"/>
      <w:bookmarkEnd w:id="904"/>
      <w:bookmarkEnd w:id="905"/>
      <w:bookmarkEnd w:id="906"/>
      <w:bookmarkEnd w:id="907"/>
    </w:p>
    <w:p>
      <w:pPr>
        <w:pStyle w:val="7"/>
        <w:spacing w:before="14"/>
        <w:jc w:val="center"/>
        <w:rPr>
          <w:color w:val="auto"/>
          <w:highlight w:val="none"/>
        </w:rPr>
      </w:pPr>
      <w:bookmarkStart w:id="908" w:name="_Toc1490"/>
      <w:bookmarkStart w:id="909" w:name="_Toc20387"/>
      <w:bookmarkStart w:id="910" w:name="_Toc23845_WPSOffice_Level2"/>
      <w:r>
        <w:rPr>
          <w:color w:val="auto"/>
          <w:spacing w:val="-1"/>
          <w:sz w:val="28"/>
          <w:highlight w:val="none"/>
        </w:rPr>
        <w:t>（一）投标函</w:t>
      </w:r>
      <w:bookmarkEnd w:id="908"/>
      <w:bookmarkEnd w:id="909"/>
      <w:bookmarkEnd w:id="910"/>
    </w:p>
    <w:p>
      <w:pPr>
        <w:rPr>
          <w:color w:val="auto"/>
          <w:highlight w:val="none"/>
        </w:rPr>
      </w:pPr>
    </w:p>
    <w:p>
      <w:pPr>
        <w:pStyle w:val="148"/>
        <w:jc w:val="center"/>
        <w:rPr>
          <w:color w:val="auto"/>
          <w:highlight w:val="none"/>
        </w:rPr>
      </w:pP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1、根据你方标段编号为</w:t>
      </w:r>
      <w:r>
        <w:rPr>
          <w:rFonts w:hint="eastAsia" w:ascii="宋体" w:hAnsi="宋体" w:cs="宋体"/>
          <w:color w:val="auto"/>
          <w:szCs w:val="21"/>
          <w:highlight w:val="none"/>
          <w:u w:val="single"/>
        </w:rPr>
        <w:t>（标段编号）</w:t>
      </w:r>
      <w:r>
        <w:rPr>
          <w:rFonts w:hint="eastAsia" w:ascii="宋体" w:hAnsi="宋体" w:cs="宋体"/>
          <w:color w:val="auto"/>
          <w:szCs w:val="21"/>
          <w:highlight w:val="none"/>
        </w:rPr>
        <w:t>的</w:t>
      </w:r>
      <w:r>
        <w:rPr>
          <w:rFonts w:hint="eastAsia" w:ascii="宋体" w:hAnsi="宋体" w:cs="宋体"/>
          <w:color w:val="auto"/>
          <w:szCs w:val="21"/>
          <w:highlight w:val="none"/>
          <w:u w:val="single"/>
        </w:rPr>
        <w:t>（标段名称）</w:t>
      </w:r>
      <w:r>
        <w:rPr>
          <w:rFonts w:hint="eastAsia" w:ascii="宋体" w:hAnsi="宋体" w:cs="宋体"/>
          <w:color w:val="auto"/>
          <w:szCs w:val="21"/>
          <w:highlight w:val="none"/>
        </w:rPr>
        <w:t>招标文件，遵照《中华人民共和国招标投标法》等有关规定，经踏勘项目现场和研究上述招标文件的投标须知、合同条款、工程建设标准、发包人要求及其他有关文件后，我方愿以人民币（大写）</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（RMB￥</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元）的工程总承包报价，总工期</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日历天，按合同约定实施本项目的工程总承包，并承担任何质量缺陷保修责任。我方保证工程质量达到标准。我方拟派总承包项目经理(姓名)</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〔职业资格证书（职称证书）号：</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2、我方承诺不存在第二章“投标人须知”第1.4.3项和第1.4.4项规定的任何一种情形。</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3、我方承诺拟派项目负责人满足第二章“投标人须知”第1.4.1项中对项目负责人是否有在建工程的相关要求。</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4、我方承诺在本次投标过程中无弄虚作假和串通投标等违法、违规行为，并愿意承担因弄虚作假和串通投标所引起的一切法律责任。</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5、我方承诺在投标有效期内不修改、撤销投标文件。</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6、如我方中标：</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（1）我方承诺在收到中标通知书后，在中标通知书规定的期限内与你方签订合同。</w:t>
      </w:r>
    </w:p>
    <w:p>
      <w:pPr>
        <w:spacing w:line="360" w:lineRule="auto"/>
        <w:ind w:firstLine="424" w:firstLineChars="202"/>
        <w:rPr>
          <w:rFonts w:ascii="宋体" w:hAnsi="宋体" w:cs="宋体"/>
          <w:color w:val="auto"/>
          <w:szCs w:val="21"/>
          <w:highlight w:val="none"/>
          <w:u w:val="single"/>
        </w:rPr>
      </w:pPr>
      <w:r>
        <w:rPr>
          <w:rFonts w:hint="eastAsia" w:ascii="宋体" w:hAnsi="宋体" w:cs="宋体"/>
          <w:color w:val="auto"/>
          <w:szCs w:val="21"/>
          <w:highlight w:val="none"/>
        </w:rPr>
        <w:t>（2）随同本投标函递交的投标函附录是本投标函的组成部分，对我方构成约束力。</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（3）我方承诺按照招标文件规定向你方递交履约担保。</w:t>
      </w:r>
    </w:p>
    <w:p>
      <w:pPr>
        <w:spacing w:line="360" w:lineRule="auto"/>
        <w:ind w:firstLine="424" w:firstLineChars="202"/>
        <w:rPr>
          <w:rFonts w:ascii="宋体" w:hAnsi="宋体" w:cs="宋体"/>
          <w:color w:val="auto"/>
          <w:szCs w:val="21"/>
          <w:highlight w:val="none"/>
        </w:rPr>
      </w:pPr>
      <w:r>
        <w:rPr>
          <w:rFonts w:hint="eastAsia" w:ascii="宋体" w:hAnsi="宋体" w:cs="宋体"/>
          <w:color w:val="auto"/>
          <w:szCs w:val="21"/>
          <w:highlight w:val="none"/>
        </w:rPr>
        <w:t>（4）我方承诺在合同约定的期限内完成并移交全部合同工程。</w:t>
      </w:r>
    </w:p>
    <w:p>
      <w:pPr>
        <w:spacing w:line="360" w:lineRule="auto"/>
        <w:ind w:firstLine="424" w:firstLineChars="202"/>
        <w:rPr>
          <w:rFonts w:ascii="宋体" w:hAnsi="宋体" w:cs="宋体"/>
          <w:color w:val="auto"/>
          <w:highlight w:val="none"/>
        </w:rPr>
      </w:pPr>
    </w:p>
    <w:p>
      <w:pPr>
        <w:spacing w:line="360" w:lineRule="auto"/>
        <w:ind w:firstLine="424" w:firstLineChars="202"/>
        <w:rPr>
          <w:rFonts w:ascii="宋体" w:hAnsi="宋体" w:cs="宋体"/>
          <w:color w:val="auto"/>
          <w:highlight w:val="none"/>
        </w:rPr>
      </w:pPr>
    </w:p>
    <w:p>
      <w:pPr>
        <w:spacing w:line="360" w:lineRule="auto"/>
        <w:ind w:firstLine="424" w:firstLineChars="202"/>
        <w:rPr>
          <w:rFonts w:ascii="宋体" w:hAnsi="宋体" w:cs="宋体"/>
          <w:color w:val="auto"/>
          <w:highlight w:val="none"/>
        </w:rPr>
      </w:pPr>
    </w:p>
    <w:p>
      <w:pPr>
        <w:spacing w:line="360" w:lineRule="auto"/>
        <w:ind w:firstLine="3990" w:firstLineChars="1900"/>
        <w:rPr>
          <w:rFonts w:ascii="宋体" w:hAnsi="宋体" w:cs="宋体"/>
          <w:color w:val="auto"/>
          <w:highlight w:val="none"/>
          <w:u w:val="single"/>
        </w:rPr>
      </w:pPr>
      <w:r>
        <w:rPr>
          <w:rFonts w:hint="eastAsia" w:ascii="宋体" w:hAnsi="宋体" w:cs="宋体"/>
          <w:color w:val="auto"/>
          <w:highlight w:val="none"/>
        </w:rPr>
        <w:t>投标人：</w:t>
      </w:r>
      <w:r>
        <w:rPr>
          <w:rFonts w:hint="eastAsia" w:ascii="宋体" w:hAnsi="宋体"/>
          <w:color w:val="auto"/>
          <w:szCs w:val="21"/>
          <w:highlight w:val="none"/>
          <w:u w:val="single"/>
        </w:rPr>
        <w:t xml:space="preserve">          </w:t>
      </w:r>
      <w:r>
        <w:rPr>
          <w:rFonts w:hint="eastAsia" w:ascii="宋体" w:hAnsi="宋体" w:cs="宋体"/>
          <w:color w:val="auto"/>
          <w:highlight w:val="none"/>
        </w:rPr>
        <w:t xml:space="preserve"> （盖单位公章）</w:t>
      </w:r>
    </w:p>
    <w:p>
      <w:pPr>
        <w:spacing w:line="360" w:lineRule="auto"/>
        <w:ind w:firstLine="3994" w:firstLineChars="1902"/>
        <w:rPr>
          <w:rFonts w:ascii="宋体" w:hAnsi="宋体" w:cs="宋体"/>
          <w:color w:val="auto"/>
          <w:highlight w:val="none"/>
          <w:u w:val="single"/>
        </w:rPr>
      </w:pPr>
      <w:r>
        <w:rPr>
          <w:rFonts w:hint="eastAsia" w:ascii="宋体" w:hAnsi="宋体" w:cs="宋体"/>
          <w:color w:val="auto"/>
          <w:highlight w:val="none"/>
        </w:rPr>
        <w:t>单位地址：</w:t>
      </w:r>
      <w:r>
        <w:rPr>
          <w:rFonts w:hint="eastAsia" w:ascii="宋体" w:hAnsi="宋体"/>
          <w:color w:val="auto"/>
          <w:szCs w:val="21"/>
          <w:highlight w:val="none"/>
          <w:u w:val="single"/>
        </w:rPr>
        <w:t xml:space="preserve">            </w:t>
      </w:r>
    </w:p>
    <w:p>
      <w:pPr>
        <w:spacing w:line="360" w:lineRule="auto"/>
        <w:ind w:firstLine="3994" w:firstLineChars="1902"/>
        <w:rPr>
          <w:rFonts w:ascii="宋体" w:hAnsi="宋体" w:cs="宋体"/>
          <w:color w:val="auto"/>
          <w:highlight w:val="none"/>
        </w:rPr>
      </w:pPr>
      <w:r>
        <w:rPr>
          <w:rFonts w:hint="eastAsia" w:ascii="宋体" w:hAnsi="宋体" w:cs="宋体"/>
          <w:color w:val="auto"/>
          <w:highlight w:val="none"/>
        </w:rPr>
        <w:t>法定代表人或其委托代理人：</w:t>
      </w:r>
      <w:r>
        <w:rPr>
          <w:rFonts w:hint="eastAsia" w:ascii="宋体" w:hAnsi="宋体"/>
          <w:color w:val="auto"/>
          <w:szCs w:val="21"/>
          <w:highlight w:val="none"/>
          <w:u w:val="single"/>
        </w:rPr>
        <w:t xml:space="preserve">       </w:t>
      </w:r>
      <w:r>
        <w:rPr>
          <w:rFonts w:hint="eastAsia" w:ascii="宋体" w:hAnsi="宋体" w:cs="宋体"/>
          <w:color w:val="auto"/>
          <w:highlight w:val="none"/>
        </w:rPr>
        <w:t>（签字或盖章）</w:t>
      </w:r>
    </w:p>
    <w:p>
      <w:pPr>
        <w:spacing w:line="360" w:lineRule="auto"/>
        <w:ind w:firstLine="3990" w:firstLineChars="1900"/>
        <w:rPr>
          <w:rFonts w:ascii="宋体" w:hAnsi="宋体" w:cs="宋体"/>
          <w:color w:val="auto"/>
          <w:highlight w:val="none"/>
          <w:u w:val="single"/>
        </w:rPr>
      </w:pPr>
      <w:r>
        <w:rPr>
          <w:rFonts w:hint="eastAsia" w:ascii="宋体" w:hAnsi="宋体" w:cs="宋体"/>
          <w:color w:val="auto"/>
          <w:highlight w:val="none"/>
        </w:rPr>
        <w:t>电话：</w:t>
      </w:r>
      <w:r>
        <w:rPr>
          <w:rFonts w:hint="eastAsia" w:ascii="宋体" w:hAnsi="宋体"/>
          <w:color w:val="auto"/>
          <w:szCs w:val="21"/>
          <w:highlight w:val="none"/>
          <w:u w:val="single"/>
        </w:rPr>
        <w:t xml:space="preserve">                   </w:t>
      </w:r>
    </w:p>
    <w:p>
      <w:pPr>
        <w:spacing w:line="360" w:lineRule="auto"/>
        <w:ind w:firstLine="3990" w:firstLineChars="1900"/>
        <w:rPr>
          <w:rFonts w:ascii="宋体" w:hAnsi="宋体" w:cs="宋体"/>
          <w:color w:val="auto"/>
          <w:highlight w:val="none"/>
        </w:rPr>
      </w:pPr>
      <w:r>
        <w:rPr>
          <w:rFonts w:hint="eastAsia" w:ascii="宋体" w:hAnsi="宋体" w:cs="宋体"/>
          <w:color w:val="auto"/>
          <w:highlight w:val="none"/>
        </w:rPr>
        <w:t>传真：</w:t>
      </w:r>
      <w:r>
        <w:rPr>
          <w:rFonts w:hint="eastAsia" w:ascii="宋体" w:hAnsi="宋体"/>
          <w:color w:val="auto"/>
          <w:szCs w:val="21"/>
          <w:highlight w:val="none"/>
          <w:u w:val="single"/>
        </w:rPr>
        <w:t xml:space="preserve">                   </w:t>
      </w:r>
    </w:p>
    <w:p>
      <w:pPr>
        <w:wordWrap w:val="0"/>
        <w:spacing w:before="120" w:beforeLines="50" w:after="240" w:afterLines="100" w:line="360" w:lineRule="auto"/>
        <w:ind w:firstLine="3990" w:firstLineChars="1900"/>
        <w:rPr>
          <w:rFonts w:ascii="宋体" w:hAnsi="宋体" w:cs="宋体"/>
          <w:color w:val="auto"/>
          <w:highlight w:val="none"/>
        </w:rPr>
      </w:pPr>
      <w:r>
        <w:rPr>
          <w:rFonts w:hint="eastAsia" w:ascii="宋体" w:hAnsi="宋体" w:cs="宋体"/>
          <w:color w:val="auto"/>
          <w:highlight w:val="none"/>
        </w:rPr>
        <w:t>日期：</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w:t>
      </w:r>
    </w:p>
    <w:p>
      <w:pPr>
        <w:spacing w:line="360" w:lineRule="auto"/>
        <w:ind w:right="1260" w:firstLine="3990" w:firstLineChars="1900"/>
        <w:rPr>
          <w:color w:val="auto"/>
          <w:highlight w:val="none"/>
        </w:rPr>
      </w:pPr>
    </w:p>
    <w:p>
      <w:pPr>
        <w:spacing w:line="480" w:lineRule="auto"/>
        <w:jc w:val="center"/>
        <w:rPr>
          <w:color w:val="auto"/>
          <w:szCs w:val="21"/>
          <w:highlight w:val="none"/>
        </w:rPr>
      </w:pPr>
    </w:p>
    <w:p>
      <w:pPr>
        <w:rPr>
          <w:rFonts w:ascii="黑体" w:hAnsi="宋体"/>
          <w:b/>
          <w:color w:val="auto"/>
          <w:sz w:val="32"/>
          <w:highlight w:val="none"/>
        </w:rPr>
      </w:pPr>
      <w:r>
        <w:rPr>
          <w:rFonts w:hint="eastAsia" w:ascii="黑体" w:hAnsi="宋体"/>
          <w:b/>
          <w:color w:val="auto"/>
          <w:sz w:val="32"/>
          <w:highlight w:val="none"/>
        </w:rPr>
        <w:br w:type="page"/>
      </w:r>
    </w:p>
    <w:p>
      <w:pPr>
        <w:pStyle w:val="7"/>
        <w:spacing w:before="14"/>
        <w:jc w:val="center"/>
        <w:rPr>
          <w:color w:val="auto"/>
          <w:spacing w:val="-1"/>
          <w:sz w:val="28"/>
          <w:highlight w:val="none"/>
        </w:rPr>
      </w:pPr>
      <w:r>
        <w:rPr>
          <w:color w:val="auto"/>
          <w:spacing w:val="-1"/>
          <w:sz w:val="28"/>
          <w:highlight w:val="none"/>
        </w:rPr>
        <w:t>（</w:t>
      </w:r>
      <w:r>
        <w:rPr>
          <w:rFonts w:hint="eastAsia"/>
          <w:color w:val="auto"/>
          <w:spacing w:val="-1"/>
          <w:sz w:val="28"/>
          <w:highlight w:val="none"/>
        </w:rPr>
        <w:t>二</w:t>
      </w:r>
      <w:r>
        <w:rPr>
          <w:color w:val="auto"/>
          <w:spacing w:val="-1"/>
          <w:sz w:val="28"/>
          <w:highlight w:val="none"/>
        </w:rPr>
        <w:t>）投标函</w:t>
      </w:r>
      <w:r>
        <w:rPr>
          <w:rFonts w:hint="eastAsia"/>
          <w:color w:val="auto"/>
          <w:spacing w:val="-1"/>
          <w:sz w:val="28"/>
          <w:highlight w:val="none"/>
        </w:rPr>
        <w:t>附录</w:t>
      </w:r>
    </w:p>
    <w:tbl>
      <w:tblPr>
        <w:tblStyle w:val="44"/>
        <w:tblW w:w="84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19"/>
        <w:gridCol w:w="53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Cs w:val="21"/>
                <w:highlight w:val="none"/>
              </w:rPr>
            </w:pPr>
            <w:r>
              <w:rPr>
                <w:rFonts w:hint="eastAsia" w:ascii="宋体" w:hAnsi="宋体"/>
                <w:color w:val="auto"/>
                <w:szCs w:val="21"/>
                <w:highlight w:val="none"/>
              </w:rPr>
              <w:t>条款名称</w:t>
            </w:r>
          </w:p>
        </w:tc>
        <w:tc>
          <w:tcPr>
            <w:tcW w:w="536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Cs w:val="21"/>
                <w:highlight w:val="none"/>
              </w:rPr>
            </w:pPr>
            <w:r>
              <w:rPr>
                <w:rFonts w:hint="eastAsia" w:ascii="宋体" w:hAnsi="宋体"/>
                <w:color w:val="auto"/>
                <w:szCs w:val="21"/>
                <w:highlight w:val="none"/>
              </w:rPr>
              <w:t>约定内容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Cs w:val="21"/>
                <w:highlight w:val="none"/>
              </w:rPr>
            </w:pPr>
            <w:r>
              <w:rPr>
                <w:rFonts w:hint="eastAsia" w:ascii="宋体" w:hAnsi="宋体"/>
                <w:color w:val="auto"/>
                <w:szCs w:val="21"/>
                <w:highlight w:val="none"/>
              </w:rPr>
              <w:t>投标人名称</w:t>
            </w:r>
          </w:p>
        </w:tc>
        <w:tc>
          <w:tcPr>
            <w:tcW w:w="536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Cs w:val="21"/>
                <w:highlight w:val="none"/>
              </w:rPr>
            </w:pPr>
            <w:r>
              <w:rPr>
                <w:rFonts w:hint="eastAsia" w:ascii="宋体" w:hAnsi="宋体"/>
                <w:color w:val="auto"/>
                <w:szCs w:val="21"/>
                <w:highlight w:val="none"/>
              </w:rPr>
              <w:t>投标报价</w:t>
            </w:r>
          </w:p>
        </w:tc>
        <w:tc>
          <w:tcPr>
            <w:tcW w:w="536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olor w:val="auto"/>
                <w:szCs w:val="21"/>
                <w:highlight w:val="none"/>
              </w:rPr>
            </w:pPr>
            <w:r>
              <w:rPr>
                <w:rFonts w:hint="eastAsia" w:ascii="宋体" w:hAnsi="宋体"/>
                <w:color w:val="auto"/>
                <w:szCs w:val="21"/>
                <w:highlight w:val="none"/>
                <w:u w:val="single"/>
              </w:rPr>
              <w:t xml:space="preserve">      </w:t>
            </w:r>
            <w:r>
              <w:rPr>
                <w:rFonts w:hint="eastAsia" w:ascii="宋体" w:hAnsi="宋体"/>
                <w:color w:val="auto"/>
                <w:szCs w:val="21"/>
                <w:highlight w:val="none"/>
              </w:rPr>
              <w:t>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Cs w:val="21"/>
                <w:highlight w:val="none"/>
              </w:rPr>
            </w:pPr>
            <w:r>
              <w:rPr>
                <w:rFonts w:hint="eastAsia" w:ascii="宋体" w:hAnsi="宋体"/>
                <w:color w:val="auto"/>
                <w:szCs w:val="21"/>
                <w:highlight w:val="none"/>
              </w:rPr>
              <w:t>工程总承包项目经理</w:t>
            </w:r>
          </w:p>
        </w:tc>
        <w:tc>
          <w:tcPr>
            <w:tcW w:w="5361" w:type="dxa"/>
            <w:tcBorders>
              <w:top w:val="single" w:color="auto" w:sz="4" w:space="0"/>
              <w:left w:val="single" w:color="auto" w:sz="4" w:space="0"/>
              <w:bottom w:val="single" w:color="auto" w:sz="4" w:space="0"/>
              <w:right w:val="single" w:color="auto" w:sz="4" w:space="0"/>
            </w:tcBorders>
            <w:vAlign w:val="center"/>
          </w:tcPr>
          <w:p>
            <w:pPr>
              <w:rPr>
                <w:rFonts w:ascii="宋体" w:hAnsi="宋体"/>
                <w:color w:val="auto"/>
                <w:szCs w:val="21"/>
                <w:highlight w:val="none"/>
              </w:rPr>
            </w:pPr>
            <w:r>
              <w:rPr>
                <w:rFonts w:hint="eastAsia" w:ascii="宋体" w:hAnsi="宋体"/>
                <w:color w:val="auto"/>
                <w:szCs w:val="21"/>
                <w:highlight w:val="none"/>
              </w:rPr>
              <w:t>姓名：</w:t>
            </w:r>
            <w:r>
              <w:rPr>
                <w:rFonts w:hint="eastAsia" w:ascii="宋体" w:hAnsi="宋体"/>
                <w:color w:val="auto"/>
                <w:szCs w:val="21"/>
                <w:highlight w:val="none"/>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Cs w:val="21"/>
                <w:highlight w:val="none"/>
              </w:rPr>
            </w:pPr>
            <w:r>
              <w:rPr>
                <w:rFonts w:hint="eastAsia" w:ascii="宋体" w:hAnsi="宋体"/>
                <w:color w:val="auto"/>
                <w:szCs w:val="21"/>
                <w:highlight w:val="none"/>
              </w:rPr>
              <w:t>设计负责人</w:t>
            </w:r>
          </w:p>
        </w:tc>
        <w:tc>
          <w:tcPr>
            <w:tcW w:w="5361" w:type="dxa"/>
            <w:tcBorders>
              <w:top w:val="single" w:color="auto" w:sz="4" w:space="0"/>
              <w:left w:val="single" w:color="auto" w:sz="4" w:space="0"/>
              <w:bottom w:val="single" w:color="auto" w:sz="4" w:space="0"/>
              <w:right w:val="single" w:color="auto" w:sz="4" w:space="0"/>
            </w:tcBorders>
            <w:vAlign w:val="center"/>
          </w:tcPr>
          <w:p>
            <w:pPr>
              <w:rPr>
                <w:rFonts w:ascii="宋体" w:hAnsi="宋体"/>
                <w:color w:val="auto"/>
                <w:szCs w:val="21"/>
                <w:highlight w:val="none"/>
              </w:rPr>
            </w:pPr>
            <w:r>
              <w:rPr>
                <w:rFonts w:hint="eastAsia" w:ascii="宋体" w:hAnsi="宋体"/>
                <w:color w:val="auto"/>
                <w:szCs w:val="21"/>
                <w:highlight w:val="none"/>
              </w:rPr>
              <w:t>姓名：</w:t>
            </w:r>
            <w:r>
              <w:rPr>
                <w:rFonts w:hint="eastAsia" w:ascii="宋体" w:hAnsi="宋体"/>
                <w:color w:val="auto"/>
                <w:szCs w:val="21"/>
                <w:highlight w:val="none"/>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5" w:hRule="atLeast"/>
        </w:trPr>
        <w:tc>
          <w:tcPr>
            <w:tcW w:w="311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olor w:val="auto"/>
                <w:szCs w:val="21"/>
                <w:highlight w:val="none"/>
              </w:rPr>
            </w:pPr>
            <w:r>
              <w:rPr>
                <w:rFonts w:hint="eastAsia" w:ascii="宋体" w:hAnsi="宋体"/>
                <w:color w:val="auto"/>
                <w:szCs w:val="21"/>
                <w:highlight w:val="none"/>
              </w:rPr>
              <w:t>施工项目经理</w:t>
            </w:r>
          </w:p>
        </w:tc>
        <w:tc>
          <w:tcPr>
            <w:tcW w:w="5361" w:type="dxa"/>
            <w:tcBorders>
              <w:top w:val="single" w:color="auto" w:sz="4" w:space="0"/>
              <w:left w:val="single" w:color="auto" w:sz="4" w:space="0"/>
              <w:bottom w:val="single" w:color="auto" w:sz="4" w:space="0"/>
              <w:right w:val="single" w:color="auto" w:sz="4" w:space="0"/>
            </w:tcBorders>
            <w:vAlign w:val="center"/>
          </w:tcPr>
          <w:p>
            <w:pPr>
              <w:rPr>
                <w:rFonts w:ascii="宋体" w:hAnsi="宋体"/>
                <w:color w:val="auto"/>
                <w:szCs w:val="21"/>
                <w:highlight w:val="none"/>
              </w:rPr>
            </w:pPr>
            <w:r>
              <w:rPr>
                <w:rFonts w:hint="eastAsia" w:ascii="宋体" w:hAnsi="宋体"/>
                <w:color w:val="auto"/>
                <w:szCs w:val="21"/>
                <w:highlight w:val="none"/>
              </w:rPr>
              <w:t>姓名：</w:t>
            </w:r>
            <w:r>
              <w:rPr>
                <w:rFonts w:hint="eastAsia" w:ascii="宋体" w:hAnsi="宋体"/>
                <w:color w:val="auto"/>
                <w:szCs w:val="21"/>
                <w:highlight w:val="none"/>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ind w:right="-20"/>
              <w:jc w:val="center"/>
              <w:rPr>
                <w:rFonts w:ascii="宋体" w:hAnsi="宋体" w:cs="MingLiU"/>
                <w:color w:val="auto"/>
                <w:kern w:val="0"/>
                <w:szCs w:val="21"/>
                <w:highlight w:val="none"/>
              </w:rPr>
            </w:pPr>
            <w:r>
              <w:rPr>
                <w:rFonts w:hint="eastAsia" w:ascii="宋体" w:hAnsi="宋体" w:cs="MingLiU"/>
                <w:color w:val="auto"/>
                <w:kern w:val="0"/>
                <w:szCs w:val="21"/>
                <w:highlight w:val="none"/>
              </w:rPr>
              <w:t>投标有效期</w:t>
            </w:r>
          </w:p>
        </w:tc>
        <w:tc>
          <w:tcPr>
            <w:tcW w:w="5361"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rPr>
                <w:rFonts w:ascii="宋体" w:hAnsi="宋体"/>
                <w:color w:val="auto"/>
                <w:kern w:val="0"/>
                <w:szCs w:val="21"/>
                <w:highlight w:val="none"/>
              </w:rPr>
            </w:pPr>
            <w:r>
              <w:rPr>
                <w:rFonts w:hint="eastAsia" w:ascii="宋体" w:hAnsi="宋体"/>
                <w:color w:val="auto"/>
                <w:szCs w:val="21"/>
                <w:highlight w:val="none"/>
              </w:rPr>
              <w:t>天数:</w:t>
            </w:r>
            <w:r>
              <w:rPr>
                <w:rFonts w:ascii="宋体" w:hAnsi="宋体"/>
                <w:color w:val="auto"/>
                <w:szCs w:val="21"/>
                <w:highlight w:val="none"/>
                <w:u w:val="single"/>
              </w:rPr>
              <w:t></w:t>
            </w:r>
            <w:r>
              <w:rPr>
                <w:rFonts w:hint="eastAsia" w:ascii="宋体" w:hAnsi="宋体"/>
                <w:color w:val="auto"/>
                <w:szCs w:val="21"/>
                <w:highlight w:val="none"/>
              </w:rPr>
              <w:t>日历天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ind w:right="-20"/>
              <w:jc w:val="center"/>
              <w:rPr>
                <w:rFonts w:ascii="宋体" w:hAnsi="宋体" w:cs="MingLiU"/>
                <w:color w:val="auto"/>
                <w:kern w:val="0"/>
                <w:szCs w:val="21"/>
                <w:highlight w:val="none"/>
              </w:rPr>
            </w:pPr>
            <w:r>
              <w:rPr>
                <w:rFonts w:hint="eastAsia" w:ascii="宋体" w:hAnsi="宋体" w:cs="MingLiU"/>
                <w:color w:val="auto"/>
                <w:kern w:val="0"/>
                <w:szCs w:val="21"/>
                <w:highlight w:val="none"/>
              </w:rPr>
              <w:t>投标保证金缴纳方式</w:t>
            </w:r>
          </w:p>
        </w:tc>
        <w:tc>
          <w:tcPr>
            <w:tcW w:w="5361"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MingLiU"/>
                <w:color w:val="auto"/>
                <w:kern w:val="0"/>
                <w:szCs w:val="21"/>
                <w:highlight w:val="none"/>
              </w:rPr>
            </w:pPr>
            <w:r>
              <w:rPr>
                <w:rFonts w:hint="eastAsia" w:ascii="宋体" w:hAnsi="宋体"/>
                <w:color w:val="auto"/>
                <w:szCs w:val="21"/>
                <w:highlight w:val="none"/>
              </w:rPr>
              <w:t>总工期</w:t>
            </w:r>
          </w:p>
        </w:tc>
        <w:tc>
          <w:tcPr>
            <w:tcW w:w="5361"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rPr>
                <w:rFonts w:ascii="宋体" w:hAnsi="宋体"/>
                <w:color w:val="auto"/>
                <w:szCs w:val="21"/>
                <w:highlight w:val="none"/>
              </w:rPr>
            </w:pPr>
            <w:r>
              <w:rPr>
                <w:rFonts w:ascii="宋体" w:hAnsi="宋体"/>
                <w:color w:val="auto"/>
                <w:szCs w:val="21"/>
                <w:highlight w:val="none"/>
                <w:u w:val="single"/>
              </w:rPr>
              <w:t></w:t>
            </w:r>
            <w:r>
              <w:rPr>
                <w:rFonts w:hint="eastAsia" w:ascii="宋体" w:hAnsi="宋体"/>
                <w:color w:val="auto"/>
                <w:szCs w:val="21"/>
                <w:highlight w:val="none"/>
                <w:u w:val="single"/>
              </w:rPr>
              <w:t xml:space="preserve">  </w:t>
            </w:r>
            <w:r>
              <w:rPr>
                <w:rFonts w:hint="eastAsia" w:ascii="宋体" w:hAnsi="宋体"/>
                <w:color w:val="auto"/>
                <w:szCs w:val="21"/>
                <w:highlight w:val="none"/>
              </w:rPr>
              <w:t>日历</w:t>
            </w:r>
            <w:r>
              <w:rPr>
                <w:rFonts w:ascii="宋体" w:hAnsi="宋体"/>
                <w:color w:val="auto"/>
                <w:szCs w:val="21"/>
                <w:highlight w:val="none"/>
              </w:rPr>
              <w:t>天</w:t>
            </w:r>
            <w:r>
              <w:rPr>
                <w:rFonts w:hint="eastAsia" w:ascii="宋体" w:hAnsi="宋体"/>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MingLiU"/>
                <w:color w:val="auto"/>
                <w:kern w:val="0"/>
                <w:szCs w:val="21"/>
                <w:highlight w:val="none"/>
              </w:rPr>
            </w:pPr>
            <w:r>
              <w:rPr>
                <w:rFonts w:hint="eastAsia" w:ascii="宋体" w:hAnsi="宋体"/>
                <w:color w:val="auto"/>
                <w:szCs w:val="21"/>
                <w:highlight w:val="none"/>
              </w:rPr>
              <w:t>设计服务期</w:t>
            </w:r>
          </w:p>
        </w:tc>
        <w:tc>
          <w:tcPr>
            <w:tcW w:w="5361"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rPr>
                <w:rFonts w:ascii="宋体" w:hAnsi="宋体"/>
                <w:color w:val="auto"/>
                <w:szCs w:val="21"/>
                <w:highlight w:val="none"/>
                <w:u w:val="single"/>
              </w:rPr>
            </w:pPr>
            <w:r>
              <w:rPr>
                <w:rFonts w:hint="eastAsia" w:ascii="宋体" w:hAnsi="宋体"/>
                <w:color w:val="auto"/>
                <w:szCs w:val="21"/>
                <w:highlight w:val="none"/>
                <w:u w:val="single"/>
              </w:rPr>
              <w:t xml:space="preserve">      </w:t>
            </w:r>
            <w:r>
              <w:rPr>
                <w:rFonts w:hint="eastAsia" w:ascii="宋体" w:hAnsi="宋体"/>
                <w:color w:val="auto"/>
                <w:szCs w:val="21"/>
                <w:highlight w:val="none"/>
              </w:rPr>
              <w:t>日历</w:t>
            </w:r>
            <w:r>
              <w:rPr>
                <w:rFonts w:ascii="宋体" w:hAnsi="宋体"/>
                <w:color w:val="auto"/>
                <w:szCs w:val="21"/>
                <w:highlight w:val="none"/>
              </w:rPr>
              <w:t>天</w:t>
            </w:r>
            <w:r>
              <w:rPr>
                <w:rFonts w:hint="eastAsia" w:ascii="宋体" w:hAnsi="宋体"/>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MingLiU"/>
                <w:color w:val="auto"/>
                <w:kern w:val="0"/>
                <w:szCs w:val="21"/>
                <w:highlight w:val="none"/>
              </w:rPr>
            </w:pPr>
            <w:r>
              <w:rPr>
                <w:rFonts w:hint="eastAsia" w:ascii="宋体" w:hAnsi="宋体"/>
                <w:color w:val="auto"/>
                <w:szCs w:val="21"/>
                <w:highlight w:val="none"/>
              </w:rPr>
              <w:t>施工工期</w:t>
            </w:r>
          </w:p>
        </w:tc>
        <w:tc>
          <w:tcPr>
            <w:tcW w:w="5361"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rPr>
                <w:rFonts w:ascii="宋体" w:hAnsi="宋体"/>
                <w:color w:val="auto"/>
                <w:szCs w:val="21"/>
                <w:highlight w:val="none"/>
                <w:u w:val="single"/>
              </w:rPr>
            </w:pPr>
            <w:r>
              <w:rPr>
                <w:rFonts w:hint="eastAsia" w:ascii="宋体" w:hAnsi="宋体"/>
                <w:color w:val="auto"/>
                <w:szCs w:val="21"/>
                <w:highlight w:val="none"/>
                <w:u w:val="single"/>
              </w:rPr>
              <w:t xml:space="preserve">      </w:t>
            </w:r>
            <w:r>
              <w:rPr>
                <w:rFonts w:hint="eastAsia" w:ascii="宋体" w:hAnsi="宋体"/>
                <w:color w:val="auto"/>
                <w:szCs w:val="21"/>
                <w:highlight w:val="none"/>
              </w:rPr>
              <w:t>日历</w:t>
            </w:r>
            <w:r>
              <w:rPr>
                <w:rFonts w:ascii="宋体" w:hAnsi="宋体"/>
                <w:color w:val="auto"/>
                <w:szCs w:val="21"/>
                <w:highlight w:val="none"/>
              </w:rPr>
              <w:t>天</w:t>
            </w:r>
            <w:r>
              <w:rPr>
                <w:rFonts w:hint="eastAsia" w:ascii="宋体" w:hAnsi="宋体"/>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3119"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ind w:right="-20"/>
              <w:jc w:val="center"/>
              <w:rPr>
                <w:rFonts w:ascii="宋体" w:hAnsi="宋体" w:cs="MingLiU"/>
                <w:color w:val="auto"/>
                <w:kern w:val="0"/>
                <w:szCs w:val="21"/>
                <w:highlight w:val="none"/>
              </w:rPr>
            </w:pPr>
            <w:r>
              <w:rPr>
                <w:rFonts w:ascii="宋体" w:hAnsi="宋体" w:cs="MingLiU"/>
                <w:color w:val="auto"/>
                <w:kern w:val="0"/>
                <w:szCs w:val="21"/>
                <w:highlight w:val="none"/>
              </w:rPr>
              <w:t>……</w:t>
            </w:r>
          </w:p>
        </w:tc>
        <w:tc>
          <w:tcPr>
            <w:tcW w:w="5361"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ind w:left="359" w:leftChars="171"/>
              <w:rPr>
                <w:rFonts w:ascii="宋体" w:hAnsi="宋体"/>
                <w:color w:val="auto"/>
                <w:kern w:val="0"/>
                <w:szCs w:val="21"/>
                <w:highlight w:val="none"/>
              </w:rPr>
            </w:pPr>
          </w:p>
        </w:tc>
      </w:tr>
    </w:tbl>
    <w:p>
      <w:pPr>
        <w:spacing w:line="360" w:lineRule="auto"/>
        <w:ind w:right="1260" w:firstLine="3990" w:firstLineChars="1900"/>
        <w:rPr>
          <w:color w:val="auto"/>
          <w:highlight w:val="none"/>
        </w:rPr>
      </w:pPr>
    </w:p>
    <w:p>
      <w:pPr>
        <w:pStyle w:val="6"/>
        <w:jc w:val="center"/>
        <w:rPr>
          <w:rFonts w:ascii="黑体" w:hAnsi="宋体"/>
          <w:bCs w:val="0"/>
          <w:color w:val="auto"/>
          <w:sz w:val="32"/>
          <w:highlight w:val="none"/>
        </w:rPr>
      </w:pPr>
      <w:r>
        <w:rPr>
          <w:rFonts w:ascii="Arial" w:hAnsi="Arial"/>
          <w:color w:val="auto"/>
          <w:highlight w:val="none"/>
        </w:rPr>
        <w:br w:type="page"/>
      </w:r>
      <w:bookmarkStart w:id="911" w:name="_Toc22306"/>
      <w:bookmarkStart w:id="912" w:name="_Toc16866"/>
      <w:bookmarkStart w:id="913" w:name="_Toc6818"/>
      <w:bookmarkStart w:id="914" w:name="_Toc10216"/>
      <w:bookmarkStart w:id="915" w:name="_Toc29552"/>
      <w:bookmarkStart w:id="916" w:name="_Toc12972"/>
      <w:r>
        <w:rPr>
          <w:rFonts w:hint="eastAsia" w:ascii="黑体" w:hAnsi="黑体" w:eastAsia="黑体" w:cs="黑体"/>
          <w:b w:val="0"/>
          <w:bCs w:val="0"/>
          <w:color w:val="auto"/>
          <w:sz w:val="32"/>
          <w:highlight w:val="none"/>
        </w:rPr>
        <w:t>二、法定代表人身份证明</w:t>
      </w:r>
      <w:bookmarkEnd w:id="911"/>
      <w:bookmarkEnd w:id="912"/>
      <w:bookmarkEnd w:id="913"/>
      <w:bookmarkEnd w:id="914"/>
      <w:bookmarkEnd w:id="915"/>
      <w:bookmarkEnd w:id="916"/>
    </w:p>
    <w:p>
      <w:pPr>
        <w:spacing w:line="360" w:lineRule="auto"/>
        <w:ind w:right="1260" w:firstLine="3990" w:firstLineChars="1900"/>
        <w:rPr>
          <w:color w:val="auto"/>
          <w:highlight w:val="none"/>
        </w:rPr>
      </w:pPr>
    </w:p>
    <w:p>
      <w:pPr>
        <w:spacing w:line="360" w:lineRule="auto"/>
        <w:ind w:right="1260" w:firstLine="3990" w:firstLineChars="1900"/>
        <w:rPr>
          <w:color w:val="auto"/>
          <w:highlight w:val="none"/>
        </w:rPr>
      </w:pPr>
    </w:p>
    <w:p>
      <w:pPr>
        <w:spacing w:line="560" w:lineRule="exact"/>
        <w:ind w:firstLine="525" w:firstLineChars="250"/>
        <w:rPr>
          <w:color w:val="auto"/>
          <w:szCs w:val="21"/>
          <w:highlight w:val="none"/>
          <w:u w:val="single"/>
        </w:rPr>
      </w:pPr>
      <w:r>
        <w:rPr>
          <w:color w:val="auto"/>
          <w:szCs w:val="21"/>
          <w:highlight w:val="none"/>
        </w:rPr>
        <w:t>投标人：</w:t>
      </w:r>
      <w:r>
        <w:rPr>
          <w:rFonts w:hint="eastAsia"/>
          <w:color w:val="auto"/>
          <w:szCs w:val="21"/>
          <w:highlight w:val="none"/>
          <w:u w:val="single"/>
        </w:rPr>
        <w:t xml:space="preserve">                                        </w:t>
      </w:r>
    </w:p>
    <w:p>
      <w:pPr>
        <w:spacing w:line="560" w:lineRule="exact"/>
        <w:ind w:firstLine="525" w:firstLineChars="250"/>
        <w:rPr>
          <w:color w:val="auto"/>
          <w:szCs w:val="21"/>
          <w:highlight w:val="none"/>
        </w:rPr>
      </w:pPr>
      <w:r>
        <w:rPr>
          <w:color w:val="auto"/>
          <w:szCs w:val="21"/>
          <w:highlight w:val="none"/>
        </w:rPr>
        <w:t>单位性质：</w:t>
      </w:r>
      <w:r>
        <w:rPr>
          <w:rFonts w:hint="eastAsia"/>
          <w:color w:val="auto"/>
          <w:szCs w:val="21"/>
          <w:highlight w:val="none"/>
          <w:u w:val="single"/>
        </w:rPr>
        <w:t xml:space="preserve">                                      </w:t>
      </w:r>
      <w:r>
        <w:rPr>
          <w:rFonts w:hint="eastAsia"/>
          <w:color w:val="auto"/>
          <w:szCs w:val="21"/>
          <w:highlight w:val="none"/>
        </w:rPr>
        <w:t xml:space="preserve">              </w:t>
      </w:r>
    </w:p>
    <w:p>
      <w:pPr>
        <w:spacing w:line="560" w:lineRule="exact"/>
        <w:ind w:firstLine="525" w:firstLineChars="250"/>
        <w:rPr>
          <w:color w:val="auto"/>
          <w:szCs w:val="21"/>
          <w:highlight w:val="none"/>
        </w:rPr>
      </w:pPr>
      <w:r>
        <w:rPr>
          <w:color w:val="auto"/>
          <w:szCs w:val="21"/>
          <w:highlight w:val="none"/>
        </w:rPr>
        <w:t>地址：</w:t>
      </w:r>
      <w:r>
        <w:rPr>
          <w:rFonts w:hint="eastAsia"/>
          <w:color w:val="auto"/>
          <w:szCs w:val="21"/>
          <w:highlight w:val="none"/>
          <w:u w:val="single"/>
        </w:rPr>
        <w:t xml:space="preserve">                                          </w:t>
      </w:r>
    </w:p>
    <w:p>
      <w:pPr>
        <w:spacing w:line="560" w:lineRule="exact"/>
        <w:ind w:firstLine="525" w:firstLineChars="250"/>
        <w:rPr>
          <w:color w:val="auto"/>
          <w:szCs w:val="21"/>
          <w:highlight w:val="none"/>
        </w:rPr>
      </w:pPr>
      <w:r>
        <w:rPr>
          <w:color w:val="auto"/>
          <w:szCs w:val="21"/>
          <w:highlight w:val="none"/>
        </w:rPr>
        <w:t>成立时间：</w:t>
      </w:r>
      <w:r>
        <w:rPr>
          <w:rFonts w:hint="eastAsia"/>
          <w:color w:val="auto"/>
          <w:szCs w:val="21"/>
          <w:highlight w:val="none"/>
          <w:u w:val="single"/>
        </w:rPr>
        <w:t xml:space="preserve">      </w:t>
      </w:r>
      <w:r>
        <w:rPr>
          <w:color w:val="auto"/>
          <w:szCs w:val="21"/>
          <w:highlight w:val="none"/>
        </w:rPr>
        <w:t>年</w:t>
      </w:r>
      <w:r>
        <w:rPr>
          <w:rFonts w:hint="eastAsia"/>
          <w:color w:val="auto"/>
          <w:szCs w:val="21"/>
          <w:highlight w:val="none"/>
          <w:u w:val="single"/>
        </w:rPr>
        <w:t xml:space="preserve">      </w:t>
      </w:r>
      <w:r>
        <w:rPr>
          <w:color w:val="auto"/>
          <w:szCs w:val="21"/>
          <w:highlight w:val="none"/>
        </w:rPr>
        <w:t>月</w:t>
      </w:r>
      <w:r>
        <w:rPr>
          <w:rFonts w:hint="eastAsia"/>
          <w:color w:val="auto"/>
          <w:szCs w:val="21"/>
          <w:highlight w:val="none"/>
          <w:u w:val="single"/>
        </w:rPr>
        <w:t xml:space="preserve">      </w:t>
      </w:r>
      <w:r>
        <w:rPr>
          <w:color w:val="auto"/>
          <w:szCs w:val="21"/>
          <w:highlight w:val="none"/>
        </w:rPr>
        <w:t>日</w:t>
      </w:r>
    </w:p>
    <w:p>
      <w:pPr>
        <w:spacing w:line="560" w:lineRule="exact"/>
        <w:ind w:firstLine="525" w:firstLineChars="250"/>
        <w:rPr>
          <w:color w:val="auto"/>
          <w:szCs w:val="21"/>
          <w:highlight w:val="none"/>
        </w:rPr>
      </w:pPr>
      <w:r>
        <w:rPr>
          <w:color w:val="auto"/>
          <w:szCs w:val="21"/>
          <w:highlight w:val="none"/>
        </w:rPr>
        <w:t>经营期限：</w:t>
      </w:r>
      <w:r>
        <w:rPr>
          <w:rFonts w:hint="eastAsia"/>
          <w:color w:val="auto"/>
          <w:szCs w:val="21"/>
          <w:highlight w:val="none"/>
          <w:u w:val="single"/>
        </w:rPr>
        <w:t xml:space="preserve">                                      </w:t>
      </w:r>
    </w:p>
    <w:p>
      <w:pPr>
        <w:spacing w:line="560" w:lineRule="exact"/>
        <w:ind w:firstLine="525" w:firstLineChars="250"/>
        <w:rPr>
          <w:color w:val="auto"/>
          <w:szCs w:val="21"/>
          <w:highlight w:val="none"/>
        </w:rPr>
      </w:pPr>
      <w:r>
        <w:rPr>
          <w:color w:val="auto"/>
          <w:szCs w:val="21"/>
          <w:highlight w:val="none"/>
        </w:rPr>
        <w:t>姓名：</w:t>
      </w:r>
      <w:r>
        <w:rPr>
          <w:rFonts w:hint="eastAsia"/>
          <w:color w:val="auto"/>
          <w:szCs w:val="21"/>
          <w:highlight w:val="none"/>
          <w:u w:val="single"/>
        </w:rPr>
        <w:t xml:space="preserve">            </w:t>
      </w:r>
      <w:r>
        <w:rPr>
          <w:color w:val="auto"/>
          <w:szCs w:val="21"/>
          <w:highlight w:val="none"/>
        </w:rPr>
        <w:t>性别：</w:t>
      </w:r>
      <w:r>
        <w:rPr>
          <w:rFonts w:hint="eastAsia"/>
          <w:color w:val="auto"/>
          <w:szCs w:val="21"/>
          <w:highlight w:val="none"/>
          <w:u w:val="single"/>
        </w:rPr>
        <w:t xml:space="preserve">            </w:t>
      </w:r>
    </w:p>
    <w:p>
      <w:pPr>
        <w:spacing w:line="560" w:lineRule="exact"/>
        <w:ind w:firstLine="525" w:firstLineChars="250"/>
        <w:rPr>
          <w:color w:val="auto"/>
          <w:szCs w:val="21"/>
          <w:highlight w:val="none"/>
        </w:rPr>
      </w:pPr>
      <w:r>
        <w:rPr>
          <w:color w:val="auto"/>
          <w:szCs w:val="21"/>
          <w:highlight w:val="none"/>
        </w:rPr>
        <w:t>年龄：</w:t>
      </w:r>
      <w:r>
        <w:rPr>
          <w:rFonts w:hint="eastAsia"/>
          <w:color w:val="auto"/>
          <w:szCs w:val="21"/>
          <w:highlight w:val="none"/>
          <w:u w:val="single"/>
        </w:rPr>
        <w:t xml:space="preserve">            </w:t>
      </w:r>
      <w:r>
        <w:rPr>
          <w:color w:val="auto"/>
          <w:szCs w:val="21"/>
          <w:highlight w:val="none"/>
        </w:rPr>
        <w:t>职务：</w:t>
      </w:r>
      <w:r>
        <w:rPr>
          <w:rFonts w:hint="eastAsia"/>
          <w:color w:val="auto"/>
          <w:szCs w:val="21"/>
          <w:highlight w:val="none"/>
          <w:u w:val="single"/>
        </w:rPr>
        <w:t xml:space="preserve">            </w:t>
      </w:r>
    </w:p>
    <w:p>
      <w:pPr>
        <w:spacing w:line="560" w:lineRule="exact"/>
        <w:ind w:firstLine="525" w:firstLineChars="250"/>
        <w:rPr>
          <w:color w:val="auto"/>
          <w:szCs w:val="21"/>
          <w:highlight w:val="none"/>
        </w:rPr>
      </w:pPr>
      <w:r>
        <w:rPr>
          <w:color w:val="auto"/>
          <w:szCs w:val="21"/>
          <w:highlight w:val="none"/>
        </w:rPr>
        <w:t>系</w:t>
      </w:r>
      <w:r>
        <w:rPr>
          <w:color w:val="auto"/>
          <w:szCs w:val="21"/>
          <w:highlight w:val="none"/>
          <w:u w:val="single"/>
        </w:rPr>
        <w:t>（投标人名称）</w:t>
      </w:r>
      <w:r>
        <w:rPr>
          <w:color w:val="auto"/>
          <w:szCs w:val="21"/>
          <w:highlight w:val="none"/>
        </w:rPr>
        <w:t>的法定代表人。</w:t>
      </w:r>
    </w:p>
    <w:p>
      <w:pPr>
        <w:spacing w:line="560" w:lineRule="exact"/>
        <w:ind w:firstLine="525" w:firstLineChars="250"/>
        <w:rPr>
          <w:color w:val="auto"/>
          <w:szCs w:val="21"/>
          <w:highlight w:val="none"/>
        </w:rPr>
      </w:pPr>
      <w:r>
        <w:rPr>
          <w:color w:val="auto"/>
          <w:szCs w:val="21"/>
          <w:highlight w:val="none"/>
        </w:rPr>
        <w:t>特此证明。</w:t>
      </w:r>
    </w:p>
    <w:p>
      <w:pPr>
        <w:spacing w:line="500" w:lineRule="exact"/>
        <w:rPr>
          <w:color w:val="auto"/>
          <w:szCs w:val="21"/>
          <w:highlight w:val="none"/>
        </w:rPr>
      </w:pPr>
    </w:p>
    <w:p>
      <w:pPr>
        <w:spacing w:line="500" w:lineRule="exact"/>
        <w:rPr>
          <w:color w:val="auto"/>
          <w:szCs w:val="21"/>
          <w:highlight w:val="none"/>
        </w:rPr>
      </w:pPr>
    </w:p>
    <w:p>
      <w:pPr>
        <w:wordWrap w:val="0"/>
        <w:spacing w:line="500" w:lineRule="exact"/>
        <w:jc w:val="center"/>
        <w:rPr>
          <w:color w:val="auto"/>
          <w:szCs w:val="21"/>
          <w:highlight w:val="none"/>
        </w:rPr>
      </w:pPr>
      <w:r>
        <w:rPr>
          <w:rFonts w:hint="eastAsia"/>
          <w:color w:val="auto"/>
          <w:szCs w:val="21"/>
          <w:highlight w:val="none"/>
        </w:rPr>
        <w:t xml:space="preserve">                                      </w:t>
      </w:r>
      <w:r>
        <w:rPr>
          <w:color w:val="auto"/>
          <w:szCs w:val="21"/>
          <w:highlight w:val="none"/>
        </w:rPr>
        <w:t>投标人：</w:t>
      </w:r>
      <w:r>
        <w:rPr>
          <w:rFonts w:hint="eastAsia"/>
          <w:color w:val="auto"/>
          <w:szCs w:val="21"/>
          <w:highlight w:val="none"/>
          <w:u w:val="single"/>
          <w:lang w:val="en-US" w:eastAsia="zh-CN"/>
        </w:rPr>
        <w:t xml:space="preserve">            </w:t>
      </w:r>
      <w:r>
        <w:rPr>
          <w:color w:val="auto"/>
          <w:szCs w:val="21"/>
          <w:highlight w:val="none"/>
          <w:u w:val="none"/>
        </w:rPr>
        <w:t>（盖单位章）</w:t>
      </w:r>
    </w:p>
    <w:p>
      <w:pPr>
        <w:wordWrap w:val="0"/>
        <w:spacing w:before="120" w:beforeLines="50" w:after="240" w:afterLines="100" w:line="440" w:lineRule="exact"/>
        <w:jc w:val="center"/>
        <w:rPr>
          <w:color w:val="auto"/>
          <w:highlight w:val="none"/>
        </w:rPr>
      </w:pPr>
      <w:r>
        <w:rPr>
          <w:rFonts w:hint="eastAsia"/>
          <w:color w:val="auto"/>
          <w:szCs w:val="21"/>
          <w:highlight w:val="none"/>
        </w:rPr>
        <w:t xml:space="preserve">                               </w:t>
      </w:r>
      <w:r>
        <w:rPr>
          <w:rFonts w:hint="eastAsia"/>
          <w:color w:val="auto"/>
          <w:szCs w:val="21"/>
          <w:highlight w:val="none"/>
          <w:u w:val="single"/>
        </w:rPr>
        <w:t xml:space="preserve">       </w:t>
      </w:r>
      <w:r>
        <w:rPr>
          <w:rFonts w:hint="eastAsia"/>
          <w:color w:val="auto"/>
          <w:szCs w:val="21"/>
          <w:highlight w:val="none"/>
        </w:rPr>
        <w:t>年</w:t>
      </w:r>
      <w:r>
        <w:rPr>
          <w:rFonts w:hint="eastAsia"/>
          <w:color w:val="auto"/>
          <w:szCs w:val="21"/>
          <w:highlight w:val="none"/>
          <w:u w:val="single"/>
        </w:rPr>
        <w:t xml:space="preserve">     </w:t>
      </w:r>
      <w:r>
        <w:rPr>
          <w:rFonts w:hint="eastAsia"/>
          <w:color w:val="auto"/>
          <w:szCs w:val="21"/>
          <w:highlight w:val="none"/>
        </w:rPr>
        <w:t>月</w:t>
      </w:r>
      <w:r>
        <w:rPr>
          <w:rFonts w:hint="eastAsia"/>
          <w:color w:val="auto"/>
          <w:szCs w:val="21"/>
          <w:highlight w:val="none"/>
          <w:u w:val="single"/>
        </w:rPr>
        <w:t xml:space="preserve">     </w:t>
      </w:r>
      <w:r>
        <w:rPr>
          <w:rFonts w:hint="eastAsia"/>
          <w:color w:val="auto"/>
          <w:szCs w:val="21"/>
          <w:highlight w:val="none"/>
        </w:rPr>
        <w:t>日</w:t>
      </w:r>
    </w:p>
    <w:p>
      <w:pPr>
        <w:spacing w:line="480" w:lineRule="auto"/>
        <w:ind w:firstLine="525" w:firstLineChars="250"/>
        <w:jc w:val="center"/>
        <w:rPr>
          <w:color w:val="auto"/>
          <w:szCs w:val="21"/>
          <w:highlight w:val="none"/>
        </w:rPr>
      </w:pPr>
    </w:p>
    <w:p>
      <w:pPr>
        <w:spacing w:line="480" w:lineRule="auto"/>
        <w:jc w:val="center"/>
        <w:rPr>
          <w:b/>
          <w:color w:val="auto"/>
          <w:sz w:val="28"/>
          <w:szCs w:val="28"/>
          <w:highlight w:val="none"/>
        </w:rPr>
      </w:pPr>
    </w:p>
    <w:p>
      <w:pPr>
        <w:spacing w:line="480" w:lineRule="auto"/>
        <w:jc w:val="center"/>
        <w:rPr>
          <w:b/>
          <w:color w:val="auto"/>
          <w:sz w:val="28"/>
          <w:szCs w:val="28"/>
          <w:highlight w:val="none"/>
        </w:rPr>
      </w:pPr>
    </w:p>
    <w:p>
      <w:pPr>
        <w:spacing w:line="480" w:lineRule="auto"/>
        <w:jc w:val="center"/>
        <w:rPr>
          <w:b/>
          <w:color w:val="auto"/>
          <w:sz w:val="28"/>
          <w:szCs w:val="28"/>
          <w:highlight w:val="none"/>
        </w:rPr>
      </w:pPr>
    </w:p>
    <w:p>
      <w:pPr>
        <w:spacing w:line="480" w:lineRule="auto"/>
        <w:jc w:val="center"/>
        <w:rPr>
          <w:b/>
          <w:color w:val="auto"/>
          <w:sz w:val="28"/>
          <w:szCs w:val="28"/>
          <w:highlight w:val="none"/>
        </w:rPr>
      </w:pPr>
    </w:p>
    <w:p>
      <w:pPr>
        <w:spacing w:line="480" w:lineRule="auto"/>
        <w:jc w:val="center"/>
        <w:rPr>
          <w:b/>
          <w:color w:val="auto"/>
          <w:sz w:val="28"/>
          <w:szCs w:val="28"/>
          <w:highlight w:val="none"/>
        </w:rPr>
      </w:pPr>
    </w:p>
    <w:p>
      <w:pPr>
        <w:spacing w:line="480" w:lineRule="auto"/>
        <w:rPr>
          <w:b/>
          <w:color w:val="auto"/>
          <w:sz w:val="28"/>
          <w:szCs w:val="28"/>
          <w:highlight w:val="none"/>
        </w:rPr>
      </w:pPr>
    </w:p>
    <w:p>
      <w:pPr>
        <w:spacing w:line="480" w:lineRule="auto"/>
        <w:jc w:val="center"/>
        <w:rPr>
          <w:b/>
          <w:color w:val="auto"/>
          <w:sz w:val="28"/>
          <w:highlight w:val="none"/>
        </w:rPr>
      </w:pPr>
      <w:r>
        <w:rPr>
          <w:b/>
          <w:color w:val="auto"/>
          <w:sz w:val="28"/>
          <w:szCs w:val="28"/>
          <w:highlight w:val="none"/>
        </w:rPr>
        <w:br w:type="page"/>
      </w:r>
    </w:p>
    <w:p>
      <w:pPr>
        <w:spacing w:line="360" w:lineRule="auto"/>
        <w:ind w:right="1260" w:firstLine="3990" w:firstLineChars="1900"/>
        <w:rPr>
          <w:color w:val="auto"/>
          <w:highlight w:val="none"/>
        </w:rPr>
      </w:pPr>
    </w:p>
    <w:p>
      <w:pPr>
        <w:pStyle w:val="6"/>
        <w:jc w:val="center"/>
        <w:rPr>
          <w:rFonts w:ascii="黑体" w:hAnsi="黑体" w:eastAsia="黑体" w:cs="黑体"/>
          <w:b w:val="0"/>
          <w:color w:val="auto"/>
          <w:sz w:val="32"/>
          <w:highlight w:val="none"/>
        </w:rPr>
      </w:pPr>
      <w:bookmarkStart w:id="917" w:name="_Toc6394"/>
      <w:bookmarkStart w:id="918" w:name="_Toc748"/>
      <w:bookmarkStart w:id="919" w:name="_Toc22059"/>
      <w:bookmarkStart w:id="920" w:name="_Toc20044"/>
      <w:bookmarkStart w:id="921" w:name="_Toc27540"/>
      <w:bookmarkStart w:id="922" w:name="_Toc22566"/>
      <w:r>
        <w:rPr>
          <w:rFonts w:hint="eastAsia" w:ascii="黑体" w:hAnsi="黑体" w:eastAsia="黑体" w:cs="黑体"/>
          <w:b w:val="0"/>
          <w:color w:val="auto"/>
          <w:sz w:val="32"/>
          <w:highlight w:val="none"/>
        </w:rPr>
        <w:t>三、授权委托书</w:t>
      </w:r>
      <w:bookmarkEnd w:id="917"/>
      <w:bookmarkEnd w:id="918"/>
      <w:bookmarkEnd w:id="919"/>
      <w:bookmarkEnd w:id="920"/>
      <w:bookmarkEnd w:id="921"/>
      <w:bookmarkEnd w:id="922"/>
    </w:p>
    <w:p>
      <w:pPr>
        <w:spacing w:line="440" w:lineRule="exact"/>
        <w:rPr>
          <w:rFonts w:eastAsia="黑体"/>
          <w:color w:val="auto"/>
          <w:szCs w:val="21"/>
          <w:highlight w:val="none"/>
        </w:rPr>
      </w:pPr>
    </w:p>
    <w:p>
      <w:pPr>
        <w:topLinePunct/>
        <w:spacing w:line="440" w:lineRule="exact"/>
        <w:ind w:firstLine="420" w:firstLineChars="200"/>
        <w:rPr>
          <w:color w:val="auto"/>
          <w:szCs w:val="21"/>
          <w:highlight w:val="none"/>
        </w:rPr>
      </w:pPr>
      <w:r>
        <w:rPr>
          <w:rFonts w:hint="eastAsia"/>
          <w:color w:val="auto"/>
          <w:szCs w:val="21"/>
          <w:highlight w:val="none"/>
        </w:rPr>
        <w:t>本人</w:t>
      </w:r>
      <w:r>
        <w:rPr>
          <w:rFonts w:hint="eastAsia"/>
          <w:color w:val="auto"/>
          <w:szCs w:val="21"/>
          <w:highlight w:val="none"/>
          <w:u w:val="single"/>
        </w:rPr>
        <w:t xml:space="preserve">       </w:t>
      </w:r>
      <w:r>
        <w:rPr>
          <w:rFonts w:hint="eastAsia"/>
          <w:color w:val="auto"/>
          <w:szCs w:val="21"/>
          <w:highlight w:val="none"/>
        </w:rPr>
        <w:t>（姓名）系</w:t>
      </w:r>
      <w:r>
        <w:rPr>
          <w:rFonts w:hint="eastAsia"/>
          <w:color w:val="auto"/>
          <w:szCs w:val="21"/>
          <w:highlight w:val="none"/>
          <w:u w:val="single"/>
        </w:rPr>
        <w:t xml:space="preserve">                    </w:t>
      </w:r>
      <w:r>
        <w:rPr>
          <w:rFonts w:hint="eastAsia"/>
          <w:color w:val="auto"/>
          <w:szCs w:val="21"/>
          <w:highlight w:val="none"/>
        </w:rPr>
        <w:t>（投标人名称）的法定代表人，现委托</w:t>
      </w:r>
      <w:r>
        <w:rPr>
          <w:rFonts w:hint="eastAsia"/>
          <w:color w:val="auto"/>
          <w:szCs w:val="21"/>
          <w:highlight w:val="none"/>
          <w:u w:val="single"/>
        </w:rPr>
        <w:t xml:space="preserve">        </w:t>
      </w:r>
      <w:r>
        <w:rPr>
          <w:rFonts w:hint="eastAsia"/>
          <w:color w:val="auto"/>
          <w:szCs w:val="21"/>
          <w:highlight w:val="none"/>
        </w:rPr>
        <w:t>（姓名）为我方代理人。代理人根据授权，以我方名义签署、澄清、说明、补正、递交、撤回、修改</w:t>
      </w:r>
      <w:r>
        <w:rPr>
          <w:rFonts w:hint="eastAsia"/>
          <w:color w:val="auto"/>
          <w:szCs w:val="21"/>
          <w:highlight w:val="none"/>
          <w:u w:val="single"/>
        </w:rPr>
        <w:t xml:space="preserve">                 </w:t>
      </w:r>
      <w:r>
        <w:rPr>
          <w:rFonts w:hint="eastAsia"/>
          <w:color w:val="auto"/>
          <w:szCs w:val="21"/>
          <w:highlight w:val="none"/>
        </w:rPr>
        <w:t>（项目名称）</w:t>
      </w:r>
      <w:r>
        <w:rPr>
          <w:rFonts w:hint="eastAsia"/>
          <w:color w:val="auto"/>
          <w:szCs w:val="21"/>
          <w:highlight w:val="none"/>
          <w:u w:val="single"/>
        </w:rPr>
        <w:t xml:space="preserve">                 </w:t>
      </w:r>
      <w:r>
        <w:rPr>
          <w:rFonts w:hint="eastAsia"/>
          <w:color w:val="auto"/>
          <w:szCs w:val="21"/>
          <w:highlight w:val="none"/>
        </w:rPr>
        <w:t>（标段名称）投标文件、签订合同和处理有关事宜，其法律后果由我方承担。</w:t>
      </w:r>
    </w:p>
    <w:p>
      <w:pPr>
        <w:spacing w:line="440" w:lineRule="exact"/>
        <w:rPr>
          <w:color w:val="auto"/>
          <w:szCs w:val="21"/>
          <w:highlight w:val="none"/>
        </w:rPr>
      </w:pPr>
      <w:r>
        <w:rPr>
          <w:rFonts w:hint="eastAsia"/>
          <w:color w:val="auto"/>
          <w:szCs w:val="21"/>
          <w:highlight w:val="none"/>
        </w:rPr>
        <w:t>委托期限：</w:t>
      </w:r>
      <w:r>
        <w:rPr>
          <w:rFonts w:hint="eastAsia"/>
          <w:color w:val="auto"/>
          <w:szCs w:val="21"/>
          <w:highlight w:val="none"/>
          <w:u w:val="single"/>
        </w:rPr>
        <w:t xml:space="preserve">       </w:t>
      </w:r>
      <w:r>
        <w:rPr>
          <w:rFonts w:hint="eastAsia"/>
          <w:color w:val="auto"/>
          <w:szCs w:val="21"/>
          <w:highlight w:val="none"/>
        </w:rPr>
        <w:t>。</w:t>
      </w:r>
    </w:p>
    <w:p>
      <w:pPr>
        <w:spacing w:line="440" w:lineRule="exact"/>
        <w:ind w:firstLine="420" w:firstLineChars="200"/>
        <w:rPr>
          <w:color w:val="auto"/>
          <w:szCs w:val="21"/>
          <w:highlight w:val="none"/>
        </w:rPr>
      </w:pPr>
      <w:r>
        <w:rPr>
          <w:rFonts w:hint="eastAsia"/>
          <w:color w:val="auto"/>
          <w:szCs w:val="21"/>
          <w:highlight w:val="none"/>
        </w:rPr>
        <w:t>代理人无转委托权。</w:t>
      </w:r>
    </w:p>
    <w:p>
      <w:pPr>
        <w:spacing w:line="440" w:lineRule="exact"/>
        <w:rPr>
          <w:color w:val="auto"/>
          <w:szCs w:val="21"/>
          <w:highlight w:val="none"/>
        </w:rPr>
      </w:pPr>
    </w:p>
    <w:p>
      <w:pPr>
        <w:spacing w:line="440" w:lineRule="exact"/>
        <w:rPr>
          <w:color w:val="auto"/>
          <w:szCs w:val="21"/>
          <w:highlight w:val="none"/>
        </w:rPr>
      </w:pPr>
    </w:p>
    <w:p>
      <w:pPr>
        <w:spacing w:line="360" w:lineRule="auto"/>
        <w:ind w:firstLine="3990" w:firstLineChars="1900"/>
        <w:rPr>
          <w:color w:val="auto"/>
          <w:szCs w:val="21"/>
          <w:highlight w:val="none"/>
        </w:rPr>
      </w:pPr>
      <w:r>
        <w:rPr>
          <w:rFonts w:hint="eastAsia"/>
          <w:color w:val="auto"/>
          <w:szCs w:val="21"/>
          <w:highlight w:val="none"/>
        </w:rPr>
        <w:t>投标人：</w:t>
      </w:r>
      <w:r>
        <w:rPr>
          <w:rFonts w:hint="eastAsia"/>
          <w:color w:val="auto"/>
          <w:szCs w:val="21"/>
          <w:highlight w:val="none"/>
          <w:u w:val="single"/>
        </w:rPr>
        <w:t xml:space="preserve">              </w:t>
      </w:r>
      <w:r>
        <w:rPr>
          <w:rFonts w:hint="eastAsia"/>
          <w:color w:val="auto"/>
          <w:szCs w:val="21"/>
          <w:highlight w:val="none"/>
        </w:rPr>
        <w:t>（盖单位章）</w:t>
      </w:r>
    </w:p>
    <w:p>
      <w:pPr>
        <w:spacing w:line="360" w:lineRule="auto"/>
        <w:ind w:firstLine="3990" w:firstLineChars="1900"/>
        <w:rPr>
          <w:color w:val="auto"/>
          <w:szCs w:val="21"/>
          <w:highlight w:val="none"/>
        </w:rPr>
      </w:pPr>
      <w:r>
        <w:rPr>
          <w:rFonts w:hint="eastAsia"/>
          <w:color w:val="auto"/>
          <w:szCs w:val="21"/>
          <w:highlight w:val="none"/>
        </w:rPr>
        <w:t>法定代表人：</w:t>
      </w:r>
      <w:r>
        <w:rPr>
          <w:rFonts w:hint="eastAsia"/>
          <w:color w:val="auto"/>
          <w:szCs w:val="21"/>
          <w:highlight w:val="none"/>
          <w:u w:val="single"/>
        </w:rPr>
        <w:t xml:space="preserve">           </w:t>
      </w:r>
      <w:r>
        <w:rPr>
          <w:rFonts w:hint="eastAsia"/>
          <w:color w:val="auto"/>
          <w:szCs w:val="21"/>
          <w:highlight w:val="none"/>
        </w:rPr>
        <w:t>（签字或盖章）</w:t>
      </w:r>
    </w:p>
    <w:p>
      <w:pPr>
        <w:spacing w:line="360" w:lineRule="auto"/>
        <w:ind w:firstLine="3990" w:firstLineChars="1900"/>
        <w:rPr>
          <w:color w:val="auto"/>
          <w:szCs w:val="21"/>
          <w:highlight w:val="none"/>
        </w:rPr>
      </w:pPr>
      <w:r>
        <w:rPr>
          <w:rFonts w:hint="eastAsia"/>
          <w:color w:val="auto"/>
          <w:szCs w:val="21"/>
          <w:highlight w:val="none"/>
        </w:rPr>
        <w:t>身份证号码：</w:t>
      </w:r>
      <w:r>
        <w:rPr>
          <w:rFonts w:hint="eastAsia"/>
          <w:color w:val="auto"/>
          <w:szCs w:val="21"/>
          <w:highlight w:val="none"/>
          <w:u w:val="single"/>
        </w:rPr>
        <w:t xml:space="preserve">               </w:t>
      </w:r>
    </w:p>
    <w:p>
      <w:pPr>
        <w:spacing w:line="360" w:lineRule="auto"/>
        <w:ind w:firstLine="3990" w:firstLineChars="1900"/>
        <w:rPr>
          <w:color w:val="auto"/>
          <w:szCs w:val="21"/>
          <w:highlight w:val="none"/>
        </w:rPr>
      </w:pPr>
      <w:r>
        <w:rPr>
          <w:rFonts w:hint="eastAsia"/>
          <w:color w:val="auto"/>
          <w:szCs w:val="21"/>
          <w:highlight w:val="none"/>
        </w:rPr>
        <w:t>委托代理人：</w:t>
      </w:r>
      <w:r>
        <w:rPr>
          <w:rFonts w:hint="eastAsia"/>
          <w:color w:val="auto"/>
          <w:szCs w:val="21"/>
          <w:highlight w:val="none"/>
          <w:u w:val="single"/>
        </w:rPr>
        <w:t xml:space="preserve">              </w:t>
      </w:r>
    </w:p>
    <w:p>
      <w:pPr>
        <w:spacing w:line="360" w:lineRule="auto"/>
        <w:ind w:firstLine="3990" w:firstLineChars="1900"/>
        <w:rPr>
          <w:color w:val="auto"/>
          <w:szCs w:val="21"/>
          <w:highlight w:val="none"/>
        </w:rPr>
      </w:pPr>
      <w:r>
        <w:rPr>
          <w:rFonts w:hint="eastAsia"/>
          <w:color w:val="auto"/>
          <w:szCs w:val="21"/>
          <w:highlight w:val="none"/>
        </w:rPr>
        <w:t>联系电话：</w:t>
      </w:r>
      <w:r>
        <w:rPr>
          <w:rFonts w:hint="eastAsia"/>
          <w:color w:val="auto"/>
          <w:szCs w:val="21"/>
          <w:highlight w:val="none"/>
          <w:u w:val="single"/>
        </w:rPr>
        <w:t xml:space="preserve">               </w:t>
      </w:r>
    </w:p>
    <w:p>
      <w:pPr>
        <w:spacing w:line="360" w:lineRule="auto"/>
        <w:ind w:firstLine="3990" w:firstLineChars="1900"/>
        <w:rPr>
          <w:color w:val="auto"/>
          <w:szCs w:val="21"/>
          <w:highlight w:val="none"/>
          <w:u w:val="single"/>
        </w:rPr>
      </w:pPr>
      <w:r>
        <w:rPr>
          <w:rFonts w:hint="eastAsia"/>
          <w:color w:val="auto"/>
          <w:szCs w:val="21"/>
          <w:highlight w:val="none"/>
        </w:rPr>
        <w:t>身份证号码：</w:t>
      </w:r>
      <w:r>
        <w:rPr>
          <w:rFonts w:hint="eastAsia"/>
          <w:color w:val="auto"/>
          <w:szCs w:val="21"/>
          <w:highlight w:val="none"/>
          <w:u w:val="single"/>
        </w:rPr>
        <w:t xml:space="preserve">             </w:t>
      </w:r>
    </w:p>
    <w:p>
      <w:pPr>
        <w:wordWrap w:val="0"/>
        <w:spacing w:before="120" w:beforeLines="50" w:after="240" w:afterLines="100" w:line="360" w:lineRule="auto"/>
        <w:ind w:firstLine="4200" w:firstLineChars="2000"/>
        <w:rPr>
          <w:color w:val="auto"/>
          <w:highlight w:val="none"/>
        </w:rPr>
      </w:pPr>
      <w:r>
        <w:rPr>
          <w:rFonts w:hint="eastAsia"/>
          <w:color w:val="auto"/>
          <w:szCs w:val="21"/>
          <w:highlight w:val="none"/>
          <w:u w:val="single"/>
        </w:rPr>
        <w:t xml:space="preserve">      </w:t>
      </w:r>
      <w:r>
        <w:rPr>
          <w:rFonts w:hint="eastAsia"/>
          <w:color w:val="auto"/>
          <w:szCs w:val="21"/>
          <w:highlight w:val="none"/>
        </w:rPr>
        <w:t>年</w:t>
      </w:r>
      <w:r>
        <w:rPr>
          <w:rFonts w:hint="eastAsia"/>
          <w:color w:val="auto"/>
          <w:szCs w:val="21"/>
          <w:highlight w:val="none"/>
          <w:u w:val="single"/>
        </w:rPr>
        <w:t xml:space="preserve">    </w:t>
      </w:r>
      <w:r>
        <w:rPr>
          <w:rFonts w:hint="eastAsia"/>
          <w:color w:val="auto"/>
          <w:szCs w:val="21"/>
          <w:highlight w:val="none"/>
        </w:rPr>
        <w:t>月</w:t>
      </w:r>
      <w:r>
        <w:rPr>
          <w:rFonts w:hint="eastAsia"/>
          <w:color w:val="auto"/>
          <w:szCs w:val="21"/>
          <w:highlight w:val="none"/>
          <w:u w:val="single"/>
        </w:rPr>
        <w:t xml:space="preserve">    </w:t>
      </w:r>
      <w:r>
        <w:rPr>
          <w:rFonts w:hint="eastAsia"/>
          <w:color w:val="auto"/>
          <w:szCs w:val="21"/>
          <w:highlight w:val="none"/>
        </w:rPr>
        <w:t>日</w:t>
      </w:r>
    </w:p>
    <w:p>
      <w:pPr>
        <w:widowControl/>
        <w:jc w:val="left"/>
        <w:rPr>
          <w:color w:val="auto"/>
          <w:highlight w:val="none"/>
        </w:rPr>
      </w:pPr>
      <w:r>
        <w:rPr>
          <w:color w:val="auto"/>
          <w:highlight w:val="none"/>
        </w:rPr>
        <w:br w:type="page"/>
      </w:r>
    </w:p>
    <w:p>
      <w:pPr>
        <w:jc w:val="center"/>
        <w:rPr>
          <w:rFonts w:ascii="黑体" w:hAnsi="宋体"/>
          <w:color w:val="auto"/>
          <w:sz w:val="28"/>
          <w:highlight w:val="none"/>
        </w:rPr>
      </w:pPr>
    </w:p>
    <w:p>
      <w:pPr>
        <w:pStyle w:val="6"/>
        <w:jc w:val="center"/>
        <w:rPr>
          <w:rFonts w:ascii="黑体" w:hAnsi="黑体" w:eastAsia="黑体" w:cs="黑体"/>
          <w:b w:val="0"/>
          <w:bCs w:val="0"/>
          <w:color w:val="auto"/>
          <w:sz w:val="32"/>
          <w:highlight w:val="none"/>
        </w:rPr>
      </w:pPr>
      <w:bookmarkStart w:id="923" w:name="_Toc22511"/>
      <w:bookmarkStart w:id="924" w:name="_Toc4282"/>
      <w:bookmarkStart w:id="925" w:name="_Toc1592"/>
      <w:bookmarkStart w:id="926" w:name="_Toc4731"/>
      <w:bookmarkStart w:id="927" w:name="_Toc31797"/>
      <w:bookmarkStart w:id="928" w:name="_Toc13283"/>
      <w:r>
        <w:rPr>
          <w:rFonts w:hint="eastAsia" w:ascii="黑体" w:hAnsi="黑体" w:eastAsia="黑体" w:cs="黑体"/>
          <w:b w:val="0"/>
          <w:bCs w:val="0"/>
          <w:color w:val="auto"/>
          <w:sz w:val="32"/>
          <w:highlight w:val="none"/>
        </w:rPr>
        <w:t>四、联合体协议书</w:t>
      </w:r>
      <w:bookmarkEnd w:id="923"/>
      <w:bookmarkEnd w:id="924"/>
      <w:bookmarkEnd w:id="925"/>
      <w:bookmarkEnd w:id="926"/>
      <w:bookmarkEnd w:id="927"/>
      <w:bookmarkEnd w:id="928"/>
    </w:p>
    <w:p>
      <w:pPr>
        <w:jc w:val="center"/>
        <w:rPr>
          <w:color w:val="auto"/>
          <w:sz w:val="30"/>
          <w:szCs w:val="30"/>
          <w:highlight w:val="none"/>
        </w:rPr>
      </w:pP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（所有成员单位名称）自愿组成</w:t>
      </w:r>
      <w:r>
        <w:rPr>
          <w:rFonts w:hint="eastAsia" w:ascii="宋体" w:hAnsi="宋体" w:cs="宋体"/>
          <w:color w:val="auto"/>
          <w:szCs w:val="21"/>
          <w:highlight w:val="none"/>
          <w:u w:val="single"/>
        </w:rPr>
        <w:t>（联合体名称）</w:t>
      </w:r>
      <w:r>
        <w:rPr>
          <w:rFonts w:hint="eastAsia" w:ascii="宋体" w:hAnsi="宋体" w:cs="宋体"/>
          <w:color w:val="auto"/>
          <w:szCs w:val="21"/>
          <w:highlight w:val="none"/>
        </w:rPr>
        <w:t>联合体，共同参加</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（项目名称）工程总承包投标。现就联合体投标事宜订立如下协议。</w:t>
      </w: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（某成员单位名称）为</w:t>
      </w:r>
      <w:r>
        <w:rPr>
          <w:rFonts w:hint="eastAsia" w:ascii="宋体" w:hAnsi="宋体" w:cs="宋体"/>
          <w:color w:val="auto"/>
          <w:szCs w:val="21"/>
          <w:highlight w:val="none"/>
          <w:u w:val="single"/>
        </w:rPr>
        <w:t>（联合体名称）</w:t>
      </w:r>
      <w:r>
        <w:rPr>
          <w:rFonts w:hint="eastAsia" w:ascii="宋体" w:hAnsi="宋体" w:cs="宋体"/>
          <w:color w:val="auto"/>
          <w:szCs w:val="21"/>
          <w:highlight w:val="none"/>
        </w:rPr>
        <w:t>牵头人。</w:t>
      </w: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2、联合体牵头人合法代表联合体各成员负责本招标项目投标文件编制和合同谈判活动，并代表联合体提交和接收相关的资料、信息及指示，并处理与之有关的一切事务，负责合同实施阶段的主办、组织和协调工作。</w:t>
      </w: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3、联合体将严格按照招标文件的各项要求，</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投标文件，履行合同，并对外承担连带责任。</w:t>
      </w: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4、联合体各成员单位内部的职责分工如下：</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 。</w:t>
      </w: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5、本协议书自签署之日起生效，合同履行完毕后自动失效。 </w:t>
      </w: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6、本协议书一式</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份，联合体成员和招标人各执一份。</w:t>
      </w:r>
    </w:p>
    <w:p>
      <w:pPr>
        <w:topLinePunct/>
        <w:spacing w:line="440" w:lineRule="exact"/>
        <w:rPr>
          <w:rFonts w:ascii="宋体" w:hAnsi="宋体" w:cs="宋体"/>
          <w:color w:val="auto"/>
          <w:szCs w:val="21"/>
          <w:highlight w:val="none"/>
        </w:rPr>
      </w:pPr>
    </w:p>
    <w:p>
      <w:pPr>
        <w:topLinePunct/>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注：本协议书由委托代理人签字的，应附法定代表人签字的授权委托书。</w:t>
      </w:r>
    </w:p>
    <w:p>
      <w:pPr>
        <w:topLinePunct/>
        <w:spacing w:line="440" w:lineRule="exact"/>
        <w:rPr>
          <w:rFonts w:ascii="宋体" w:hAnsi="宋体" w:cs="宋体"/>
          <w:color w:val="auto"/>
          <w:szCs w:val="21"/>
          <w:highlight w:val="none"/>
        </w:rPr>
      </w:pPr>
    </w:p>
    <w:p>
      <w:pPr>
        <w:topLinePunct/>
        <w:spacing w:line="440" w:lineRule="exact"/>
        <w:ind w:firstLine="420" w:firstLineChars="200"/>
        <w:jc w:val="right"/>
        <w:rPr>
          <w:rFonts w:ascii="宋体" w:hAnsi="宋体" w:cs="宋体"/>
          <w:color w:val="auto"/>
          <w:szCs w:val="21"/>
          <w:highlight w:val="none"/>
        </w:rPr>
      </w:pPr>
      <w:r>
        <w:rPr>
          <w:rFonts w:hint="eastAsia" w:ascii="宋体" w:hAnsi="宋体" w:cs="宋体"/>
          <w:color w:val="auto"/>
          <w:szCs w:val="21"/>
          <w:highlight w:val="none"/>
        </w:rPr>
        <w:t>牵头人名称：</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（盖单位章）</w:t>
      </w:r>
    </w:p>
    <w:p>
      <w:pPr>
        <w:topLinePunct/>
        <w:spacing w:line="440" w:lineRule="exact"/>
        <w:ind w:firstLine="420" w:firstLineChars="200"/>
        <w:jc w:val="right"/>
        <w:rPr>
          <w:rFonts w:ascii="宋体" w:hAnsi="宋体" w:cs="宋体"/>
          <w:color w:val="auto"/>
          <w:szCs w:val="21"/>
          <w:highlight w:val="none"/>
        </w:rPr>
      </w:pPr>
      <w:r>
        <w:rPr>
          <w:rFonts w:hint="eastAsia" w:ascii="宋体" w:hAnsi="宋体" w:cs="宋体"/>
          <w:color w:val="auto"/>
          <w:szCs w:val="21"/>
          <w:highlight w:val="none"/>
        </w:rPr>
        <w:t>法定代表人或其委托代理人：</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（签字）</w:t>
      </w:r>
    </w:p>
    <w:p>
      <w:pPr>
        <w:topLinePunct/>
        <w:spacing w:line="440" w:lineRule="exact"/>
        <w:jc w:val="right"/>
        <w:rPr>
          <w:rFonts w:ascii="宋体" w:hAnsi="宋体" w:cs="宋体"/>
          <w:color w:val="auto"/>
          <w:szCs w:val="21"/>
          <w:highlight w:val="none"/>
        </w:rPr>
      </w:pPr>
    </w:p>
    <w:p>
      <w:pPr>
        <w:topLinePunct/>
        <w:spacing w:line="440" w:lineRule="exact"/>
        <w:ind w:firstLine="420" w:firstLineChars="200"/>
        <w:jc w:val="right"/>
        <w:rPr>
          <w:rFonts w:ascii="宋体" w:hAnsi="宋体" w:cs="宋体"/>
          <w:color w:val="auto"/>
          <w:szCs w:val="21"/>
          <w:highlight w:val="none"/>
        </w:rPr>
      </w:pPr>
      <w:r>
        <w:rPr>
          <w:rFonts w:hint="eastAsia" w:ascii="宋体" w:hAnsi="宋体" w:cs="宋体"/>
          <w:color w:val="auto"/>
          <w:szCs w:val="21"/>
          <w:highlight w:val="none"/>
        </w:rPr>
        <w:t>成员一名称：</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（盖单位章）</w:t>
      </w:r>
    </w:p>
    <w:p>
      <w:pPr>
        <w:topLinePunct/>
        <w:spacing w:line="440" w:lineRule="exact"/>
        <w:ind w:firstLine="420" w:firstLineChars="200"/>
        <w:jc w:val="right"/>
        <w:rPr>
          <w:rFonts w:ascii="宋体" w:hAnsi="宋体" w:cs="宋体"/>
          <w:color w:val="auto"/>
          <w:szCs w:val="21"/>
          <w:highlight w:val="none"/>
        </w:rPr>
      </w:pPr>
      <w:r>
        <w:rPr>
          <w:rFonts w:hint="eastAsia" w:ascii="宋体" w:hAnsi="宋体" w:cs="宋体"/>
          <w:color w:val="auto"/>
          <w:szCs w:val="21"/>
          <w:highlight w:val="none"/>
        </w:rPr>
        <w:t>法定代表人或其委托代理人：</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（签字）</w:t>
      </w:r>
    </w:p>
    <w:p>
      <w:pPr>
        <w:topLinePunct/>
        <w:spacing w:line="440" w:lineRule="exact"/>
        <w:jc w:val="right"/>
        <w:rPr>
          <w:rFonts w:ascii="宋体" w:hAnsi="宋体" w:cs="宋体"/>
          <w:color w:val="auto"/>
          <w:szCs w:val="21"/>
          <w:highlight w:val="none"/>
        </w:rPr>
      </w:pPr>
      <w:r>
        <w:rPr>
          <w:rFonts w:hint="eastAsia" w:ascii="宋体" w:hAnsi="宋体" w:cs="宋体"/>
          <w:color w:val="auto"/>
          <w:szCs w:val="21"/>
          <w:highlight w:val="none"/>
        </w:rPr>
        <w:t xml:space="preserve"> </w:t>
      </w:r>
    </w:p>
    <w:p>
      <w:pPr>
        <w:topLinePunct/>
        <w:spacing w:line="440" w:lineRule="exact"/>
        <w:ind w:firstLine="315" w:firstLineChars="150"/>
        <w:jc w:val="right"/>
        <w:rPr>
          <w:rFonts w:ascii="宋体" w:hAnsi="宋体" w:cs="宋体"/>
          <w:color w:val="auto"/>
          <w:szCs w:val="21"/>
          <w:highlight w:val="none"/>
        </w:rPr>
      </w:pPr>
      <w:r>
        <w:rPr>
          <w:rFonts w:hint="eastAsia" w:ascii="宋体" w:hAnsi="宋体" w:cs="宋体"/>
          <w:color w:val="auto"/>
          <w:szCs w:val="21"/>
          <w:highlight w:val="none"/>
        </w:rPr>
        <w:t>成员二名称：</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（盖单位章）</w:t>
      </w:r>
    </w:p>
    <w:p>
      <w:pPr>
        <w:topLinePunct/>
        <w:spacing w:line="440" w:lineRule="exact"/>
        <w:ind w:firstLine="315" w:firstLineChars="150"/>
        <w:jc w:val="right"/>
        <w:rPr>
          <w:rFonts w:ascii="宋体" w:hAnsi="宋体" w:cs="宋体"/>
          <w:color w:val="auto"/>
          <w:szCs w:val="21"/>
          <w:highlight w:val="none"/>
        </w:rPr>
      </w:pPr>
      <w:r>
        <w:rPr>
          <w:rFonts w:hint="eastAsia" w:ascii="宋体" w:hAnsi="宋体" w:cs="宋体"/>
          <w:color w:val="auto"/>
          <w:szCs w:val="21"/>
          <w:highlight w:val="none"/>
        </w:rPr>
        <w:t>法定代表人或其委托代理人：</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（签字）</w:t>
      </w:r>
    </w:p>
    <w:p>
      <w:pPr>
        <w:topLinePunct/>
        <w:spacing w:line="440" w:lineRule="exact"/>
        <w:jc w:val="right"/>
        <w:rPr>
          <w:rFonts w:ascii="宋体" w:hAnsi="宋体" w:cs="宋体"/>
          <w:color w:val="auto"/>
          <w:szCs w:val="21"/>
          <w:highlight w:val="none"/>
        </w:rPr>
      </w:pPr>
      <w:r>
        <w:rPr>
          <w:rFonts w:hint="eastAsia" w:ascii="宋体" w:hAnsi="宋体" w:cs="宋体"/>
          <w:color w:val="auto"/>
          <w:szCs w:val="21"/>
          <w:highlight w:val="none"/>
        </w:rPr>
        <w:t xml:space="preserve">…… </w:t>
      </w:r>
    </w:p>
    <w:p>
      <w:pPr>
        <w:topLinePunct/>
        <w:spacing w:line="440" w:lineRule="exact"/>
        <w:jc w:val="right"/>
        <w:rPr>
          <w:rFonts w:ascii="宋体" w:hAnsi="宋体" w:cs="宋体"/>
          <w:color w:val="auto"/>
          <w:szCs w:val="21"/>
          <w:highlight w:val="none"/>
        </w:rPr>
      </w:pPr>
    </w:p>
    <w:p>
      <w:pPr>
        <w:ind w:firstLine="2879" w:firstLineChars="1371"/>
        <w:jc w:val="right"/>
        <w:rPr>
          <w:rFonts w:ascii="宋体" w:hAnsi="宋体" w:cs="宋体"/>
          <w:color w:val="auto"/>
          <w:highlight w:val="none"/>
        </w:rPr>
      </w:pPr>
      <w:r>
        <w:rPr>
          <w:rFonts w:hint="eastAsia" w:ascii="宋体" w:hAnsi="宋体" w:cs="宋体"/>
          <w:color w:val="auto"/>
          <w:highlight w:val="none"/>
          <w:u w:val="single"/>
        </w:rPr>
        <w:t xml:space="preserve">        </w:t>
      </w:r>
      <w:r>
        <w:rPr>
          <w:rFonts w:hint="eastAsia" w:ascii="宋体" w:hAnsi="宋体" w:cs="宋体"/>
          <w:color w:val="auto"/>
          <w:highlight w:val="none"/>
        </w:rPr>
        <w:t>年</w:t>
      </w:r>
      <w:r>
        <w:rPr>
          <w:rFonts w:hint="eastAsia" w:ascii="宋体" w:hAnsi="宋体" w:cs="宋体"/>
          <w:color w:val="auto"/>
          <w:highlight w:val="none"/>
          <w:u w:val="single"/>
        </w:rPr>
        <w:t xml:space="preserve">       </w:t>
      </w:r>
      <w:r>
        <w:rPr>
          <w:rFonts w:hint="eastAsia" w:ascii="宋体" w:hAnsi="宋体" w:cs="宋体"/>
          <w:color w:val="auto"/>
          <w:highlight w:val="none"/>
        </w:rPr>
        <w:t>月</w:t>
      </w:r>
      <w:r>
        <w:rPr>
          <w:rFonts w:hint="eastAsia" w:ascii="宋体" w:hAnsi="宋体" w:cs="宋体"/>
          <w:color w:val="auto"/>
          <w:highlight w:val="none"/>
          <w:u w:val="single"/>
        </w:rPr>
        <w:t xml:space="preserve">       </w:t>
      </w:r>
      <w:r>
        <w:rPr>
          <w:rFonts w:hint="eastAsia" w:ascii="宋体" w:hAnsi="宋体" w:cs="宋体"/>
          <w:color w:val="auto"/>
          <w:highlight w:val="none"/>
        </w:rPr>
        <w:t>日</w:t>
      </w:r>
    </w:p>
    <w:p>
      <w:pPr>
        <w:ind w:firstLine="2879" w:firstLineChars="1371"/>
        <w:rPr>
          <w:color w:val="auto"/>
          <w:highlight w:val="none"/>
        </w:rPr>
      </w:pPr>
      <w:r>
        <w:rPr>
          <w:rFonts w:hint="eastAsia"/>
          <w:color w:val="auto"/>
          <w:highlight w:val="none"/>
        </w:rPr>
        <w:br w:type="page"/>
      </w:r>
    </w:p>
    <w:p>
      <w:pPr>
        <w:pStyle w:val="6"/>
        <w:jc w:val="center"/>
        <w:rPr>
          <w:rFonts w:ascii="黑体" w:hAnsi="黑体" w:eastAsia="黑体" w:cs="黑体"/>
          <w:b w:val="0"/>
          <w:bCs w:val="0"/>
          <w:color w:val="auto"/>
          <w:sz w:val="32"/>
          <w:highlight w:val="none"/>
        </w:rPr>
      </w:pPr>
      <w:bookmarkStart w:id="929" w:name="_Toc4156"/>
      <w:bookmarkStart w:id="930" w:name="_Toc4333"/>
      <w:bookmarkStart w:id="931" w:name="_Toc14397"/>
      <w:bookmarkStart w:id="932" w:name="_Toc6427"/>
      <w:bookmarkStart w:id="933" w:name="_Toc8268"/>
      <w:bookmarkStart w:id="934" w:name="_Toc14974"/>
      <w:r>
        <w:rPr>
          <w:rFonts w:hint="eastAsia" w:ascii="黑体" w:hAnsi="黑体" w:eastAsia="黑体" w:cs="黑体"/>
          <w:b w:val="0"/>
          <w:bCs w:val="0"/>
          <w:color w:val="auto"/>
          <w:sz w:val="32"/>
          <w:highlight w:val="none"/>
        </w:rPr>
        <w:t>五、投标保证金</w:t>
      </w:r>
      <w:bookmarkEnd w:id="929"/>
      <w:bookmarkEnd w:id="930"/>
      <w:bookmarkEnd w:id="931"/>
      <w:bookmarkEnd w:id="932"/>
      <w:bookmarkEnd w:id="933"/>
      <w:bookmarkEnd w:id="934"/>
    </w:p>
    <w:p>
      <w:pPr>
        <w:spacing w:line="332" w:lineRule="auto"/>
        <w:rPr>
          <w:rFonts w:ascii="宋体" w:hAnsi="宋体" w:cs="宋体"/>
          <w:color w:val="auto"/>
          <w:szCs w:val="23"/>
          <w:highlight w:val="none"/>
        </w:rPr>
      </w:pPr>
      <w:r>
        <w:rPr>
          <w:rFonts w:hint="eastAsia" w:ascii="宋体" w:hAnsi="宋体" w:cs="宋体"/>
          <w:color w:val="auto"/>
          <w:szCs w:val="23"/>
          <w:highlight w:val="none"/>
        </w:rPr>
        <w:t>注：投标保证金应符合以下规定：</w:t>
      </w:r>
    </w:p>
    <w:p>
      <w:pPr>
        <w:numPr>
          <w:ilvl w:val="0"/>
          <w:numId w:val="13"/>
        </w:numPr>
        <w:spacing w:line="332" w:lineRule="auto"/>
        <w:rPr>
          <w:rFonts w:ascii="宋体" w:hAnsi="宋体" w:cs="宋体"/>
          <w:color w:val="auto"/>
          <w:szCs w:val="23"/>
          <w:highlight w:val="none"/>
        </w:rPr>
      </w:pPr>
      <w:r>
        <w:rPr>
          <w:rFonts w:hint="eastAsia" w:ascii="宋体" w:hAnsi="宋体" w:cs="宋体"/>
          <w:color w:val="auto"/>
          <w:szCs w:val="23"/>
          <w:highlight w:val="none"/>
        </w:rPr>
        <w:t>如采用保函，投标人需将保函</w:t>
      </w:r>
      <w:r>
        <w:rPr>
          <w:rFonts w:hint="eastAsia" w:ascii="宋体" w:hAnsi="宋体" w:cs="宋体"/>
          <w:color w:val="auto"/>
          <w:szCs w:val="21"/>
          <w:highlight w:val="none"/>
        </w:rPr>
        <w:t>电子扫描件</w:t>
      </w:r>
      <w:r>
        <w:rPr>
          <w:rFonts w:hint="eastAsia" w:ascii="宋体" w:hAnsi="宋体" w:cs="宋体"/>
          <w:color w:val="auto"/>
          <w:szCs w:val="23"/>
          <w:highlight w:val="none"/>
        </w:rPr>
        <w:t>附加在本页，</w:t>
      </w:r>
      <w:r>
        <w:rPr>
          <w:rFonts w:hint="eastAsia" w:ascii="宋体" w:hAnsi="宋体" w:cs="宋体"/>
          <w:color w:val="auto"/>
          <w:szCs w:val="21"/>
          <w:highlight w:val="none"/>
        </w:rPr>
        <w:t>按照《住房和城乡建设部关于印发工程保函示范文本的通知》（建市〔2021〕11号）中明确的格式</w:t>
      </w:r>
      <w:r>
        <w:rPr>
          <w:rFonts w:hint="eastAsia" w:ascii="宋体" w:hAnsi="宋体" w:cs="宋体"/>
          <w:color w:val="auto"/>
          <w:szCs w:val="21"/>
          <w:highlight w:val="none"/>
          <w:lang w:eastAsia="zh-CN"/>
        </w:rPr>
        <w:t>提交</w:t>
      </w:r>
      <w:r>
        <w:rPr>
          <w:rFonts w:hint="eastAsia" w:ascii="宋体" w:hAnsi="宋体" w:cs="宋体"/>
          <w:color w:val="auto"/>
          <w:szCs w:val="21"/>
          <w:highlight w:val="none"/>
        </w:rPr>
        <w:t>；</w:t>
      </w:r>
    </w:p>
    <w:p>
      <w:pPr>
        <w:numPr>
          <w:ilvl w:val="0"/>
          <w:numId w:val="13"/>
        </w:numPr>
        <w:spacing w:line="332" w:lineRule="auto"/>
        <w:rPr>
          <w:rFonts w:ascii="宋体" w:hAnsi="宋体" w:cs="宋体"/>
          <w:color w:val="auto"/>
          <w:szCs w:val="23"/>
          <w:highlight w:val="none"/>
        </w:rPr>
      </w:pPr>
      <w:r>
        <w:rPr>
          <w:rFonts w:hint="eastAsia" w:ascii="宋体" w:hAnsi="宋体" w:cs="宋体"/>
          <w:color w:val="auto"/>
          <w:szCs w:val="23"/>
          <w:highlight w:val="none"/>
        </w:rPr>
        <w:t>如采用电汇或网上银行支付的，投标人需将支付凭证</w:t>
      </w:r>
      <w:r>
        <w:rPr>
          <w:rFonts w:hint="eastAsia" w:ascii="宋体" w:hAnsi="宋体" w:cs="宋体"/>
          <w:color w:val="auto"/>
          <w:szCs w:val="21"/>
          <w:highlight w:val="none"/>
        </w:rPr>
        <w:t>电子扫描件</w:t>
      </w:r>
      <w:r>
        <w:rPr>
          <w:rFonts w:hint="eastAsia" w:ascii="宋体" w:hAnsi="宋体" w:cs="宋体"/>
          <w:color w:val="auto"/>
          <w:szCs w:val="23"/>
          <w:highlight w:val="none"/>
        </w:rPr>
        <w:t>附加在本页；</w:t>
      </w:r>
    </w:p>
    <w:p>
      <w:pPr>
        <w:numPr>
          <w:ilvl w:val="0"/>
          <w:numId w:val="13"/>
        </w:numPr>
        <w:spacing w:line="332" w:lineRule="auto"/>
        <w:rPr>
          <w:rFonts w:ascii="宋体" w:hAnsi="宋体" w:cs="宋体"/>
          <w:color w:val="auto"/>
          <w:szCs w:val="23"/>
          <w:highlight w:val="none"/>
        </w:rPr>
      </w:pPr>
      <w:r>
        <w:rPr>
          <w:rFonts w:hint="eastAsia" w:ascii="宋体" w:hAnsi="宋体" w:cs="宋体"/>
          <w:color w:val="auto"/>
          <w:szCs w:val="23"/>
          <w:highlight w:val="none"/>
        </w:rPr>
        <w:t>如采用</w:t>
      </w:r>
      <w:r>
        <w:rPr>
          <w:rFonts w:hint="eastAsia" w:ascii="宋体" w:hAnsi="宋体" w:cs="宋体"/>
          <w:color w:val="auto"/>
          <w:szCs w:val="23"/>
          <w:highlight w:val="none"/>
          <w:lang w:val="en-US" w:eastAsia="zh-CN"/>
        </w:rPr>
        <w:t>支票</w:t>
      </w:r>
      <w:r>
        <w:rPr>
          <w:rFonts w:hint="eastAsia" w:ascii="宋体" w:hAnsi="宋体" w:cs="宋体"/>
          <w:color w:val="auto"/>
          <w:szCs w:val="23"/>
          <w:highlight w:val="none"/>
        </w:rPr>
        <w:t>的，投标人需要将</w:t>
      </w:r>
      <w:r>
        <w:rPr>
          <w:rFonts w:hint="eastAsia" w:ascii="宋体" w:hAnsi="宋体" w:cs="宋体"/>
          <w:color w:val="auto"/>
          <w:szCs w:val="23"/>
          <w:highlight w:val="none"/>
          <w:lang w:val="en-US" w:eastAsia="zh-CN"/>
        </w:rPr>
        <w:t>支票</w:t>
      </w:r>
      <w:r>
        <w:rPr>
          <w:rFonts w:hint="default" w:ascii="宋体" w:hAnsi="宋体" w:cs="宋体"/>
          <w:color w:val="auto"/>
          <w:szCs w:val="23"/>
          <w:highlight w:val="none"/>
          <w:lang w:val="en-US"/>
        </w:rPr>
        <w:t>电子</w:t>
      </w:r>
      <w:r>
        <w:rPr>
          <w:rFonts w:hint="eastAsia" w:ascii="宋体" w:hAnsi="宋体" w:cs="宋体"/>
          <w:color w:val="auto"/>
          <w:szCs w:val="23"/>
          <w:highlight w:val="none"/>
        </w:rPr>
        <w:t>扫描件附加在本页。</w:t>
      </w:r>
    </w:p>
    <w:p>
      <w:pPr>
        <w:rPr>
          <w:color w:val="auto"/>
          <w:highlight w:val="none"/>
        </w:rPr>
      </w:pPr>
    </w:p>
    <w:p>
      <w:pPr>
        <w:pStyle w:val="6"/>
        <w:jc w:val="center"/>
        <w:rPr>
          <w:rFonts w:ascii="黑体" w:hAnsi="黑体" w:eastAsia="黑体" w:cs="黑体"/>
          <w:color w:val="auto"/>
          <w:sz w:val="32"/>
          <w:highlight w:val="none"/>
        </w:rPr>
      </w:pPr>
      <w:r>
        <w:rPr>
          <w:rFonts w:cs="宋体"/>
          <w:color w:val="auto"/>
          <w:sz w:val="28"/>
          <w:szCs w:val="20"/>
          <w:highlight w:val="none"/>
        </w:rPr>
        <w:br w:type="page"/>
      </w:r>
      <w:bookmarkStart w:id="935" w:name="_Toc31246"/>
      <w:bookmarkStart w:id="936" w:name="_Toc12895"/>
      <w:bookmarkStart w:id="937" w:name="_Toc26343"/>
      <w:bookmarkStart w:id="938" w:name="_Toc19521"/>
      <w:bookmarkStart w:id="939" w:name="_Toc10028"/>
      <w:bookmarkStart w:id="940" w:name="_Toc16804"/>
      <w:r>
        <w:rPr>
          <w:rFonts w:hint="eastAsia" w:ascii="黑体" w:hAnsi="黑体" w:eastAsia="黑体" w:cs="黑体"/>
          <w:b w:val="0"/>
          <w:bCs w:val="0"/>
          <w:color w:val="auto"/>
          <w:sz w:val="32"/>
          <w:highlight w:val="none"/>
        </w:rPr>
        <w:t>六、资格审查资料</w:t>
      </w:r>
      <w:bookmarkEnd w:id="935"/>
      <w:bookmarkEnd w:id="936"/>
      <w:bookmarkEnd w:id="937"/>
      <w:bookmarkEnd w:id="938"/>
      <w:bookmarkEnd w:id="939"/>
      <w:bookmarkEnd w:id="940"/>
    </w:p>
    <w:p>
      <w:pPr>
        <w:pStyle w:val="7"/>
        <w:jc w:val="center"/>
        <w:rPr>
          <w:color w:val="auto"/>
          <w:sz w:val="28"/>
          <w:highlight w:val="none"/>
        </w:rPr>
      </w:pPr>
      <w:r>
        <w:rPr>
          <w:rFonts w:hint="eastAsia"/>
          <w:color w:val="auto"/>
          <w:sz w:val="28"/>
          <w:highlight w:val="none"/>
        </w:rPr>
        <w:t>（一）投标人基本情况表</w:t>
      </w:r>
    </w:p>
    <w:p>
      <w:pPr>
        <w:spacing w:line="360" w:lineRule="auto"/>
        <w:ind w:right="1260" w:firstLine="3990" w:firstLineChars="1900"/>
        <w:rPr>
          <w:color w:val="auto"/>
          <w:highlight w:val="none"/>
        </w:rPr>
      </w:pPr>
    </w:p>
    <w:tbl>
      <w:tblPr>
        <w:tblStyle w:val="44"/>
        <w:tblW w:w="89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6"/>
        <w:gridCol w:w="897"/>
        <w:gridCol w:w="1021"/>
        <w:gridCol w:w="1160"/>
        <w:gridCol w:w="311"/>
        <w:gridCol w:w="1246"/>
        <w:gridCol w:w="63"/>
        <w:gridCol w:w="720"/>
        <w:gridCol w:w="19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投标人名称</w:t>
            </w:r>
          </w:p>
        </w:tc>
        <w:tc>
          <w:tcPr>
            <w:tcW w:w="7341" w:type="dxa"/>
            <w:gridSpan w:val="8"/>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注册地址</w:t>
            </w:r>
          </w:p>
        </w:tc>
        <w:tc>
          <w:tcPr>
            <w:tcW w:w="3389" w:type="dxa"/>
            <w:gridSpan w:val="4"/>
            <w:vAlign w:val="center"/>
          </w:tcPr>
          <w:p>
            <w:pPr>
              <w:jc w:val="center"/>
              <w:rPr>
                <w:color w:val="auto"/>
                <w:szCs w:val="21"/>
                <w:highlight w:val="none"/>
              </w:rPr>
            </w:pPr>
          </w:p>
        </w:tc>
        <w:tc>
          <w:tcPr>
            <w:tcW w:w="1246" w:type="dxa"/>
            <w:vAlign w:val="center"/>
          </w:tcPr>
          <w:p>
            <w:pPr>
              <w:jc w:val="center"/>
              <w:rPr>
                <w:color w:val="auto"/>
                <w:szCs w:val="21"/>
                <w:highlight w:val="none"/>
              </w:rPr>
            </w:pPr>
            <w:r>
              <w:rPr>
                <w:color w:val="auto"/>
                <w:szCs w:val="21"/>
                <w:highlight w:val="none"/>
              </w:rPr>
              <w:t>邮政编码</w:t>
            </w:r>
          </w:p>
        </w:tc>
        <w:tc>
          <w:tcPr>
            <w:tcW w:w="2706" w:type="dxa"/>
            <w:gridSpan w:val="3"/>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Merge w:val="restart"/>
            <w:vAlign w:val="center"/>
          </w:tcPr>
          <w:p>
            <w:pPr>
              <w:jc w:val="center"/>
              <w:rPr>
                <w:color w:val="auto"/>
                <w:szCs w:val="21"/>
                <w:highlight w:val="none"/>
              </w:rPr>
            </w:pPr>
            <w:r>
              <w:rPr>
                <w:color w:val="auto"/>
                <w:szCs w:val="21"/>
                <w:highlight w:val="none"/>
              </w:rPr>
              <w:t>联系方式</w:t>
            </w:r>
          </w:p>
        </w:tc>
        <w:tc>
          <w:tcPr>
            <w:tcW w:w="897" w:type="dxa"/>
            <w:vAlign w:val="center"/>
          </w:tcPr>
          <w:p>
            <w:pPr>
              <w:jc w:val="center"/>
              <w:rPr>
                <w:color w:val="auto"/>
                <w:szCs w:val="21"/>
                <w:highlight w:val="none"/>
              </w:rPr>
            </w:pPr>
            <w:r>
              <w:rPr>
                <w:color w:val="auto"/>
                <w:szCs w:val="21"/>
                <w:highlight w:val="none"/>
              </w:rPr>
              <w:t>联系人</w:t>
            </w:r>
          </w:p>
        </w:tc>
        <w:tc>
          <w:tcPr>
            <w:tcW w:w="2492" w:type="dxa"/>
            <w:gridSpan w:val="3"/>
            <w:vAlign w:val="center"/>
          </w:tcPr>
          <w:p>
            <w:pPr>
              <w:jc w:val="center"/>
              <w:rPr>
                <w:color w:val="auto"/>
                <w:szCs w:val="21"/>
                <w:highlight w:val="none"/>
              </w:rPr>
            </w:pPr>
          </w:p>
        </w:tc>
        <w:tc>
          <w:tcPr>
            <w:tcW w:w="1246" w:type="dxa"/>
            <w:vAlign w:val="center"/>
          </w:tcPr>
          <w:p>
            <w:pPr>
              <w:jc w:val="center"/>
              <w:rPr>
                <w:color w:val="auto"/>
                <w:szCs w:val="21"/>
                <w:highlight w:val="none"/>
              </w:rPr>
            </w:pPr>
            <w:r>
              <w:rPr>
                <w:color w:val="auto"/>
                <w:szCs w:val="21"/>
                <w:highlight w:val="none"/>
              </w:rPr>
              <w:t>电话</w:t>
            </w:r>
          </w:p>
        </w:tc>
        <w:tc>
          <w:tcPr>
            <w:tcW w:w="2706" w:type="dxa"/>
            <w:gridSpan w:val="3"/>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Merge w:val="continue"/>
            <w:vAlign w:val="center"/>
          </w:tcPr>
          <w:p>
            <w:pPr>
              <w:jc w:val="center"/>
              <w:rPr>
                <w:color w:val="auto"/>
                <w:szCs w:val="21"/>
                <w:highlight w:val="none"/>
              </w:rPr>
            </w:pPr>
          </w:p>
        </w:tc>
        <w:tc>
          <w:tcPr>
            <w:tcW w:w="897" w:type="dxa"/>
            <w:vAlign w:val="center"/>
          </w:tcPr>
          <w:p>
            <w:pPr>
              <w:jc w:val="center"/>
              <w:rPr>
                <w:color w:val="auto"/>
                <w:szCs w:val="21"/>
                <w:highlight w:val="none"/>
              </w:rPr>
            </w:pPr>
            <w:r>
              <w:rPr>
                <w:color w:val="auto"/>
                <w:szCs w:val="21"/>
                <w:highlight w:val="none"/>
              </w:rPr>
              <w:t>传真</w:t>
            </w:r>
          </w:p>
        </w:tc>
        <w:tc>
          <w:tcPr>
            <w:tcW w:w="2492" w:type="dxa"/>
            <w:gridSpan w:val="3"/>
            <w:vAlign w:val="center"/>
          </w:tcPr>
          <w:p>
            <w:pPr>
              <w:jc w:val="center"/>
              <w:rPr>
                <w:color w:val="auto"/>
                <w:szCs w:val="21"/>
                <w:highlight w:val="none"/>
              </w:rPr>
            </w:pPr>
          </w:p>
        </w:tc>
        <w:tc>
          <w:tcPr>
            <w:tcW w:w="1246" w:type="dxa"/>
            <w:vAlign w:val="center"/>
          </w:tcPr>
          <w:p>
            <w:pPr>
              <w:jc w:val="center"/>
              <w:rPr>
                <w:color w:val="auto"/>
                <w:szCs w:val="21"/>
                <w:highlight w:val="none"/>
              </w:rPr>
            </w:pPr>
            <w:r>
              <w:rPr>
                <w:color w:val="auto"/>
                <w:szCs w:val="21"/>
                <w:highlight w:val="none"/>
              </w:rPr>
              <w:t>网址</w:t>
            </w:r>
          </w:p>
        </w:tc>
        <w:tc>
          <w:tcPr>
            <w:tcW w:w="2706" w:type="dxa"/>
            <w:gridSpan w:val="3"/>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rFonts w:hint="eastAsia"/>
                <w:color w:val="auto"/>
                <w:szCs w:val="21"/>
                <w:highlight w:val="none"/>
              </w:rPr>
              <w:t>企业统一社会信用</w:t>
            </w:r>
            <w:r>
              <w:rPr>
                <w:color w:val="auto"/>
                <w:szCs w:val="21"/>
                <w:highlight w:val="none"/>
              </w:rPr>
              <w:t>代码</w:t>
            </w:r>
          </w:p>
        </w:tc>
        <w:tc>
          <w:tcPr>
            <w:tcW w:w="7341" w:type="dxa"/>
            <w:gridSpan w:val="8"/>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法定代表人</w:t>
            </w:r>
          </w:p>
        </w:tc>
        <w:tc>
          <w:tcPr>
            <w:tcW w:w="897" w:type="dxa"/>
            <w:vAlign w:val="center"/>
          </w:tcPr>
          <w:p>
            <w:pPr>
              <w:jc w:val="center"/>
              <w:rPr>
                <w:color w:val="auto"/>
                <w:szCs w:val="21"/>
                <w:highlight w:val="none"/>
              </w:rPr>
            </w:pPr>
            <w:r>
              <w:rPr>
                <w:color w:val="auto"/>
                <w:szCs w:val="21"/>
                <w:highlight w:val="none"/>
              </w:rPr>
              <w:t>姓名</w:t>
            </w:r>
          </w:p>
        </w:tc>
        <w:tc>
          <w:tcPr>
            <w:tcW w:w="1021" w:type="dxa"/>
            <w:vAlign w:val="center"/>
          </w:tcPr>
          <w:p>
            <w:pPr>
              <w:jc w:val="center"/>
              <w:rPr>
                <w:color w:val="auto"/>
                <w:szCs w:val="21"/>
                <w:highlight w:val="none"/>
              </w:rPr>
            </w:pPr>
          </w:p>
        </w:tc>
        <w:tc>
          <w:tcPr>
            <w:tcW w:w="1160" w:type="dxa"/>
            <w:vAlign w:val="center"/>
          </w:tcPr>
          <w:p>
            <w:pPr>
              <w:jc w:val="center"/>
              <w:rPr>
                <w:color w:val="auto"/>
                <w:szCs w:val="21"/>
                <w:highlight w:val="none"/>
              </w:rPr>
            </w:pPr>
            <w:r>
              <w:rPr>
                <w:color w:val="auto"/>
                <w:szCs w:val="21"/>
                <w:highlight w:val="none"/>
              </w:rPr>
              <w:t>技术职称</w:t>
            </w:r>
          </w:p>
        </w:tc>
        <w:tc>
          <w:tcPr>
            <w:tcW w:w="1620" w:type="dxa"/>
            <w:gridSpan w:val="3"/>
            <w:vAlign w:val="center"/>
          </w:tcPr>
          <w:p>
            <w:pPr>
              <w:jc w:val="center"/>
              <w:rPr>
                <w:color w:val="auto"/>
                <w:szCs w:val="21"/>
                <w:highlight w:val="none"/>
              </w:rPr>
            </w:pPr>
          </w:p>
        </w:tc>
        <w:tc>
          <w:tcPr>
            <w:tcW w:w="720" w:type="dxa"/>
            <w:vAlign w:val="center"/>
          </w:tcPr>
          <w:p>
            <w:pPr>
              <w:jc w:val="center"/>
              <w:rPr>
                <w:color w:val="auto"/>
                <w:szCs w:val="21"/>
                <w:highlight w:val="none"/>
              </w:rPr>
            </w:pPr>
            <w:r>
              <w:rPr>
                <w:color w:val="auto"/>
                <w:szCs w:val="21"/>
                <w:highlight w:val="none"/>
              </w:rPr>
              <w:t>电话</w:t>
            </w:r>
          </w:p>
        </w:tc>
        <w:tc>
          <w:tcPr>
            <w:tcW w:w="1923" w:type="dxa"/>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技术负责人</w:t>
            </w:r>
          </w:p>
        </w:tc>
        <w:tc>
          <w:tcPr>
            <w:tcW w:w="897" w:type="dxa"/>
            <w:vAlign w:val="center"/>
          </w:tcPr>
          <w:p>
            <w:pPr>
              <w:jc w:val="center"/>
              <w:rPr>
                <w:color w:val="auto"/>
                <w:szCs w:val="21"/>
                <w:highlight w:val="none"/>
              </w:rPr>
            </w:pPr>
            <w:r>
              <w:rPr>
                <w:color w:val="auto"/>
                <w:szCs w:val="21"/>
                <w:highlight w:val="none"/>
              </w:rPr>
              <w:t>姓名</w:t>
            </w:r>
          </w:p>
        </w:tc>
        <w:tc>
          <w:tcPr>
            <w:tcW w:w="1021" w:type="dxa"/>
            <w:vAlign w:val="center"/>
          </w:tcPr>
          <w:p>
            <w:pPr>
              <w:jc w:val="center"/>
              <w:rPr>
                <w:color w:val="auto"/>
                <w:szCs w:val="21"/>
                <w:highlight w:val="none"/>
              </w:rPr>
            </w:pPr>
          </w:p>
        </w:tc>
        <w:tc>
          <w:tcPr>
            <w:tcW w:w="1160" w:type="dxa"/>
            <w:vAlign w:val="center"/>
          </w:tcPr>
          <w:p>
            <w:pPr>
              <w:jc w:val="center"/>
              <w:rPr>
                <w:color w:val="auto"/>
                <w:szCs w:val="21"/>
                <w:highlight w:val="none"/>
              </w:rPr>
            </w:pPr>
            <w:r>
              <w:rPr>
                <w:color w:val="auto"/>
                <w:szCs w:val="21"/>
                <w:highlight w:val="none"/>
              </w:rPr>
              <w:t>技术职称</w:t>
            </w:r>
          </w:p>
        </w:tc>
        <w:tc>
          <w:tcPr>
            <w:tcW w:w="1620" w:type="dxa"/>
            <w:gridSpan w:val="3"/>
            <w:vAlign w:val="center"/>
          </w:tcPr>
          <w:p>
            <w:pPr>
              <w:jc w:val="center"/>
              <w:rPr>
                <w:color w:val="auto"/>
                <w:szCs w:val="21"/>
                <w:highlight w:val="none"/>
              </w:rPr>
            </w:pPr>
          </w:p>
        </w:tc>
        <w:tc>
          <w:tcPr>
            <w:tcW w:w="720" w:type="dxa"/>
            <w:vAlign w:val="center"/>
          </w:tcPr>
          <w:p>
            <w:pPr>
              <w:jc w:val="center"/>
              <w:rPr>
                <w:color w:val="auto"/>
                <w:szCs w:val="21"/>
                <w:highlight w:val="none"/>
              </w:rPr>
            </w:pPr>
            <w:r>
              <w:rPr>
                <w:color w:val="auto"/>
                <w:szCs w:val="21"/>
                <w:highlight w:val="none"/>
              </w:rPr>
              <w:t>电话</w:t>
            </w:r>
          </w:p>
        </w:tc>
        <w:tc>
          <w:tcPr>
            <w:tcW w:w="1923" w:type="dxa"/>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成立时间</w:t>
            </w:r>
          </w:p>
        </w:tc>
        <w:tc>
          <w:tcPr>
            <w:tcW w:w="1918" w:type="dxa"/>
            <w:gridSpan w:val="2"/>
            <w:vAlign w:val="center"/>
          </w:tcPr>
          <w:p>
            <w:pPr>
              <w:jc w:val="center"/>
              <w:rPr>
                <w:color w:val="auto"/>
                <w:szCs w:val="21"/>
                <w:highlight w:val="none"/>
              </w:rPr>
            </w:pPr>
          </w:p>
        </w:tc>
        <w:tc>
          <w:tcPr>
            <w:tcW w:w="5423" w:type="dxa"/>
            <w:gridSpan w:val="6"/>
            <w:vAlign w:val="center"/>
          </w:tcPr>
          <w:p>
            <w:pPr>
              <w:jc w:val="center"/>
              <w:rPr>
                <w:color w:val="auto"/>
                <w:szCs w:val="21"/>
                <w:highlight w:val="none"/>
              </w:rPr>
            </w:pPr>
            <w:r>
              <w:rPr>
                <w:color w:val="auto"/>
                <w:szCs w:val="21"/>
                <w:highlight w:val="none"/>
              </w:rPr>
              <w:t>员工总人数：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企业资质等级</w:t>
            </w:r>
          </w:p>
        </w:tc>
        <w:tc>
          <w:tcPr>
            <w:tcW w:w="1918" w:type="dxa"/>
            <w:gridSpan w:val="2"/>
            <w:vAlign w:val="center"/>
          </w:tcPr>
          <w:p>
            <w:pPr>
              <w:jc w:val="center"/>
              <w:rPr>
                <w:color w:val="auto"/>
                <w:szCs w:val="21"/>
                <w:highlight w:val="none"/>
              </w:rPr>
            </w:pPr>
          </w:p>
        </w:tc>
        <w:tc>
          <w:tcPr>
            <w:tcW w:w="1160" w:type="dxa"/>
            <w:vMerge w:val="restart"/>
            <w:vAlign w:val="center"/>
          </w:tcPr>
          <w:p>
            <w:pPr>
              <w:jc w:val="center"/>
              <w:rPr>
                <w:color w:val="auto"/>
                <w:szCs w:val="21"/>
                <w:highlight w:val="none"/>
              </w:rPr>
            </w:pPr>
            <w:r>
              <w:rPr>
                <w:color w:val="auto"/>
                <w:szCs w:val="21"/>
                <w:highlight w:val="none"/>
              </w:rPr>
              <w:t>其中</w:t>
            </w:r>
          </w:p>
        </w:tc>
        <w:tc>
          <w:tcPr>
            <w:tcW w:w="1620" w:type="dxa"/>
            <w:gridSpan w:val="3"/>
            <w:vAlign w:val="center"/>
          </w:tcPr>
          <w:p>
            <w:pPr>
              <w:jc w:val="center"/>
              <w:rPr>
                <w:color w:val="auto"/>
                <w:szCs w:val="21"/>
                <w:highlight w:val="none"/>
              </w:rPr>
            </w:pPr>
            <w:r>
              <w:rPr>
                <w:rFonts w:hint="eastAsia"/>
                <w:color w:val="auto"/>
                <w:szCs w:val="21"/>
                <w:highlight w:val="none"/>
              </w:rPr>
              <w:t>工程总承包</w:t>
            </w:r>
          </w:p>
          <w:p>
            <w:pPr>
              <w:jc w:val="center"/>
              <w:rPr>
                <w:color w:val="auto"/>
                <w:szCs w:val="21"/>
                <w:highlight w:val="none"/>
              </w:rPr>
            </w:pPr>
            <w:r>
              <w:rPr>
                <w:rFonts w:hint="eastAsia"/>
                <w:color w:val="auto"/>
                <w:szCs w:val="21"/>
                <w:highlight w:val="none"/>
              </w:rPr>
              <w:t>项目经理</w:t>
            </w:r>
          </w:p>
        </w:tc>
        <w:tc>
          <w:tcPr>
            <w:tcW w:w="2643" w:type="dxa"/>
            <w:gridSpan w:val="2"/>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营业执照号</w:t>
            </w:r>
          </w:p>
        </w:tc>
        <w:tc>
          <w:tcPr>
            <w:tcW w:w="1918" w:type="dxa"/>
            <w:gridSpan w:val="2"/>
            <w:vAlign w:val="center"/>
          </w:tcPr>
          <w:p>
            <w:pPr>
              <w:jc w:val="center"/>
              <w:rPr>
                <w:color w:val="auto"/>
                <w:szCs w:val="21"/>
                <w:highlight w:val="none"/>
              </w:rPr>
            </w:pPr>
          </w:p>
        </w:tc>
        <w:tc>
          <w:tcPr>
            <w:tcW w:w="1160" w:type="dxa"/>
            <w:vMerge w:val="continue"/>
            <w:vAlign w:val="center"/>
          </w:tcPr>
          <w:p>
            <w:pPr>
              <w:jc w:val="center"/>
              <w:rPr>
                <w:color w:val="auto"/>
                <w:szCs w:val="21"/>
                <w:highlight w:val="none"/>
              </w:rPr>
            </w:pPr>
          </w:p>
        </w:tc>
        <w:tc>
          <w:tcPr>
            <w:tcW w:w="1620" w:type="dxa"/>
            <w:gridSpan w:val="3"/>
            <w:vAlign w:val="center"/>
          </w:tcPr>
          <w:p>
            <w:pPr>
              <w:jc w:val="center"/>
              <w:rPr>
                <w:color w:val="auto"/>
                <w:szCs w:val="21"/>
                <w:highlight w:val="none"/>
              </w:rPr>
            </w:pPr>
            <w:r>
              <w:rPr>
                <w:color w:val="auto"/>
                <w:szCs w:val="21"/>
                <w:highlight w:val="none"/>
              </w:rPr>
              <w:t>高级职称人员</w:t>
            </w:r>
          </w:p>
        </w:tc>
        <w:tc>
          <w:tcPr>
            <w:tcW w:w="2643" w:type="dxa"/>
            <w:gridSpan w:val="2"/>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注册资金</w:t>
            </w:r>
          </w:p>
        </w:tc>
        <w:tc>
          <w:tcPr>
            <w:tcW w:w="1918" w:type="dxa"/>
            <w:gridSpan w:val="2"/>
            <w:vAlign w:val="center"/>
          </w:tcPr>
          <w:p>
            <w:pPr>
              <w:jc w:val="center"/>
              <w:rPr>
                <w:color w:val="auto"/>
                <w:szCs w:val="21"/>
                <w:highlight w:val="none"/>
              </w:rPr>
            </w:pPr>
          </w:p>
        </w:tc>
        <w:tc>
          <w:tcPr>
            <w:tcW w:w="1160" w:type="dxa"/>
            <w:vMerge w:val="continue"/>
            <w:vAlign w:val="center"/>
          </w:tcPr>
          <w:p>
            <w:pPr>
              <w:jc w:val="center"/>
              <w:rPr>
                <w:color w:val="auto"/>
                <w:szCs w:val="21"/>
                <w:highlight w:val="none"/>
              </w:rPr>
            </w:pPr>
          </w:p>
        </w:tc>
        <w:tc>
          <w:tcPr>
            <w:tcW w:w="1620" w:type="dxa"/>
            <w:gridSpan w:val="3"/>
            <w:vAlign w:val="center"/>
          </w:tcPr>
          <w:p>
            <w:pPr>
              <w:jc w:val="center"/>
              <w:rPr>
                <w:color w:val="auto"/>
                <w:szCs w:val="21"/>
                <w:highlight w:val="none"/>
              </w:rPr>
            </w:pPr>
            <w:r>
              <w:rPr>
                <w:color w:val="auto"/>
                <w:szCs w:val="21"/>
                <w:highlight w:val="none"/>
              </w:rPr>
              <w:t>中级职称人员</w:t>
            </w:r>
          </w:p>
        </w:tc>
        <w:tc>
          <w:tcPr>
            <w:tcW w:w="2643" w:type="dxa"/>
            <w:gridSpan w:val="2"/>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开户银行</w:t>
            </w:r>
          </w:p>
        </w:tc>
        <w:tc>
          <w:tcPr>
            <w:tcW w:w="1918" w:type="dxa"/>
            <w:gridSpan w:val="2"/>
            <w:vAlign w:val="center"/>
          </w:tcPr>
          <w:p>
            <w:pPr>
              <w:jc w:val="center"/>
              <w:rPr>
                <w:color w:val="auto"/>
                <w:szCs w:val="21"/>
                <w:highlight w:val="none"/>
              </w:rPr>
            </w:pPr>
          </w:p>
        </w:tc>
        <w:tc>
          <w:tcPr>
            <w:tcW w:w="1160" w:type="dxa"/>
            <w:vMerge w:val="continue"/>
            <w:vAlign w:val="center"/>
          </w:tcPr>
          <w:p>
            <w:pPr>
              <w:jc w:val="center"/>
              <w:rPr>
                <w:color w:val="auto"/>
                <w:szCs w:val="21"/>
                <w:highlight w:val="none"/>
              </w:rPr>
            </w:pPr>
          </w:p>
        </w:tc>
        <w:tc>
          <w:tcPr>
            <w:tcW w:w="1620" w:type="dxa"/>
            <w:gridSpan w:val="3"/>
            <w:vAlign w:val="center"/>
          </w:tcPr>
          <w:p>
            <w:pPr>
              <w:jc w:val="center"/>
              <w:rPr>
                <w:color w:val="auto"/>
                <w:szCs w:val="21"/>
                <w:highlight w:val="none"/>
              </w:rPr>
            </w:pPr>
            <w:r>
              <w:rPr>
                <w:color w:val="auto"/>
                <w:szCs w:val="21"/>
                <w:highlight w:val="none"/>
              </w:rPr>
              <w:t>初级职称人员</w:t>
            </w:r>
          </w:p>
        </w:tc>
        <w:tc>
          <w:tcPr>
            <w:tcW w:w="2643" w:type="dxa"/>
            <w:gridSpan w:val="2"/>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账号</w:t>
            </w:r>
          </w:p>
        </w:tc>
        <w:tc>
          <w:tcPr>
            <w:tcW w:w="1918" w:type="dxa"/>
            <w:gridSpan w:val="2"/>
            <w:vAlign w:val="center"/>
          </w:tcPr>
          <w:p>
            <w:pPr>
              <w:jc w:val="center"/>
              <w:rPr>
                <w:color w:val="auto"/>
                <w:szCs w:val="21"/>
                <w:highlight w:val="none"/>
              </w:rPr>
            </w:pPr>
          </w:p>
        </w:tc>
        <w:tc>
          <w:tcPr>
            <w:tcW w:w="1160" w:type="dxa"/>
            <w:vMerge w:val="continue"/>
            <w:vAlign w:val="center"/>
          </w:tcPr>
          <w:p>
            <w:pPr>
              <w:jc w:val="center"/>
              <w:rPr>
                <w:color w:val="auto"/>
                <w:szCs w:val="21"/>
                <w:highlight w:val="none"/>
              </w:rPr>
            </w:pPr>
          </w:p>
        </w:tc>
        <w:tc>
          <w:tcPr>
            <w:tcW w:w="1620" w:type="dxa"/>
            <w:gridSpan w:val="3"/>
            <w:vAlign w:val="center"/>
          </w:tcPr>
          <w:p>
            <w:pPr>
              <w:jc w:val="center"/>
              <w:rPr>
                <w:color w:val="auto"/>
                <w:szCs w:val="21"/>
                <w:highlight w:val="none"/>
              </w:rPr>
            </w:pPr>
            <w:r>
              <w:rPr>
                <w:color w:val="auto"/>
                <w:szCs w:val="21"/>
                <w:highlight w:val="none"/>
              </w:rPr>
              <w:t>技工</w:t>
            </w:r>
          </w:p>
        </w:tc>
        <w:tc>
          <w:tcPr>
            <w:tcW w:w="2643" w:type="dxa"/>
            <w:gridSpan w:val="2"/>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7" w:hRule="atLeast"/>
          <w:jc w:val="center"/>
        </w:trPr>
        <w:tc>
          <w:tcPr>
            <w:tcW w:w="1626" w:type="dxa"/>
            <w:vAlign w:val="center"/>
          </w:tcPr>
          <w:p>
            <w:pPr>
              <w:jc w:val="center"/>
              <w:rPr>
                <w:color w:val="auto"/>
                <w:szCs w:val="21"/>
                <w:highlight w:val="none"/>
              </w:rPr>
            </w:pPr>
            <w:r>
              <w:rPr>
                <w:color w:val="auto"/>
                <w:szCs w:val="21"/>
                <w:highlight w:val="none"/>
              </w:rPr>
              <w:t>经营范围</w:t>
            </w:r>
          </w:p>
        </w:tc>
        <w:tc>
          <w:tcPr>
            <w:tcW w:w="7341" w:type="dxa"/>
            <w:gridSpan w:val="8"/>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26" w:type="dxa"/>
            <w:vAlign w:val="center"/>
          </w:tcPr>
          <w:p>
            <w:pPr>
              <w:jc w:val="center"/>
              <w:rPr>
                <w:color w:val="auto"/>
                <w:szCs w:val="21"/>
                <w:highlight w:val="none"/>
              </w:rPr>
            </w:pPr>
            <w:r>
              <w:rPr>
                <w:color w:val="auto"/>
                <w:szCs w:val="21"/>
                <w:highlight w:val="none"/>
              </w:rPr>
              <w:t>备注</w:t>
            </w:r>
          </w:p>
        </w:tc>
        <w:tc>
          <w:tcPr>
            <w:tcW w:w="7341" w:type="dxa"/>
            <w:gridSpan w:val="8"/>
            <w:vAlign w:val="center"/>
          </w:tcPr>
          <w:p>
            <w:pPr>
              <w:jc w:val="center"/>
              <w:rPr>
                <w:color w:val="auto"/>
                <w:szCs w:val="21"/>
                <w:highlight w:val="none"/>
              </w:rPr>
            </w:pPr>
          </w:p>
        </w:tc>
      </w:tr>
    </w:tbl>
    <w:p>
      <w:pPr>
        <w:spacing w:line="480" w:lineRule="auto"/>
        <w:jc w:val="left"/>
        <w:rPr>
          <w:color w:val="auto"/>
          <w:szCs w:val="21"/>
          <w:highlight w:val="none"/>
        </w:rPr>
      </w:pPr>
    </w:p>
    <w:p>
      <w:pPr>
        <w:spacing w:line="480" w:lineRule="auto"/>
        <w:jc w:val="left"/>
        <w:rPr>
          <w:color w:val="auto"/>
          <w:szCs w:val="21"/>
          <w:highlight w:val="none"/>
        </w:rPr>
      </w:pPr>
      <w:r>
        <w:rPr>
          <w:rFonts w:hint="eastAsia"/>
          <w:color w:val="auto"/>
          <w:szCs w:val="21"/>
          <w:highlight w:val="none"/>
        </w:rPr>
        <w:t>注：联合体各方分别填写</w:t>
      </w:r>
    </w:p>
    <w:p>
      <w:pPr>
        <w:spacing w:line="480" w:lineRule="auto"/>
        <w:jc w:val="left"/>
        <w:rPr>
          <w:color w:val="auto"/>
          <w:szCs w:val="21"/>
          <w:highlight w:val="none"/>
        </w:rPr>
      </w:pPr>
    </w:p>
    <w:p>
      <w:pPr>
        <w:spacing w:line="360" w:lineRule="auto"/>
        <w:ind w:right="1260" w:firstLine="3990" w:firstLineChars="1900"/>
        <w:rPr>
          <w:color w:val="auto"/>
          <w:highlight w:val="none"/>
        </w:rPr>
      </w:pPr>
    </w:p>
    <w:p>
      <w:pPr>
        <w:spacing w:line="360" w:lineRule="auto"/>
        <w:ind w:right="1260" w:firstLine="3990" w:firstLineChars="1900"/>
        <w:rPr>
          <w:color w:val="auto"/>
          <w:highlight w:val="none"/>
        </w:rPr>
      </w:pPr>
    </w:p>
    <w:p>
      <w:pPr>
        <w:pStyle w:val="7"/>
        <w:jc w:val="center"/>
        <w:rPr>
          <w:color w:val="auto"/>
          <w:sz w:val="28"/>
          <w:highlight w:val="none"/>
        </w:rPr>
      </w:pPr>
      <w:r>
        <w:rPr>
          <w:rFonts w:hint="eastAsia"/>
          <w:color w:val="auto"/>
          <w:sz w:val="28"/>
          <w:highlight w:val="none"/>
        </w:rPr>
        <w:t>（二）投标人类似工程业绩一览表</w:t>
      </w:r>
    </w:p>
    <w:p>
      <w:pPr>
        <w:rPr>
          <w:color w:val="auto"/>
          <w:highlight w:val="none"/>
        </w:rPr>
      </w:pPr>
    </w:p>
    <w:tbl>
      <w:tblPr>
        <w:tblStyle w:val="44"/>
        <w:tblW w:w="87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9"/>
        <w:gridCol w:w="64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6"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项目名称</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项目所在地</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发包人名称</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发包人地址</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发包人联系人及电话</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0"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合同价格</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开工日期</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highlight w:val="none"/>
              </w:rPr>
              <w:t>竣工</w:t>
            </w:r>
            <w:r>
              <w:rPr>
                <w:rFonts w:hint="eastAsia" w:ascii="宋体" w:hAnsi="宋体"/>
                <w:color w:val="auto"/>
                <w:szCs w:val="21"/>
                <w:highlight w:val="none"/>
              </w:rPr>
              <w:t>日期</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承担的工作</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工程质量</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项目经理</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技术负责人</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41"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项目描述：</w:t>
            </w:r>
          </w:p>
          <w:p>
            <w:pPr>
              <w:topLinePunct/>
              <w:spacing w:line="440" w:lineRule="exact"/>
              <w:rPr>
                <w:rFonts w:ascii="宋体" w:hAnsi="宋体"/>
                <w:color w:val="auto"/>
                <w:szCs w:val="21"/>
                <w:highlight w:val="none"/>
              </w:rPr>
            </w:pP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p>
            <w:pPr>
              <w:topLinePunct/>
              <w:spacing w:line="440" w:lineRule="exact"/>
              <w:rPr>
                <w:rFonts w:ascii="宋体" w:hAnsi="宋体"/>
                <w:color w:val="auto"/>
                <w:szCs w:val="21"/>
                <w:highlight w:val="none"/>
              </w:rPr>
            </w:pPr>
          </w:p>
          <w:p>
            <w:pPr>
              <w:topLinePunct/>
              <w:spacing w:line="440" w:lineRule="exact"/>
              <w:rPr>
                <w:rFonts w:ascii="宋体" w:hAnsi="宋体"/>
                <w:color w:val="auto"/>
                <w:szCs w:val="21"/>
                <w:highlight w:val="none"/>
              </w:rPr>
            </w:pPr>
          </w:p>
          <w:p>
            <w:pPr>
              <w:topLinePunct/>
              <w:spacing w:line="440" w:lineRule="exact"/>
              <w:rPr>
                <w:rFonts w:ascii="宋体" w:hAnsi="宋体"/>
                <w:color w:val="auto"/>
                <w:szCs w:val="21"/>
                <w:highlight w:val="none"/>
              </w:rPr>
            </w:pPr>
          </w:p>
          <w:p>
            <w:pPr>
              <w:topLinePunct/>
              <w:spacing w:line="440" w:lineRule="exact"/>
              <w:rPr>
                <w:rFonts w:ascii="宋体" w:hAnsi="宋体"/>
                <w:color w:val="auto"/>
                <w:szCs w:val="21"/>
                <w:highlight w:val="none"/>
              </w:rPr>
            </w:pPr>
          </w:p>
          <w:p>
            <w:pPr>
              <w:topLinePunct/>
              <w:spacing w:line="440" w:lineRule="exact"/>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trPr>
        <w:tc>
          <w:tcPr>
            <w:tcW w:w="2269" w:type="dxa"/>
            <w:tcBorders>
              <w:top w:val="single" w:color="auto" w:sz="4" w:space="0"/>
              <w:left w:val="single" w:color="auto" w:sz="4" w:space="0"/>
              <w:bottom w:val="single" w:color="auto" w:sz="4" w:space="0"/>
              <w:right w:val="single" w:color="auto" w:sz="4" w:space="0"/>
            </w:tcBorders>
            <w:vAlign w:val="center"/>
          </w:tcPr>
          <w:p>
            <w:pPr>
              <w:topLinePunct/>
              <w:spacing w:line="440" w:lineRule="exact"/>
              <w:jc w:val="center"/>
              <w:rPr>
                <w:rFonts w:ascii="宋体" w:hAnsi="宋体"/>
                <w:color w:val="auto"/>
                <w:szCs w:val="21"/>
                <w:highlight w:val="none"/>
              </w:rPr>
            </w:pPr>
            <w:r>
              <w:rPr>
                <w:rFonts w:hint="eastAsia" w:ascii="宋体" w:hAnsi="宋体"/>
                <w:color w:val="auto"/>
                <w:szCs w:val="21"/>
                <w:highlight w:val="none"/>
              </w:rPr>
              <w:t>备注</w:t>
            </w:r>
          </w:p>
        </w:tc>
        <w:tc>
          <w:tcPr>
            <w:tcW w:w="6479" w:type="dxa"/>
            <w:tcBorders>
              <w:top w:val="single" w:color="auto" w:sz="4" w:space="0"/>
              <w:left w:val="single" w:color="auto" w:sz="4" w:space="0"/>
              <w:bottom w:val="single" w:color="auto" w:sz="4" w:space="0"/>
              <w:right w:val="single" w:color="auto" w:sz="4" w:space="0"/>
            </w:tcBorders>
          </w:tcPr>
          <w:p>
            <w:pPr>
              <w:topLinePunct/>
              <w:spacing w:line="440" w:lineRule="exact"/>
              <w:rPr>
                <w:rFonts w:ascii="宋体" w:hAnsi="宋体"/>
                <w:color w:val="auto"/>
                <w:szCs w:val="21"/>
                <w:highlight w:val="none"/>
              </w:rPr>
            </w:pPr>
          </w:p>
        </w:tc>
      </w:tr>
    </w:tbl>
    <w:p>
      <w:pPr>
        <w:ind w:left="772" w:leftChars="100" w:hanging="562" w:hangingChars="200"/>
        <w:rPr>
          <w:b/>
          <w:color w:val="auto"/>
          <w:sz w:val="28"/>
          <w:szCs w:val="28"/>
          <w:highlight w:val="none"/>
        </w:rPr>
      </w:pPr>
    </w:p>
    <w:p>
      <w:pPr>
        <w:spacing w:line="360" w:lineRule="auto"/>
        <w:ind w:right="1260"/>
        <w:rPr>
          <w:color w:val="auto"/>
          <w:highlight w:val="none"/>
        </w:rPr>
      </w:pPr>
      <w:r>
        <w:rPr>
          <w:rFonts w:hint="eastAsia" w:ascii="宋体" w:hAnsi="宋体" w:cs="宋体"/>
          <w:color w:val="auto"/>
          <w:highlight w:val="none"/>
        </w:rPr>
        <w:t>注：本表后所附材料应同步诚信库后自动获取。</w:t>
      </w:r>
    </w:p>
    <w:p>
      <w:pPr>
        <w:spacing w:line="360" w:lineRule="auto"/>
        <w:ind w:right="1260" w:firstLine="3990" w:firstLineChars="1900"/>
        <w:rPr>
          <w:color w:val="auto"/>
          <w:highlight w:val="none"/>
        </w:rPr>
      </w:pPr>
    </w:p>
    <w:p>
      <w:pPr>
        <w:pStyle w:val="6"/>
        <w:jc w:val="center"/>
        <w:rPr>
          <w:rFonts w:ascii="黑体" w:hAnsi="黑体" w:eastAsia="黑体" w:cs="黑体"/>
          <w:bCs w:val="0"/>
          <w:color w:val="auto"/>
          <w:sz w:val="32"/>
          <w:highlight w:val="none"/>
        </w:rPr>
      </w:pPr>
      <w:r>
        <w:rPr>
          <w:rFonts w:cs="宋体"/>
          <w:color w:val="auto"/>
          <w:sz w:val="28"/>
          <w:szCs w:val="20"/>
          <w:highlight w:val="none"/>
        </w:rPr>
        <w:br w:type="page"/>
      </w:r>
      <w:bookmarkStart w:id="941" w:name="_Toc19983"/>
      <w:bookmarkStart w:id="942" w:name="_Toc15980"/>
      <w:bookmarkStart w:id="943" w:name="_Toc6601"/>
      <w:bookmarkStart w:id="944" w:name="_Toc24151"/>
      <w:bookmarkStart w:id="945" w:name="_Toc23950"/>
      <w:bookmarkStart w:id="946" w:name="_Toc23026"/>
      <w:bookmarkStart w:id="947" w:name="_Toc508282874"/>
      <w:r>
        <w:rPr>
          <w:rFonts w:hint="eastAsia" w:ascii="黑体" w:hAnsi="黑体" w:eastAsia="黑体" w:cs="黑体"/>
          <w:b w:val="0"/>
          <w:bCs w:val="0"/>
          <w:color w:val="auto"/>
          <w:sz w:val="28"/>
          <w:szCs w:val="20"/>
          <w:highlight w:val="none"/>
        </w:rPr>
        <w:t>七、</w:t>
      </w:r>
      <w:r>
        <w:rPr>
          <w:rFonts w:hint="eastAsia" w:ascii="黑体" w:hAnsi="黑体" w:eastAsia="黑体" w:cs="黑体"/>
          <w:b w:val="0"/>
          <w:bCs w:val="0"/>
          <w:color w:val="auto"/>
          <w:sz w:val="32"/>
          <w:highlight w:val="none"/>
        </w:rPr>
        <w:t>项目管理机构</w:t>
      </w:r>
      <w:bookmarkEnd w:id="941"/>
      <w:bookmarkEnd w:id="942"/>
      <w:bookmarkEnd w:id="943"/>
      <w:bookmarkEnd w:id="944"/>
      <w:bookmarkEnd w:id="945"/>
      <w:bookmarkEnd w:id="946"/>
    </w:p>
    <w:p>
      <w:pPr>
        <w:pStyle w:val="7"/>
        <w:jc w:val="center"/>
        <w:rPr>
          <w:rFonts w:eastAsia="黑体"/>
          <w:color w:val="auto"/>
          <w:sz w:val="23"/>
          <w:szCs w:val="23"/>
          <w:highlight w:val="none"/>
        </w:rPr>
      </w:pPr>
      <w:r>
        <w:rPr>
          <w:rFonts w:hint="eastAsia"/>
          <w:color w:val="auto"/>
          <w:sz w:val="28"/>
          <w:highlight w:val="none"/>
        </w:rPr>
        <w:t>（一）项目管理机构</w:t>
      </w:r>
      <w:bookmarkEnd w:id="947"/>
      <w:r>
        <w:rPr>
          <w:rFonts w:hint="eastAsia"/>
          <w:color w:val="auto"/>
          <w:sz w:val="28"/>
          <w:highlight w:val="none"/>
        </w:rPr>
        <w:t>组成表</w:t>
      </w:r>
    </w:p>
    <w:tbl>
      <w:tblPr>
        <w:tblStyle w:val="44"/>
        <w:tblW w:w="8699" w:type="dxa"/>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
        <w:gridCol w:w="1436"/>
        <w:gridCol w:w="709"/>
        <w:gridCol w:w="1134"/>
        <w:gridCol w:w="709"/>
        <w:gridCol w:w="1134"/>
        <w:gridCol w:w="1134"/>
        <w:gridCol w:w="708"/>
        <w:gridCol w:w="10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vMerge w:val="restart"/>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序号</w:t>
            </w:r>
          </w:p>
        </w:tc>
        <w:tc>
          <w:tcPr>
            <w:tcW w:w="1436" w:type="dxa"/>
            <w:vMerge w:val="restart"/>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职务</w:t>
            </w:r>
          </w:p>
        </w:tc>
        <w:tc>
          <w:tcPr>
            <w:tcW w:w="709" w:type="dxa"/>
            <w:vMerge w:val="restart"/>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姓名</w:t>
            </w:r>
          </w:p>
        </w:tc>
        <w:tc>
          <w:tcPr>
            <w:tcW w:w="2977" w:type="dxa"/>
            <w:gridSpan w:val="3"/>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执业或职业资格证明</w:t>
            </w:r>
          </w:p>
        </w:tc>
        <w:tc>
          <w:tcPr>
            <w:tcW w:w="1842" w:type="dxa"/>
            <w:gridSpan w:val="2"/>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职称</w:t>
            </w:r>
          </w:p>
        </w:tc>
        <w:tc>
          <w:tcPr>
            <w:tcW w:w="1044"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vMerge w:val="continue"/>
            <w:vAlign w:val="center"/>
          </w:tcPr>
          <w:p>
            <w:pPr>
              <w:spacing w:line="440" w:lineRule="exact"/>
              <w:jc w:val="center"/>
              <w:rPr>
                <w:rFonts w:ascii="宋体" w:hAnsi="宋体" w:cs="宋体"/>
                <w:color w:val="auto"/>
                <w:szCs w:val="21"/>
                <w:highlight w:val="none"/>
              </w:rPr>
            </w:pPr>
          </w:p>
        </w:tc>
        <w:tc>
          <w:tcPr>
            <w:tcW w:w="1436" w:type="dxa"/>
            <w:vMerge w:val="continue"/>
            <w:vAlign w:val="center"/>
          </w:tcPr>
          <w:p>
            <w:pPr>
              <w:spacing w:line="440" w:lineRule="exact"/>
              <w:jc w:val="center"/>
              <w:rPr>
                <w:rFonts w:ascii="宋体" w:hAnsi="宋体" w:cs="宋体"/>
                <w:color w:val="auto"/>
                <w:szCs w:val="21"/>
                <w:highlight w:val="none"/>
              </w:rPr>
            </w:pPr>
          </w:p>
        </w:tc>
        <w:tc>
          <w:tcPr>
            <w:tcW w:w="709" w:type="dxa"/>
            <w:vMerge w:val="continue"/>
            <w:vAlign w:val="center"/>
          </w:tcPr>
          <w:p>
            <w:pPr>
              <w:spacing w:line="440" w:lineRule="exact"/>
              <w:jc w:val="center"/>
              <w:rPr>
                <w:rFonts w:ascii="宋体" w:hAnsi="宋体" w:cs="宋体"/>
                <w:color w:val="auto"/>
                <w:szCs w:val="21"/>
                <w:highlight w:val="none"/>
              </w:rPr>
            </w:pPr>
          </w:p>
        </w:tc>
        <w:tc>
          <w:tcPr>
            <w:tcW w:w="1134"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证书名称</w:t>
            </w:r>
          </w:p>
        </w:tc>
        <w:tc>
          <w:tcPr>
            <w:tcW w:w="709"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级别</w:t>
            </w:r>
          </w:p>
        </w:tc>
        <w:tc>
          <w:tcPr>
            <w:tcW w:w="1134"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证书编号</w:t>
            </w:r>
          </w:p>
        </w:tc>
        <w:tc>
          <w:tcPr>
            <w:tcW w:w="1134"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职称专业</w:t>
            </w:r>
          </w:p>
        </w:tc>
        <w:tc>
          <w:tcPr>
            <w:tcW w:w="708"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级别</w:t>
            </w:r>
          </w:p>
        </w:tc>
        <w:tc>
          <w:tcPr>
            <w:tcW w:w="1044" w:type="dxa"/>
            <w:vAlign w:val="center"/>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1</w:t>
            </w:r>
          </w:p>
        </w:tc>
        <w:tc>
          <w:tcPr>
            <w:tcW w:w="1436" w:type="dxa"/>
            <w:vAlign w:val="center"/>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工程总承包项目经理</w:t>
            </w:r>
          </w:p>
        </w:tc>
        <w:tc>
          <w:tcPr>
            <w:tcW w:w="709" w:type="dxa"/>
            <w:vAlign w:val="center"/>
          </w:tcPr>
          <w:p>
            <w:pPr>
              <w:spacing w:line="440" w:lineRule="exact"/>
              <w:jc w:val="center"/>
              <w:rPr>
                <w:rFonts w:ascii="宋体" w:hAnsi="宋体" w:cs="宋体"/>
                <w:color w:val="auto"/>
                <w:szCs w:val="21"/>
                <w:highlight w:val="none"/>
              </w:rPr>
            </w:pPr>
          </w:p>
        </w:tc>
        <w:tc>
          <w:tcPr>
            <w:tcW w:w="1134" w:type="dxa"/>
            <w:vAlign w:val="center"/>
          </w:tcPr>
          <w:p>
            <w:pPr>
              <w:spacing w:line="440" w:lineRule="exact"/>
              <w:jc w:val="center"/>
              <w:rPr>
                <w:rFonts w:ascii="宋体" w:hAnsi="宋体" w:cs="宋体"/>
                <w:color w:val="auto"/>
                <w:szCs w:val="21"/>
                <w:highlight w:val="none"/>
              </w:rPr>
            </w:pPr>
          </w:p>
        </w:tc>
        <w:tc>
          <w:tcPr>
            <w:tcW w:w="709" w:type="dxa"/>
            <w:vAlign w:val="center"/>
          </w:tcPr>
          <w:p>
            <w:pPr>
              <w:spacing w:line="440" w:lineRule="exact"/>
              <w:jc w:val="center"/>
              <w:rPr>
                <w:rFonts w:ascii="宋体" w:hAnsi="宋体" w:cs="宋体"/>
                <w:color w:val="auto"/>
                <w:szCs w:val="21"/>
                <w:highlight w:val="none"/>
              </w:rPr>
            </w:pPr>
          </w:p>
        </w:tc>
        <w:tc>
          <w:tcPr>
            <w:tcW w:w="1134" w:type="dxa"/>
            <w:vAlign w:val="center"/>
          </w:tcPr>
          <w:p>
            <w:pPr>
              <w:spacing w:line="440" w:lineRule="exact"/>
              <w:jc w:val="center"/>
              <w:rPr>
                <w:rFonts w:ascii="宋体" w:hAnsi="宋体" w:cs="宋体"/>
                <w:color w:val="auto"/>
                <w:szCs w:val="21"/>
                <w:highlight w:val="none"/>
              </w:rPr>
            </w:pPr>
          </w:p>
        </w:tc>
        <w:tc>
          <w:tcPr>
            <w:tcW w:w="1134" w:type="dxa"/>
            <w:vAlign w:val="center"/>
          </w:tcPr>
          <w:p>
            <w:pPr>
              <w:spacing w:line="440" w:lineRule="exact"/>
              <w:jc w:val="center"/>
              <w:rPr>
                <w:rFonts w:ascii="宋体" w:hAnsi="宋体" w:cs="宋体"/>
                <w:color w:val="auto"/>
                <w:szCs w:val="21"/>
                <w:highlight w:val="none"/>
              </w:rPr>
            </w:pPr>
          </w:p>
        </w:tc>
        <w:tc>
          <w:tcPr>
            <w:tcW w:w="708" w:type="dxa"/>
            <w:vAlign w:val="center"/>
          </w:tcPr>
          <w:p>
            <w:pPr>
              <w:spacing w:line="440" w:lineRule="exact"/>
              <w:jc w:val="center"/>
              <w:rPr>
                <w:rFonts w:ascii="宋体" w:hAnsi="宋体" w:cs="宋体"/>
                <w:color w:val="auto"/>
                <w:szCs w:val="21"/>
                <w:highlight w:val="none"/>
              </w:rPr>
            </w:pPr>
          </w:p>
        </w:tc>
        <w:tc>
          <w:tcPr>
            <w:tcW w:w="1044" w:type="dxa"/>
            <w:vAlign w:val="center"/>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w:t>
            </w:r>
          </w:p>
        </w:tc>
        <w:tc>
          <w:tcPr>
            <w:tcW w:w="8008" w:type="dxa"/>
            <w:gridSpan w:val="8"/>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2.1</w:t>
            </w:r>
          </w:p>
        </w:tc>
        <w:tc>
          <w:tcPr>
            <w:tcW w:w="1436"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设计负责人</w:t>
            </w: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8" w:type="dxa"/>
          </w:tcPr>
          <w:p>
            <w:pPr>
              <w:spacing w:line="440" w:lineRule="exact"/>
              <w:jc w:val="center"/>
              <w:rPr>
                <w:rFonts w:ascii="宋体" w:hAnsi="宋体" w:cs="宋体"/>
                <w:color w:val="auto"/>
                <w:szCs w:val="21"/>
                <w:highlight w:val="none"/>
              </w:rPr>
            </w:pPr>
          </w:p>
        </w:tc>
        <w:tc>
          <w:tcPr>
            <w:tcW w:w="1044" w:type="dxa"/>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2.2</w:t>
            </w:r>
          </w:p>
        </w:tc>
        <w:tc>
          <w:tcPr>
            <w:tcW w:w="1436"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w:t>
            </w: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8" w:type="dxa"/>
          </w:tcPr>
          <w:p>
            <w:pPr>
              <w:spacing w:line="440" w:lineRule="exact"/>
              <w:jc w:val="center"/>
              <w:rPr>
                <w:rFonts w:ascii="宋体" w:hAnsi="宋体" w:cs="宋体"/>
                <w:color w:val="auto"/>
                <w:szCs w:val="21"/>
                <w:highlight w:val="none"/>
              </w:rPr>
            </w:pPr>
          </w:p>
        </w:tc>
        <w:tc>
          <w:tcPr>
            <w:tcW w:w="1044" w:type="dxa"/>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w:t>
            </w:r>
          </w:p>
        </w:tc>
        <w:tc>
          <w:tcPr>
            <w:tcW w:w="8008" w:type="dxa"/>
            <w:gridSpan w:val="8"/>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3.1</w:t>
            </w:r>
          </w:p>
        </w:tc>
        <w:tc>
          <w:tcPr>
            <w:tcW w:w="1436"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施工项目经理</w:t>
            </w: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8" w:type="dxa"/>
          </w:tcPr>
          <w:p>
            <w:pPr>
              <w:spacing w:line="440" w:lineRule="exact"/>
              <w:jc w:val="center"/>
              <w:rPr>
                <w:rFonts w:ascii="宋体" w:hAnsi="宋体" w:cs="宋体"/>
                <w:color w:val="auto"/>
                <w:szCs w:val="21"/>
                <w:highlight w:val="none"/>
              </w:rPr>
            </w:pPr>
          </w:p>
        </w:tc>
        <w:tc>
          <w:tcPr>
            <w:tcW w:w="1044" w:type="dxa"/>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3.2</w:t>
            </w:r>
          </w:p>
        </w:tc>
        <w:tc>
          <w:tcPr>
            <w:tcW w:w="1436"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w:t>
            </w: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8" w:type="dxa"/>
          </w:tcPr>
          <w:p>
            <w:pPr>
              <w:spacing w:line="440" w:lineRule="exact"/>
              <w:jc w:val="center"/>
              <w:rPr>
                <w:rFonts w:ascii="宋体" w:hAnsi="宋体" w:cs="宋体"/>
                <w:color w:val="auto"/>
                <w:szCs w:val="21"/>
                <w:highlight w:val="none"/>
              </w:rPr>
            </w:pPr>
          </w:p>
        </w:tc>
        <w:tc>
          <w:tcPr>
            <w:tcW w:w="1044" w:type="dxa"/>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w:t>
            </w:r>
          </w:p>
        </w:tc>
        <w:tc>
          <w:tcPr>
            <w:tcW w:w="8008" w:type="dxa"/>
            <w:gridSpan w:val="8"/>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采购（如有）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4.1</w:t>
            </w:r>
          </w:p>
        </w:tc>
        <w:tc>
          <w:tcPr>
            <w:tcW w:w="1436"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采购经理</w:t>
            </w: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8" w:type="dxa"/>
          </w:tcPr>
          <w:p>
            <w:pPr>
              <w:spacing w:line="440" w:lineRule="exact"/>
              <w:jc w:val="center"/>
              <w:rPr>
                <w:rFonts w:ascii="宋体" w:hAnsi="宋体" w:cs="宋体"/>
                <w:color w:val="auto"/>
                <w:szCs w:val="21"/>
                <w:highlight w:val="none"/>
              </w:rPr>
            </w:pPr>
          </w:p>
        </w:tc>
        <w:tc>
          <w:tcPr>
            <w:tcW w:w="1044" w:type="dxa"/>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4.2</w:t>
            </w:r>
          </w:p>
        </w:tc>
        <w:tc>
          <w:tcPr>
            <w:tcW w:w="1436" w:type="dxa"/>
          </w:tcPr>
          <w:p>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w:t>
            </w: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9"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1134" w:type="dxa"/>
          </w:tcPr>
          <w:p>
            <w:pPr>
              <w:spacing w:line="440" w:lineRule="exact"/>
              <w:jc w:val="center"/>
              <w:rPr>
                <w:rFonts w:ascii="宋体" w:hAnsi="宋体" w:cs="宋体"/>
                <w:color w:val="auto"/>
                <w:szCs w:val="21"/>
                <w:highlight w:val="none"/>
              </w:rPr>
            </w:pPr>
          </w:p>
        </w:tc>
        <w:tc>
          <w:tcPr>
            <w:tcW w:w="708" w:type="dxa"/>
          </w:tcPr>
          <w:p>
            <w:pPr>
              <w:spacing w:line="440" w:lineRule="exact"/>
              <w:jc w:val="center"/>
              <w:rPr>
                <w:rFonts w:ascii="宋体" w:hAnsi="宋体" w:cs="宋体"/>
                <w:color w:val="auto"/>
                <w:szCs w:val="21"/>
                <w:highlight w:val="none"/>
              </w:rPr>
            </w:pPr>
          </w:p>
        </w:tc>
        <w:tc>
          <w:tcPr>
            <w:tcW w:w="1044" w:type="dxa"/>
          </w:tcPr>
          <w:p>
            <w:pPr>
              <w:spacing w:line="440" w:lineRule="exact"/>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1" w:type="dxa"/>
          </w:tcPr>
          <w:p>
            <w:pPr>
              <w:spacing w:line="440" w:lineRule="exact"/>
              <w:jc w:val="center"/>
              <w:rPr>
                <w:color w:val="auto"/>
                <w:szCs w:val="21"/>
                <w:highlight w:val="none"/>
              </w:rPr>
            </w:pPr>
          </w:p>
        </w:tc>
        <w:tc>
          <w:tcPr>
            <w:tcW w:w="1436"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9"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1134" w:type="dxa"/>
          </w:tcPr>
          <w:p>
            <w:pPr>
              <w:spacing w:line="440" w:lineRule="exact"/>
              <w:jc w:val="center"/>
              <w:rPr>
                <w:color w:val="auto"/>
                <w:szCs w:val="21"/>
                <w:highlight w:val="none"/>
              </w:rPr>
            </w:pPr>
          </w:p>
        </w:tc>
        <w:tc>
          <w:tcPr>
            <w:tcW w:w="708" w:type="dxa"/>
          </w:tcPr>
          <w:p>
            <w:pPr>
              <w:spacing w:line="440" w:lineRule="exact"/>
              <w:jc w:val="center"/>
              <w:rPr>
                <w:color w:val="auto"/>
                <w:szCs w:val="21"/>
                <w:highlight w:val="none"/>
              </w:rPr>
            </w:pPr>
          </w:p>
        </w:tc>
        <w:tc>
          <w:tcPr>
            <w:tcW w:w="1044" w:type="dxa"/>
          </w:tcPr>
          <w:p>
            <w:pPr>
              <w:spacing w:line="440" w:lineRule="exact"/>
              <w:jc w:val="center"/>
              <w:rPr>
                <w:color w:val="auto"/>
                <w:szCs w:val="21"/>
                <w:highlight w:val="none"/>
              </w:rPr>
            </w:pPr>
          </w:p>
        </w:tc>
      </w:tr>
    </w:tbl>
    <w:p>
      <w:pPr>
        <w:pStyle w:val="7"/>
        <w:jc w:val="center"/>
        <w:rPr>
          <w:color w:val="auto"/>
          <w:sz w:val="28"/>
          <w:highlight w:val="none"/>
        </w:rPr>
      </w:pPr>
      <w:r>
        <w:rPr>
          <w:rFonts w:hint="eastAsia"/>
          <w:color w:val="auto"/>
          <w:sz w:val="28"/>
          <w:highlight w:val="none"/>
        </w:rPr>
        <w:t>（二）工程总承包项目经理简历表</w:t>
      </w:r>
    </w:p>
    <w:tbl>
      <w:tblPr>
        <w:tblStyle w:val="44"/>
        <w:tblW w:w="8351"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3"/>
        <w:gridCol w:w="166"/>
        <w:gridCol w:w="759"/>
        <w:gridCol w:w="1138"/>
        <w:gridCol w:w="759"/>
        <w:gridCol w:w="111"/>
        <w:gridCol w:w="269"/>
        <w:gridCol w:w="1139"/>
        <w:gridCol w:w="781"/>
        <w:gridCol w:w="483"/>
        <w:gridCol w:w="254"/>
        <w:gridCol w:w="15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139" w:type="dxa"/>
            <w:gridSpan w:val="2"/>
            <w:vAlign w:val="center"/>
          </w:tcPr>
          <w:p>
            <w:pPr>
              <w:spacing w:line="300" w:lineRule="exact"/>
              <w:jc w:val="center"/>
              <w:rPr>
                <w:rFonts w:cs="宋体"/>
                <w:color w:val="auto"/>
                <w:szCs w:val="21"/>
                <w:highlight w:val="none"/>
              </w:rPr>
            </w:pPr>
            <w:r>
              <w:rPr>
                <w:rFonts w:hint="eastAsia" w:cs="宋体"/>
                <w:color w:val="auto"/>
                <w:szCs w:val="21"/>
                <w:highlight w:val="none"/>
              </w:rPr>
              <w:t>姓名</w:t>
            </w:r>
          </w:p>
        </w:tc>
        <w:tc>
          <w:tcPr>
            <w:tcW w:w="1897" w:type="dxa"/>
            <w:gridSpan w:val="2"/>
            <w:vAlign w:val="center"/>
          </w:tcPr>
          <w:p>
            <w:pPr>
              <w:spacing w:line="300" w:lineRule="exact"/>
              <w:jc w:val="center"/>
              <w:rPr>
                <w:rFonts w:cs="宋体"/>
                <w:color w:val="auto"/>
                <w:szCs w:val="21"/>
                <w:highlight w:val="none"/>
              </w:rPr>
            </w:pPr>
          </w:p>
        </w:tc>
        <w:tc>
          <w:tcPr>
            <w:tcW w:w="1139"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年龄</w:t>
            </w:r>
          </w:p>
        </w:tc>
        <w:tc>
          <w:tcPr>
            <w:tcW w:w="1139" w:type="dxa"/>
            <w:vAlign w:val="center"/>
          </w:tcPr>
          <w:p>
            <w:pPr>
              <w:spacing w:line="300" w:lineRule="exact"/>
              <w:jc w:val="center"/>
              <w:rPr>
                <w:rFonts w:cs="宋体"/>
                <w:color w:val="auto"/>
                <w:szCs w:val="21"/>
                <w:highlight w:val="none"/>
              </w:rPr>
            </w:pPr>
          </w:p>
        </w:tc>
        <w:tc>
          <w:tcPr>
            <w:tcW w:w="151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身份证号</w:t>
            </w:r>
          </w:p>
        </w:tc>
        <w:tc>
          <w:tcPr>
            <w:tcW w:w="1519" w:type="dxa"/>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139" w:type="dxa"/>
            <w:gridSpan w:val="2"/>
            <w:vAlign w:val="center"/>
          </w:tcPr>
          <w:p>
            <w:pPr>
              <w:spacing w:line="300" w:lineRule="exact"/>
              <w:jc w:val="center"/>
              <w:rPr>
                <w:rFonts w:cs="宋体"/>
                <w:color w:val="auto"/>
                <w:szCs w:val="21"/>
                <w:highlight w:val="none"/>
              </w:rPr>
            </w:pPr>
            <w:r>
              <w:rPr>
                <w:rFonts w:hint="eastAsia" w:cs="宋体"/>
                <w:color w:val="auto"/>
                <w:szCs w:val="21"/>
                <w:highlight w:val="none"/>
              </w:rPr>
              <w:t>职务</w:t>
            </w:r>
          </w:p>
        </w:tc>
        <w:tc>
          <w:tcPr>
            <w:tcW w:w="1897" w:type="dxa"/>
            <w:gridSpan w:val="2"/>
            <w:vAlign w:val="center"/>
          </w:tcPr>
          <w:p>
            <w:pPr>
              <w:spacing w:line="300" w:lineRule="exact"/>
              <w:jc w:val="center"/>
              <w:rPr>
                <w:rFonts w:cs="宋体"/>
                <w:color w:val="auto"/>
                <w:szCs w:val="21"/>
                <w:highlight w:val="none"/>
              </w:rPr>
            </w:pPr>
          </w:p>
        </w:tc>
        <w:tc>
          <w:tcPr>
            <w:tcW w:w="1139"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职称</w:t>
            </w:r>
          </w:p>
        </w:tc>
        <w:tc>
          <w:tcPr>
            <w:tcW w:w="1139" w:type="dxa"/>
            <w:vAlign w:val="center"/>
          </w:tcPr>
          <w:p>
            <w:pPr>
              <w:spacing w:line="300" w:lineRule="exact"/>
              <w:jc w:val="center"/>
              <w:rPr>
                <w:rFonts w:cs="宋体"/>
                <w:color w:val="auto"/>
                <w:szCs w:val="21"/>
                <w:highlight w:val="none"/>
              </w:rPr>
            </w:pPr>
          </w:p>
        </w:tc>
        <w:tc>
          <w:tcPr>
            <w:tcW w:w="151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学历</w:t>
            </w:r>
          </w:p>
        </w:tc>
        <w:tc>
          <w:tcPr>
            <w:tcW w:w="1519" w:type="dxa"/>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89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职业资格证书（职称证书）名称及等级、证书号</w:t>
            </w:r>
          </w:p>
        </w:tc>
        <w:tc>
          <w:tcPr>
            <w:tcW w:w="1897" w:type="dxa"/>
            <w:gridSpan w:val="2"/>
            <w:vAlign w:val="center"/>
          </w:tcPr>
          <w:p>
            <w:pPr>
              <w:spacing w:line="300" w:lineRule="exact"/>
              <w:jc w:val="center"/>
              <w:rPr>
                <w:rFonts w:cs="宋体"/>
                <w:color w:val="auto"/>
                <w:szCs w:val="21"/>
                <w:highlight w:val="none"/>
              </w:rPr>
            </w:pPr>
          </w:p>
        </w:tc>
        <w:tc>
          <w:tcPr>
            <w:tcW w:w="2783" w:type="dxa"/>
            <w:gridSpan w:val="5"/>
            <w:vAlign w:val="center"/>
          </w:tcPr>
          <w:p>
            <w:pPr>
              <w:spacing w:line="300" w:lineRule="exact"/>
              <w:jc w:val="center"/>
              <w:rPr>
                <w:rFonts w:cs="宋体"/>
                <w:color w:val="auto"/>
                <w:szCs w:val="21"/>
                <w:highlight w:val="none"/>
              </w:rPr>
            </w:pPr>
            <w:r>
              <w:rPr>
                <w:rFonts w:hint="eastAsia" w:cs="宋体"/>
                <w:color w:val="auto"/>
                <w:szCs w:val="21"/>
                <w:highlight w:val="none"/>
              </w:rPr>
              <w:t>专业</w:t>
            </w:r>
          </w:p>
        </w:tc>
        <w:tc>
          <w:tcPr>
            <w:tcW w:w="1773" w:type="dxa"/>
            <w:gridSpan w:val="2"/>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89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参加工作时间</w:t>
            </w:r>
          </w:p>
        </w:tc>
        <w:tc>
          <w:tcPr>
            <w:tcW w:w="6453" w:type="dxa"/>
            <w:gridSpan w:val="9"/>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8351" w:type="dxa"/>
            <w:gridSpan w:val="12"/>
            <w:vAlign w:val="center"/>
          </w:tcPr>
          <w:p>
            <w:pPr>
              <w:spacing w:line="300" w:lineRule="exact"/>
              <w:jc w:val="center"/>
              <w:rPr>
                <w:rFonts w:cs="宋体"/>
                <w:color w:val="auto"/>
                <w:szCs w:val="21"/>
                <w:highlight w:val="none"/>
              </w:rPr>
            </w:pPr>
            <w:r>
              <w:rPr>
                <w:rFonts w:hint="eastAsia" w:cs="宋体"/>
                <w:color w:val="auto"/>
                <w:szCs w:val="21"/>
                <w:highlight w:val="none"/>
              </w:rPr>
              <w:t>主要工作经历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31" w:hRule="atLeast"/>
        </w:trPr>
        <w:tc>
          <w:tcPr>
            <w:tcW w:w="973" w:type="dxa"/>
            <w:vAlign w:val="center"/>
          </w:tcPr>
          <w:p>
            <w:pPr>
              <w:spacing w:line="300" w:lineRule="exact"/>
              <w:jc w:val="center"/>
              <w:rPr>
                <w:rFonts w:cs="Courier New"/>
                <w:color w:val="auto"/>
                <w:szCs w:val="21"/>
                <w:highlight w:val="none"/>
              </w:rPr>
            </w:pPr>
            <w:r>
              <w:rPr>
                <w:rFonts w:hint="eastAsia" w:cs="Courier New"/>
                <w:color w:val="auto"/>
                <w:szCs w:val="21"/>
                <w:highlight w:val="none"/>
              </w:rPr>
              <w:t>时间</w:t>
            </w:r>
          </w:p>
        </w:tc>
        <w:tc>
          <w:tcPr>
            <w:tcW w:w="2933" w:type="dxa"/>
            <w:gridSpan w:val="5"/>
            <w:vAlign w:val="center"/>
          </w:tcPr>
          <w:p>
            <w:pPr>
              <w:spacing w:line="300" w:lineRule="exact"/>
              <w:jc w:val="center"/>
              <w:rPr>
                <w:rFonts w:cs="Courier New"/>
                <w:color w:val="auto"/>
                <w:szCs w:val="21"/>
                <w:highlight w:val="none"/>
              </w:rPr>
            </w:pPr>
            <w:r>
              <w:rPr>
                <w:rFonts w:hint="eastAsia" w:cs="Courier New"/>
                <w:color w:val="auto"/>
                <w:szCs w:val="21"/>
                <w:highlight w:val="none"/>
              </w:rPr>
              <w:t>参加过的类似项目</w:t>
            </w:r>
          </w:p>
        </w:tc>
        <w:tc>
          <w:tcPr>
            <w:tcW w:w="2189" w:type="dxa"/>
            <w:gridSpan w:val="3"/>
            <w:vAlign w:val="center"/>
          </w:tcPr>
          <w:p>
            <w:pPr>
              <w:spacing w:line="300" w:lineRule="exact"/>
              <w:jc w:val="center"/>
              <w:rPr>
                <w:rFonts w:cs="Courier New"/>
                <w:color w:val="auto"/>
                <w:szCs w:val="21"/>
                <w:highlight w:val="none"/>
              </w:rPr>
            </w:pPr>
            <w:r>
              <w:rPr>
                <w:rFonts w:hint="eastAsia" w:cs="Courier New"/>
                <w:color w:val="auto"/>
                <w:szCs w:val="21"/>
                <w:highlight w:val="none"/>
              </w:rPr>
              <w:t>工程概况说明</w:t>
            </w:r>
          </w:p>
        </w:tc>
        <w:tc>
          <w:tcPr>
            <w:tcW w:w="2256" w:type="dxa"/>
            <w:gridSpan w:val="3"/>
            <w:vAlign w:val="center"/>
          </w:tcPr>
          <w:p>
            <w:pPr>
              <w:spacing w:line="300" w:lineRule="exact"/>
              <w:jc w:val="center"/>
              <w:rPr>
                <w:rFonts w:cs="Courier New"/>
                <w:color w:val="auto"/>
                <w:szCs w:val="21"/>
                <w:highlight w:val="none"/>
              </w:rPr>
            </w:pPr>
            <w:r>
              <w:rPr>
                <w:rFonts w:hint="eastAsia" w:cs="Courier New"/>
                <w:color w:val="auto"/>
                <w:szCs w:val="21"/>
                <w:highlight w:val="none"/>
              </w:rPr>
              <w:t>发包人及联系电话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3" w:hRule="atLeast"/>
        </w:trPr>
        <w:tc>
          <w:tcPr>
            <w:tcW w:w="973" w:type="dxa"/>
          </w:tcPr>
          <w:p>
            <w:pPr>
              <w:spacing w:line="300" w:lineRule="exact"/>
              <w:rPr>
                <w:rFonts w:cs="Courier New"/>
                <w:color w:val="auto"/>
                <w:szCs w:val="21"/>
                <w:highlight w:val="none"/>
              </w:rPr>
            </w:pPr>
          </w:p>
        </w:tc>
        <w:tc>
          <w:tcPr>
            <w:tcW w:w="2933" w:type="dxa"/>
            <w:gridSpan w:val="5"/>
          </w:tcPr>
          <w:p>
            <w:pPr>
              <w:spacing w:line="300" w:lineRule="exact"/>
              <w:rPr>
                <w:rFonts w:cs="Courier New"/>
                <w:color w:val="auto"/>
                <w:szCs w:val="21"/>
                <w:highlight w:val="none"/>
              </w:rPr>
            </w:pPr>
          </w:p>
        </w:tc>
        <w:tc>
          <w:tcPr>
            <w:tcW w:w="2189" w:type="dxa"/>
            <w:gridSpan w:val="3"/>
          </w:tcPr>
          <w:p>
            <w:pPr>
              <w:spacing w:line="300" w:lineRule="exact"/>
              <w:rPr>
                <w:rFonts w:cs="Courier New"/>
                <w:color w:val="auto"/>
                <w:szCs w:val="21"/>
                <w:highlight w:val="none"/>
              </w:rPr>
            </w:pPr>
          </w:p>
        </w:tc>
        <w:tc>
          <w:tcPr>
            <w:tcW w:w="2256" w:type="dxa"/>
            <w:gridSpan w:val="3"/>
          </w:tcPr>
          <w:p>
            <w:pPr>
              <w:spacing w:line="300" w:lineRule="exact"/>
              <w:rPr>
                <w:rFonts w:cs="Courier New"/>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3" w:hRule="atLeast"/>
        </w:trPr>
        <w:tc>
          <w:tcPr>
            <w:tcW w:w="973" w:type="dxa"/>
          </w:tcPr>
          <w:p>
            <w:pPr>
              <w:spacing w:line="300" w:lineRule="exact"/>
              <w:rPr>
                <w:rFonts w:cs="Courier New"/>
                <w:color w:val="auto"/>
                <w:szCs w:val="21"/>
                <w:highlight w:val="none"/>
              </w:rPr>
            </w:pPr>
          </w:p>
        </w:tc>
        <w:tc>
          <w:tcPr>
            <w:tcW w:w="2933" w:type="dxa"/>
            <w:gridSpan w:val="5"/>
          </w:tcPr>
          <w:p>
            <w:pPr>
              <w:spacing w:line="300" w:lineRule="exact"/>
              <w:rPr>
                <w:rFonts w:cs="Courier New"/>
                <w:color w:val="auto"/>
                <w:szCs w:val="21"/>
                <w:highlight w:val="none"/>
              </w:rPr>
            </w:pPr>
          </w:p>
        </w:tc>
        <w:tc>
          <w:tcPr>
            <w:tcW w:w="2189" w:type="dxa"/>
            <w:gridSpan w:val="3"/>
          </w:tcPr>
          <w:p>
            <w:pPr>
              <w:spacing w:line="300" w:lineRule="exact"/>
              <w:rPr>
                <w:rFonts w:cs="Courier New"/>
                <w:color w:val="auto"/>
                <w:szCs w:val="21"/>
                <w:highlight w:val="none"/>
              </w:rPr>
            </w:pPr>
          </w:p>
        </w:tc>
        <w:tc>
          <w:tcPr>
            <w:tcW w:w="2256" w:type="dxa"/>
            <w:gridSpan w:val="3"/>
          </w:tcPr>
          <w:p>
            <w:pPr>
              <w:spacing w:line="300" w:lineRule="exact"/>
              <w:rPr>
                <w:rFonts w:cs="Courier New"/>
                <w:color w:val="auto"/>
                <w:szCs w:val="21"/>
                <w:highlight w:val="none"/>
              </w:rPr>
            </w:pPr>
          </w:p>
        </w:tc>
      </w:tr>
    </w:tbl>
    <w:p>
      <w:pPr>
        <w:spacing w:line="20" w:lineRule="exact"/>
        <w:rPr>
          <w:rFonts w:eastAsia="黑体"/>
          <w:color w:val="auto"/>
          <w:szCs w:val="21"/>
          <w:highlight w:val="none"/>
        </w:rPr>
      </w:pPr>
    </w:p>
    <w:p>
      <w:pPr>
        <w:spacing w:line="20" w:lineRule="exact"/>
        <w:rPr>
          <w:rFonts w:eastAsia="黑体" w:cs="黑体"/>
          <w:color w:val="auto"/>
          <w:highlight w:val="none"/>
        </w:rPr>
      </w:pPr>
    </w:p>
    <w:p>
      <w:pPr>
        <w:spacing w:before="120" w:beforeLines="50" w:after="240" w:afterLines="100" w:line="440" w:lineRule="exact"/>
        <w:rPr>
          <w:color w:val="auto"/>
          <w:szCs w:val="21"/>
          <w:highlight w:val="none"/>
        </w:rPr>
      </w:pPr>
      <w:r>
        <w:rPr>
          <w:rFonts w:hint="eastAsia"/>
          <w:color w:val="auto"/>
          <w:szCs w:val="21"/>
          <w:highlight w:val="none"/>
        </w:rPr>
        <w:t>注：本表根据项目的具体特点在招标文件中明确要求填报的具体人员</w:t>
      </w:r>
    </w:p>
    <w:p>
      <w:pPr>
        <w:spacing w:before="120" w:beforeLines="50" w:after="120" w:afterLines="50" w:line="440" w:lineRule="exact"/>
        <w:ind w:left="772" w:leftChars="100" w:hanging="562" w:hangingChars="200"/>
        <w:jc w:val="center"/>
        <w:rPr>
          <w:b/>
          <w:color w:val="auto"/>
          <w:sz w:val="28"/>
          <w:szCs w:val="28"/>
          <w:highlight w:val="none"/>
        </w:rPr>
      </w:pPr>
    </w:p>
    <w:p>
      <w:pPr>
        <w:spacing w:before="120" w:beforeLines="50" w:after="120" w:afterLines="50" w:line="440" w:lineRule="exact"/>
        <w:ind w:left="772" w:leftChars="100" w:hanging="562" w:hangingChars="200"/>
        <w:jc w:val="center"/>
        <w:rPr>
          <w:b/>
          <w:color w:val="auto"/>
          <w:sz w:val="28"/>
          <w:szCs w:val="28"/>
          <w:highlight w:val="none"/>
        </w:rPr>
      </w:pPr>
    </w:p>
    <w:p>
      <w:pPr>
        <w:spacing w:before="120" w:beforeLines="50" w:after="120" w:afterLines="50" w:line="440" w:lineRule="exact"/>
        <w:ind w:left="772" w:leftChars="100" w:hanging="562" w:hangingChars="200"/>
        <w:jc w:val="center"/>
        <w:rPr>
          <w:b/>
          <w:color w:val="auto"/>
          <w:sz w:val="28"/>
          <w:szCs w:val="28"/>
          <w:highlight w:val="none"/>
        </w:rPr>
      </w:pPr>
    </w:p>
    <w:p>
      <w:pPr>
        <w:rPr>
          <w:rFonts w:ascii="黑体" w:hAnsi="宋体"/>
          <w:b/>
          <w:color w:val="auto"/>
          <w:sz w:val="32"/>
          <w:highlight w:val="none"/>
        </w:rPr>
      </w:pPr>
      <w:r>
        <w:rPr>
          <w:rFonts w:hint="eastAsia" w:ascii="黑体" w:hAnsi="宋体"/>
          <w:b/>
          <w:color w:val="auto"/>
          <w:sz w:val="32"/>
          <w:highlight w:val="none"/>
        </w:rPr>
        <w:br w:type="page"/>
      </w:r>
    </w:p>
    <w:p>
      <w:pPr>
        <w:pStyle w:val="7"/>
        <w:jc w:val="center"/>
        <w:rPr>
          <w:color w:val="auto"/>
          <w:sz w:val="28"/>
          <w:highlight w:val="none"/>
        </w:rPr>
      </w:pPr>
      <w:r>
        <w:rPr>
          <w:rFonts w:hint="eastAsia"/>
          <w:color w:val="auto"/>
          <w:sz w:val="28"/>
          <w:highlight w:val="none"/>
        </w:rPr>
        <w:t>（三）其他项目经理简历表</w:t>
      </w:r>
    </w:p>
    <w:tbl>
      <w:tblPr>
        <w:tblStyle w:val="44"/>
        <w:tblW w:w="8351"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3"/>
        <w:gridCol w:w="166"/>
        <w:gridCol w:w="759"/>
        <w:gridCol w:w="1138"/>
        <w:gridCol w:w="759"/>
        <w:gridCol w:w="111"/>
        <w:gridCol w:w="269"/>
        <w:gridCol w:w="1139"/>
        <w:gridCol w:w="781"/>
        <w:gridCol w:w="483"/>
        <w:gridCol w:w="254"/>
        <w:gridCol w:w="15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139" w:type="dxa"/>
            <w:gridSpan w:val="2"/>
            <w:vAlign w:val="center"/>
          </w:tcPr>
          <w:p>
            <w:pPr>
              <w:spacing w:line="300" w:lineRule="exact"/>
              <w:jc w:val="center"/>
              <w:rPr>
                <w:rFonts w:cs="宋体"/>
                <w:color w:val="auto"/>
                <w:szCs w:val="21"/>
                <w:highlight w:val="none"/>
              </w:rPr>
            </w:pPr>
            <w:r>
              <w:rPr>
                <w:rFonts w:hint="eastAsia" w:cs="宋体"/>
                <w:color w:val="auto"/>
                <w:szCs w:val="21"/>
                <w:highlight w:val="none"/>
              </w:rPr>
              <w:t>姓名</w:t>
            </w:r>
          </w:p>
        </w:tc>
        <w:tc>
          <w:tcPr>
            <w:tcW w:w="1897" w:type="dxa"/>
            <w:gridSpan w:val="2"/>
            <w:vAlign w:val="center"/>
          </w:tcPr>
          <w:p>
            <w:pPr>
              <w:spacing w:line="300" w:lineRule="exact"/>
              <w:jc w:val="center"/>
              <w:rPr>
                <w:rFonts w:cs="宋体"/>
                <w:color w:val="auto"/>
                <w:szCs w:val="21"/>
                <w:highlight w:val="none"/>
              </w:rPr>
            </w:pPr>
          </w:p>
        </w:tc>
        <w:tc>
          <w:tcPr>
            <w:tcW w:w="1139"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年龄</w:t>
            </w:r>
          </w:p>
        </w:tc>
        <w:tc>
          <w:tcPr>
            <w:tcW w:w="1139" w:type="dxa"/>
            <w:vAlign w:val="center"/>
          </w:tcPr>
          <w:p>
            <w:pPr>
              <w:spacing w:line="300" w:lineRule="exact"/>
              <w:jc w:val="center"/>
              <w:rPr>
                <w:rFonts w:cs="宋体"/>
                <w:color w:val="auto"/>
                <w:szCs w:val="21"/>
                <w:highlight w:val="none"/>
              </w:rPr>
            </w:pPr>
          </w:p>
        </w:tc>
        <w:tc>
          <w:tcPr>
            <w:tcW w:w="151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身份证号</w:t>
            </w:r>
          </w:p>
        </w:tc>
        <w:tc>
          <w:tcPr>
            <w:tcW w:w="1519" w:type="dxa"/>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139" w:type="dxa"/>
            <w:gridSpan w:val="2"/>
            <w:vAlign w:val="center"/>
          </w:tcPr>
          <w:p>
            <w:pPr>
              <w:spacing w:line="300" w:lineRule="exact"/>
              <w:jc w:val="center"/>
              <w:rPr>
                <w:rFonts w:cs="宋体"/>
                <w:color w:val="auto"/>
                <w:szCs w:val="21"/>
                <w:highlight w:val="none"/>
              </w:rPr>
            </w:pPr>
            <w:r>
              <w:rPr>
                <w:rFonts w:hint="eastAsia" w:cs="宋体"/>
                <w:color w:val="auto"/>
                <w:szCs w:val="21"/>
                <w:highlight w:val="none"/>
              </w:rPr>
              <w:t>职务</w:t>
            </w:r>
          </w:p>
        </w:tc>
        <w:tc>
          <w:tcPr>
            <w:tcW w:w="1897" w:type="dxa"/>
            <w:gridSpan w:val="2"/>
            <w:vAlign w:val="center"/>
          </w:tcPr>
          <w:p>
            <w:pPr>
              <w:spacing w:line="300" w:lineRule="exact"/>
              <w:jc w:val="center"/>
              <w:rPr>
                <w:rFonts w:cs="宋体"/>
                <w:color w:val="auto"/>
                <w:szCs w:val="21"/>
                <w:highlight w:val="none"/>
              </w:rPr>
            </w:pPr>
          </w:p>
        </w:tc>
        <w:tc>
          <w:tcPr>
            <w:tcW w:w="1139"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职称</w:t>
            </w:r>
          </w:p>
        </w:tc>
        <w:tc>
          <w:tcPr>
            <w:tcW w:w="1139" w:type="dxa"/>
            <w:vAlign w:val="center"/>
          </w:tcPr>
          <w:p>
            <w:pPr>
              <w:spacing w:line="300" w:lineRule="exact"/>
              <w:jc w:val="center"/>
              <w:rPr>
                <w:rFonts w:cs="宋体"/>
                <w:color w:val="auto"/>
                <w:szCs w:val="21"/>
                <w:highlight w:val="none"/>
              </w:rPr>
            </w:pPr>
          </w:p>
        </w:tc>
        <w:tc>
          <w:tcPr>
            <w:tcW w:w="151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学历</w:t>
            </w:r>
          </w:p>
        </w:tc>
        <w:tc>
          <w:tcPr>
            <w:tcW w:w="1519" w:type="dxa"/>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89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职业资格证书（职称证书）名称及等级、证书号</w:t>
            </w:r>
          </w:p>
        </w:tc>
        <w:tc>
          <w:tcPr>
            <w:tcW w:w="1897" w:type="dxa"/>
            <w:gridSpan w:val="2"/>
            <w:vAlign w:val="center"/>
          </w:tcPr>
          <w:p>
            <w:pPr>
              <w:spacing w:line="300" w:lineRule="exact"/>
              <w:jc w:val="center"/>
              <w:rPr>
                <w:rFonts w:cs="宋体"/>
                <w:color w:val="auto"/>
                <w:szCs w:val="21"/>
                <w:highlight w:val="none"/>
              </w:rPr>
            </w:pPr>
          </w:p>
        </w:tc>
        <w:tc>
          <w:tcPr>
            <w:tcW w:w="2783" w:type="dxa"/>
            <w:gridSpan w:val="5"/>
            <w:vAlign w:val="center"/>
          </w:tcPr>
          <w:p>
            <w:pPr>
              <w:spacing w:line="300" w:lineRule="exact"/>
              <w:jc w:val="center"/>
              <w:rPr>
                <w:rFonts w:cs="宋体"/>
                <w:color w:val="auto"/>
                <w:szCs w:val="21"/>
                <w:highlight w:val="none"/>
              </w:rPr>
            </w:pPr>
            <w:r>
              <w:rPr>
                <w:rFonts w:hint="eastAsia" w:cs="宋体"/>
                <w:color w:val="auto"/>
                <w:szCs w:val="21"/>
                <w:highlight w:val="none"/>
              </w:rPr>
              <w:t>专业</w:t>
            </w:r>
          </w:p>
        </w:tc>
        <w:tc>
          <w:tcPr>
            <w:tcW w:w="1773" w:type="dxa"/>
            <w:gridSpan w:val="2"/>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1898" w:type="dxa"/>
            <w:gridSpan w:val="3"/>
            <w:vAlign w:val="center"/>
          </w:tcPr>
          <w:p>
            <w:pPr>
              <w:spacing w:line="300" w:lineRule="exact"/>
              <w:jc w:val="center"/>
              <w:rPr>
                <w:rFonts w:cs="宋体"/>
                <w:color w:val="auto"/>
                <w:szCs w:val="21"/>
                <w:highlight w:val="none"/>
              </w:rPr>
            </w:pPr>
            <w:r>
              <w:rPr>
                <w:rFonts w:hint="eastAsia" w:cs="宋体"/>
                <w:color w:val="auto"/>
                <w:szCs w:val="21"/>
                <w:highlight w:val="none"/>
              </w:rPr>
              <w:t>参加工作时间</w:t>
            </w:r>
          </w:p>
        </w:tc>
        <w:tc>
          <w:tcPr>
            <w:tcW w:w="6453" w:type="dxa"/>
            <w:gridSpan w:val="9"/>
            <w:vAlign w:val="center"/>
          </w:tcPr>
          <w:p>
            <w:pPr>
              <w:spacing w:line="300" w:lineRule="exact"/>
              <w:jc w:val="center"/>
              <w:rPr>
                <w:rFonts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trPr>
        <w:tc>
          <w:tcPr>
            <w:tcW w:w="8351" w:type="dxa"/>
            <w:gridSpan w:val="12"/>
            <w:vAlign w:val="center"/>
          </w:tcPr>
          <w:p>
            <w:pPr>
              <w:spacing w:line="300" w:lineRule="exact"/>
              <w:jc w:val="center"/>
              <w:rPr>
                <w:rFonts w:cs="宋体"/>
                <w:color w:val="auto"/>
                <w:szCs w:val="21"/>
                <w:highlight w:val="none"/>
              </w:rPr>
            </w:pPr>
            <w:r>
              <w:rPr>
                <w:rFonts w:hint="eastAsia" w:cs="宋体"/>
                <w:color w:val="auto"/>
                <w:szCs w:val="21"/>
                <w:highlight w:val="none"/>
              </w:rPr>
              <w:t>主要工作经历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31" w:hRule="atLeast"/>
        </w:trPr>
        <w:tc>
          <w:tcPr>
            <w:tcW w:w="973" w:type="dxa"/>
            <w:vAlign w:val="center"/>
          </w:tcPr>
          <w:p>
            <w:pPr>
              <w:spacing w:line="300" w:lineRule="exact"/>
              <w:jc w:val="center"/>
              <w:rPr>
                <w:rFonts w:cs="Courier New"/>
                <w:color w:val="auto"/>
                <w:szCs w:val="21"/>
                <w:highlight w:val="none"/>
              </w:rPr>
            </w:pPr>
            <w:r>
              <w:rPr>
                <w:rFonts w:hint="eastAsia" w:cs="Courier New"/>
                <w:color w:val="auto"/>
                <w:szCs w:val="21"/>
                <w:highlight w:val="none"/>
              </w:rPr>
              <w:t>时间</w:t>
            </w:r>
          </w:p>
        </w:tc>
        <w:tc>
          <w:tcPr>
            <w:tcW w:w="2933" w:type="dxa"/>
            <w:gridSpan w:val="5"/>
            <w:vAlign w:val="center"/>
          </w:tcPr>
          <w:p>
            <w:pPr>
              <w:spacing w:line="300" w:lineRule="exact"/>
              <w:jc w:val="center"/>
              <w:rPr>
                <w:rFonts w:cs="Courier New"/>
                <w:color w:val="auto"/>
                <w:szCs w:val="21"/>
                <w:highlight w:val="none"/>
              </w:rPr>
            </w:pPr>
            <w:r>
              <w:rPr>
                <w:rFonts w:hint="eastAsia" w:cs="Courier New"/>
                <w:color w:val="auto"/>
                <w:szCs w:val="21"/>
                <w:highlight w:val="none"/>
              </w:rPr>
              <w:t>参加过的类似项目</w:t>
            </w:r>
          </w:p>
        </w:tc>
        <w:tc>
          <w:tcPr>
            <w:tcW w:w="2189" w:type="dxa"/>
            <w:gridSpan w:val="3"/>
            <w:vAlign w:val="center"/>
          </w:tcPr>
          <w:p>
            <w:pPr>
              <w:spacing w:line="300" w:lineRule="exact"/>
              <w:jc w:val="center"/>
              <w:rPr>
                <w:rFonts w:cs="Courier New"/>
                <w:color w:val="auto"/>
                <w:szCs w:val="21"/>
                <w:highlight w:val="none"/>
              </w:rPr>
            </w:pPr>
            <w:r>
              <w:rPr>
                <w:rFonts w:hint="eastAsia" w:cs="Courier New"/>
                <w:color w:val="auto"/>
                <w:szCs w:val="21"/>
                <w:highlight w:val="none"/>
              </w:rPr>
              <w:t>工程概况说明</w:t>
            </w:r>
          </w:p>
        </w:tc>
        <w:tc>
          <w:tcPr>
            <w:tcW w:w="2256" w:type="dxa"/>
            <w:gridSpan w:val="3"/>
            <w:vAlign w:val="center"/>
          </w:tcPr>
          <w:p>
            <w:pPr>
              <w:spacing w:line="300" w:lineRule="exact"/>
              <w:jc w:val="center"/>
              <w:rPr>
                <w:rFonts w:cs="Courier New"/>
                <w:color w:val="auto"/>
                <w:szCs w:val="21"/>
                <w:highlight w:val="none"/>
              </w:rPr>
            </w:pPr>
            <w:r>
              <w:rPr>
                <w:rFonts w:hint="eastAsia" w:cs="Courier New"/>
                <w:color w:val="auto"/>
                <w:szCs w:val="21"/>
                <w:highlight w:val="none"/>
              </w:rPr>
              <w:t>发包人及联系电话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3" w:hRule="atLeast"/>
        </w:trPr>
        <w:tc>
          <w:tcPr>
            <w:tcW w:w="973" w:type="dxa"/>
          </w:tcPr>
          <w:p>
            <w:pPr>
              <w:spacing w:line="300" w:lineRule="exact"/>
              <w:rPr>
                <w:rFonts w:cs="Courier New"/>
                <w:color w:val="auto"/>
                <w:szCs w:val="21"/>
                <w:highlight w:val="none"/>
              </w:rPr>
            </w:pPr>
          </w:p>
        </w:tc>
        <w:tc>
          <w:tcPr>
            <w:tcW w:w="2933" w:type="dxa"/>
            <w:gridSpan w:val="5"/>
          </w:tcPr>
          <w:p>
            <w:pPr>
              <w:spacing w:line="300" w:lineRule="exact"/>
              <w:rPr>
                <w:rFonts w:cs="Courier New"/>
                <w:color w:val="auto"/>
                <w:szCs w:val="21"/>
                <w:highlight w:val="none"/>
              </w:rPr>
            </w:pPr>
          </w:p>
        </w:tc>
        <w:tc>
          <w:tcPr>
            <w:tcW w:w="2189" w:type="dxa"/>
            <w:gridSpan w:val="3"/>
          </w:tcPr>
          <w:p>
            <w:pPr>
              <w:spacing w:line="300" w:lineRule="exact"/>
              <w:rPr>
                <w:rFonts w:cs="Courier New"/>
                <w:color w:val="auto"/>
                <w:szCs w:val="21"/>
                <w:highlight w:val="none"/>
              </w:rPr>
            </w:pPr>
          </w:p>
        </w:tc>
        <w:tc>
          <w:tcPr>
            <w:tcW w:w="2256" w:type="dxa"/>
            <w:gridSpan w:val="3"/>
          </w:tcPr>
          <w:p>
            <w:pPr>
              <w:spacing w:line="300" w:lineRule="exact"/>
              <w:rPr>
                <w:rFonts w:cs="Courier New"/>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3" w:hRule="atLeast"/>
        </w:trPr>
        <w:tc>
          <w:tcPr>
            <w:tcW w:w="973" w:type="dxa"/>
          </w:tcPr>
          <w:p>
            <w:pPr>
              <w:spacing w:line="300" w:lineRule="exact"/>
              <w:rPr>
                <w:rFonts w:cs="Courier New"/>
                <w:color w:val="auto"/>
                <w:szCs w:val="21"/>
                <w:highlight w:val="none"/>
              </w:rPr>
            </w:pPr>
          </w:p>
        </w:tc>
        <w:tc>
          <w:tcPr>
            <w:tcW w:w="2933" w:type="dxa"/>
            <w:gridSpan w:val="5"/>
          </w:tcPr>
          <w:p>
            <w:pPr>
              <w:spacing w:line="300" w:lineRule="exact"/>
              <w:rPr>
                <w:rFonts w:cs="Courier New"/>
                <w:color w:val="auto"/>
                <w:szCs w:val="21"/>
                <w:highlight w:val="none"/>
              </w:rPr>
            </w:pPr>
          </w:p>
        </w:tc>
        <w:tc>
          <w:tcPr>
            <w:tcW w:w="2189" w:type="dxa"/>
            <w:gridSpan w:val="3"/>
          </w:tcPr>
          <w:p>
            <w:pPr>
              <w:spacing w:line="300" w:lineRule="exact"/>
              <w:rPr>
                <w:rFonts w:cs="Courier New"/>
                <w:color w:val="auto"/>
                <w:szCs w:val="21"/>
                <w:highlight w:val="none"/>
              </w:rPr>
            </w:pPr>
          </w:p>
        </w:tc>
        <w:tc>
          <w:tcPr>
            <w:tcW w:w="2256" w:type="dxa"/>
            <w:gridSpan w:val="3"/>
          </w:tcPr>
          <w:p>
            <w:pPr>
              <w:spacing w:line="300" w:lineRule="exact"/>
              <w:rPr>
                <w:rFonts w:cs="Courier New"/>
                <w:color w:val="auto"/>
                <w:szCs w:val="21"/>
                <w:highlight w:val="none"/>
              </w:rPr>
            </w:pPr>
          </w:p>
        </w:tc>
      </w:tr>
    </w:tbl>
    <w:p>
      <w:pPr>
        <w:rPr>
          <w:color w:val="auto"/>
          <w:highlight w:val="none"/>
        </w:rPr>
      </w:pPr>
    </w:p>
    <w:p>
      <w:pPr>
        <w:spacing w:line="20" w:lineRule="exact"/>
        <w:rPr>
          <w:rFonts w:eastAsia="黑体"/>
          <w:color w:val="auto"/>
          <w:szCs w:val="21"/>
          <w:highlight w:val="none"/>
        </w:rPr>
      </w:pPr>
    </w:p>
    <w:p>
      <w:pPr>
        <w:spacing w:line="20" w:lineRule="exact"/>
        <w:rPr>
          <w:rFonts w:eastAsia="黑体" w:cs="黑体"/>
          <w:color w:val="auto"/>
          <w:highlight w:val="none"/>
        </w:rPr>
      </w:pPr>
    </w:p>
    <w:p>
      <w:pPr>
        <w:spacing w:before="120" w:beforeLines="50" w:after="240" w:afterLines="100" w:line="440" w:lineRule="exact"/>
        <w:rPr>
          <w:color w:val="auto"/>
          <w:highlight w:val="none"/>
        </w:rPr>
        <w:sectPr>
          <w:headerReference r:id="rId21" w:type="default"/>
          <w:pgSz w:w="11907" w:h="16840"/>
          <w:pgMar w:top="1440" w:right="1559" w:bottom="1440" w:left="1560" w:header="851" w:footer="851" w:gutter="0"/>
          <w:cols w:space="720" w:num="1"/>
          <w:docGrid w:linePitch="312" w:charSpace="0"/>
        </w:sectPr>
      </w:pPr>
      <w:r>
        <w:rPr>
          <w:rFonts w:hint="eastAsia"/>
          <w:color w:val="auto"/>
          <w:szCs w:val="21"/>
          <w:highlight w:val="none"/>
        </w:rPr>
        <w:t>注：本表根据项目的具体特点在招标文件中明确要求填报的具体</w:t>
      </w:r>
    </w:p>
    <w:p>
      <w:pPr>
        <w:pStyle w:val="6"/>
        <w:jc w:val="center"/>
        <w:rPr>
          <w:rFonts w:ascii="黑体" w:hAnsi="黑体" w:eastAsia="黑体" w:cs="黑体"/>
          <w:b w:val="0"/>
          <w:color w:val="auto"/>
          <w:sz w:val="32"/>
          <w:highlight w:val="none"/>
        </w:rPr>
      </w:pPr>
      <w:bookmarkStart w:id="948" w:name="_Toc31130"/>
      <w:bookmarkStart w:id="949" w:name="_Toc23439"/>
      <w:bookmarkStart w:id="950" w:name="_Toc1310"/>
      <w:bookmarkStart w:id="951" w:name="_Toc2092"/>
      <w:bookmarkStart w:id="952" w:name="_Toc25202"/>
      <w:bookmarkStart w:id="953" w:name="_Toc31336"/>
      <w:r>
        <w:rPr>
          <w:rFonts w:hint="eastAsia" w:ascii="黑体" w:hAnsi="黑体" w:eastAsia="黑体" w:cs="黑体"/>
          <w:b w:val="0"/>
          <w:color w:val="auto"/>
          <w:sz w:val="32"/>
          <w:highlight w:val="none"/>
        </w:rPr>
        <w:t>八、拟再发包（分包）计划表</w:t>
      </w:r>
      <w:bookmarkEnd w:id="948"/>
      <w:bookmarkEnd w:id="949"/>
      <w:bookmarkEnd w:id="950"/>
      <w:bookmarkEnd w:id="951"/>
      <w:bookmarkEnd w:id="952"/>
      <w:bookmarkEnd w:id="953"/>
    </w:p>
    <w:p>
      <w:pPr>
        <w:pStyle w:val="7"/>
        <w:jc w:val="center"/>
        <w:rPr>
          <w:color w:val="auto"/>
          <w:sz w:val="28"/>
          <w:highlight w:val="none"/>
        </w:rPr>
      </w:pPr>
      <w:r>
        <w:rPr>
          <w:rFonts w:hint="eastAsia"/>
          <w:color w:val="auto"/>
          <w:sz w:val="28"/>
          <w:highlight w:val="none"/>
        </w:rPr>
        <w:t>（一）拟再发包计划表</w:t>
      </w:r>
    </w:p>
    <w:p>
      <w:pPr>
        <w:pStyle w:val="148"/>
        <w:jc w:val="center"/>
        <w:rPr>
          <w:b/>
          <w:color w:val="auto"/>
          <w:sz w:val="28"/>
          <w:szCs w:val="28"/>
          <w:highlight w:val="none"/>
        </w:rPr>
      </w:pPr>
    </w:p>
    <w:tbl>
      <w:tblPr>
        <w:tblStyle w:val="44"/>
        <w:tblW w:w="87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843"/>
        <w:gridCol w:w="751"/>
        <w:gridCol w:w="950"/>
        <w:gridCol w:w="1123"/>
        <w:gridCol w:w="1090"/>
        <w:gridCol w:w="1197"/>
        <w:gridCol w:w="1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568" w:type="dxa"/>
            <w:vMerge w:val="restart"/>
            <w:tcMar>
              <w:left w:w="108" w:type="dxa"/>
              <w:right w:w="108" w:type="dxa"/>
            </w:tcMar>
            <w:vAlign w:val="center"/>
          </w:tcPr>
          <w:p>
            <w:pPr>
              <w:jc w:val="center"/>
              <w:rPr>
                <w:color w:val="auto"/>
                <w:szCs w:val="21"/>
                <w:highlight w:val="none"/>
              </w:rPr>
            </w:pPr>
            <w:r>
              <w:rPr>
                <w:color w:val="auto"/>
                <w:szCs w:val="21"/>
                <w:highlight w:val="none"/>
              </w:rPr>
              <w:t>序</w:t>
            </w:r>
          </w:p>
          <w:p>
            <w:pPr>
              <w:jc w:val="center"/>
              <w:rPr>
                <w:color w:val="auto"/>
                <w:szCs w:val="21"/>
                <w:highlight w:val="none"/>
              </w:rPr>
            </w:pPr>
            <w:r>
              <w:rPr>
                <w:color w:val="auto"/>
                <w:szCs w:val="21"/>
                <w:highlight w:val="none"/>
              </w:rPr>
              <w:t>号</w:t>
            </w:r>
          </w:p>
        </w:tc>
        <w:tc>
          <w:tcPr>
            <w:tcW w:w="1843" w:type="dxa"/>
            <w:vMerge w:val="restart"/>
            <w:tcMar>
              <w:left w:w="108" w:type="dxa"/>
              <w:right w:w="108" w:type="dxa"/>
            </w:tcMar>
            <w:vAlign w:val="center"/>
          </w:tcPr>
          <w:p>
            <w:pPr>
              <w:jc w:val="center"/>
              <w:rPr>
                <w:color w:val="auto"/>
                <w:szCs w:val="21"/>
                <w:highlight w:val="none"/>
              </w:rPr>
            </w:pPr>
            <w:r>
              <w:rPr>
                <w:rFonts w:hint="eastAsia"/>
                <w:color w:val="auto"/>
                <w:szCs w:val="21"/>
                <w:highlight w:val="none"/>
              </w:rPr>
              <w:t>拟再发</w:t>
            </w:r>
            <w:r>
              <w:rPr>
                <w:color w:val="auto"/>
                <w:szCs w:val="21"/>
                <w:highlight w:val="none"/>
              </w:rPr>
              <w:t>包项目名称、范围及理由</w:t>
            </w:r>
          </w:p>
        </w:tc>
        <w:tc>
          <w:tcPr>
            <w:tcW w:w="5111" w:type="dxa"/>
            <w:gridSpan w:val="5"/>
            <w:tcMar>
              <w:left w:w="108" w:type="dxa"/>
              <w:right w:w="108" w:type="dxa"/>
            </w:tcMar>
            <w:vAlign w:val="center"/>
          </w:tcPr>
          <w:p>
            <w:pPr>
              <w:jc w:val="center"/>
              <w:rPr>
                <w:color w:val="auto"/>
                <w:szCs w:val="21"/>
                <w:highlight w:val="none"/>
              </w:rPr>
            </w:pPr>
            <w:r>
              <w:rPr>
                <w:color w:val="auto"/>
                <w:szCs w:val="21"/>
                <w:highlight w:val="none"/>
              </w:rPr>
              <w:t>拟选</w:t>
            </w:r>
            <w:r>
              <w:rPr>
                <w:rFonts w:hint="eastAsia"/>
                <w:color w:val="auto"/>
                <w:szCs w:val="21"/>
                <w:highlight w:val="none"/>
              </w:rPr>
              <w:t>再发包</w:t>
            </w:r>
            <w:r>
              <w:rPr>
                <w:color w:val="auto"/>
                <w:szCs w:val="21"/>
                <w:highlight w:val="none"/>
              </w:rPr>
              <w:t>人</w:t>
            </w:r>
          </w:p>
        </w:tc>
        <w:tc>
          <w:tcPr>
            <w:tcW w:w="1268" w:type="dxa"/>
            <w:vMerge w:val="restart"/>
            <w:tcMar>
              <w:left w:w="108" w:type="dxa"/>
              <w:right w:w="108" w:type="dxa"/>
            </w:tcMar>
            <w:vAlign w:val="center"/>
          </w:tcPr>
          <w:p>
            <w:pPr>
              <w:jc w:val="center"/>
              <w:rPr>
                <w:color w:val="auto"/>
                <w:szCs w:val="21"/>
                <w:highlight w:val="none"/>
              </w:rPr>
            </w:pPr>
            <w:r>
              <w:rPr>
                <w:color w:val="auto"/>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1701" w:type="dxa"/>
            <w:gridSpan w:val="2"/>
            <w:tcMar>
              <w:left w:w="108" w:type="dxa"/>
              <w:right w:w="108" w:type="dxa"/>
            </w:tcMar>
            <w:vAlign w:val="center"/>
          </w:tcPr>
          <w:p>
            <w:pPr>
              <w:jc w:val="center"/>
              <w:rPr>
                <w:color w:val="auto"/>
                <w:szCs w:val="21"/>
                <w:highlight w:val="none"/>
              </w:rPr>
            </w:pPr>
            <w:r>
              <w:rPr>
                <w:color w:val="auto"/>
                <w:szCs w:val="21"/>
                <w:highlight w:val="none"/>
              </w:rPr>
              <w:t>拟选</w:t>
            </w:r>
            <w:r>
              <w:rPr>
                <w:rFonts w:hint="eastAsia"/>
                <w:color w:val="auto"/>
                <w:szCs w:val="21"/>
                <w:highlight w:val="none"/>
              </w:rPr>
              <w:t>再发</w:t>
            </w:r>
            <w:r>
              <w:rPr>
                <w:color w:val="auto"/>
                <w:szCs w:val="21"/>
                <w:highlight w:val="none"/>
              </w:rPr>
              <w:t>包人名称</w:t>
            </w:r>
          </w:p>
        </w:tc>
        <w:tc>
          <w:tcPr>
            <w:tcW w:w="1123" w:type="dxa"/>
            <w:tcMar>
              <w:left w:w="108" w:type="dxa"/>
              <w:right w:w="108" w:type="dxa"/>
            </w:tcMar>
            <w:vAlign w:val="center"/>
          </w:tcPr>
          <w:p>
            <w:pPr>
              <w:jc w:val="center"/>
              <w:rPr>
                <w:color w:val="auto"/>
                <w:szCs w:val="21"/>
                <w:highlight w:val="none"/>
              </w:rPr>
            </w:pPr>
            <w:r>
              <w:rPr>
                <w:color w:val="auto"/>
                <w:szCs w:val="21"/>
                <w:highlight w:val="none"/>
              </w:rPr>
              <w:t>注册地点</w:t>
            </w:r>
          </w:p>
        </w:tc>
        <w:tc>
          <w:tcPr>
            <w:tcW w:w="1090" w:type="dxa"/>
            <w:tcMar>
              <w:left w:w="108" w:type="dxa"/>
              <w:right w:w="108" w:type="dxa"/>
            </w:tcMar>
            <w:vAlign w:val="center"/>
          </w:tcPr>
          <w:p>
            <w:pPr>
              <w:jc w:val="center"/>
              <w:rPr>
                <w:color w:val="auto"/>
                <w:szCs w:val="21"/>
                <w:highlight w:val="none"/>
              </w:rPr>
            </w:pPr>
            <w:r>
              <w:rPr>
                <w:color w:val="auto"/>
                <w:szCs w:val="21"/>
                <w:highlight w:val="none"/>
              </w:rPr>
              <w:t>企业资质</w:t>
            </w:r>
          </w:p>
        </w:tc>
        <w:tc>
          <w:tcPr>
            <w:tcW w:w="1197" w:type="dxa"/>
            <w:tcMar>
              <w:left w:w="108" w:type="dxa"/>
              <w:right w:w="108" w:type="dxa"/>
            </w:tcMar>
            <w:vAlign w:val="center"/>
          </w:tcPr>
          <w:p>
            <w:pPr>
              <w:jc w:val="center"/>
              <w:rPr>
                <w:color w:val="auto"/>
                <w:szCs w:val="21"/>
                <w:highlight w:val="none"/>
              </w:rPr>
            </w:pPr>
            <w:r>
              <w:rPr>
                <w:color w:val="auto"/>
                <w:szCs w:val="21"/>
                <w:highlight w:val="none"/>
              </w:rPr>
              <w:t>有关业绩</w:t>
            </w:r>
          </w:p>
        </w:tc>
        <w:tc>
          <w:tcPr>
            <w:tcW w:w="1268" w:type="dxa"/>
            <w:vMerge w:val="continue"/>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restart"/>
            <w:tcMar>
              <w:left w:w="108" w:type="dxa"/>
              <w:right w:w="108" w:type="dxa"/>
            </w:tcMar>
            <w:vAlign w:val="center"/>
          </w:tcPr>
          <w:p>
            <w:pPr>
              <w:jc w:val="center"/>
              <w:rPr>
                <w:color w:val="auto"/>
                <w:szCs w:val="21"/>
                <w:highlight w:val="none"/>
              </w:rPr>
            </w:pPr>
          </w:p>
        </w:tc>
        <w:tc>
          <w:tcPr>
            <w:tcW w:w="1843" w:type="dxa"/>
            <w:vMerge w:val="restart"/>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1</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2</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3</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restart"/>
            <w:tcMar>
              <w:left w:w="108" w:type="dxa"/>
              <w:right w:w="108" w:type="dxa"/>
            </w:tcMar>
            <w:vAlign w:val="center"/>
          </w:tcPr>
          <w:p>
            <w:pPr>
              <w:jc w:val="center"/>
              <w:rPr>
                <w:color w:val="auto"/>
                <w:szCs w:val="21"/>
                <w:highlight w:val="none"/>
              </w:rPr>
            </w:pPr>
          </w:p>
        </w:tc>
        <w:tc>
          <w:tcPr>
            <w:tcW w:w="1843" w:type="dxa"/>
            <w:vMerge w:val="restart"/>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1</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2</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3</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bl>
    <w:p>
      <w:pPr>
        <w:spacing w:line="440" w:lineRule="exact"/>
        <w:ind w:right="420"/>
        <w:rPr>
          <w:color w:val="auto"/>
          <w:szCs w:val="21"/>
          <w:highlight w:val="none"/>
        </w:rPr>
      </w:pPr>
      <w:r>
        <w:rPr>
          <w:color w:val="auto"/>
          <w:szCs w:val="21"/>
          <w:highlight w:val="none"/>
        </w:rPr>
        <w:t>注：本表所列</w:t>
      </w:r>
      <w:r>
        <w:rPr>
          <w:rFonts w:hint="eastAsia"/>
          <w:color w:val="auto"/>
          <w:szCs w:val="21"/>
          <w:highlight w:val="none"/>
        </w:rPr>
        <w:t>再发包</w:t>
      </w:r>
      <w:r>
        <w:rPr>
          <w:color w:val="auto"/>
          <w:szCs w:val="21"/>
          <w:highlight w:val="none"/>
        </w:rPr>
        <w:t>仅限于</w:t>
      </w:r>
      <w:r>
        <w:rPr>
          <w:rFonts w:hint="eastAsia"/>
          <w:color w:val="auto"/>
          <w:szCs w:val="21"/>
          <w:highlight w:val="none"/>
        </w:rPr>
        <w:t>工程总承包企业可以将工程的全部勘察业务再发包给具备相应资质条件的勘察单位。</w:t>
      </w:r>
    </w:p>
    <w:p>
      <w:pPr>
        <w:wordWrap w:val="0"/>
        <w:spacing w:line="440" w:lineRule="exact"/>
        <w:ind w:right="420"/>
        <w:jc w:val="right"/>
        <w:rPr>
          <w:color w:val="auto"/>
          <w:szCs w:val="21"/>
          <w:highlight w:val="none"/>
        </w:rPr>
      </w:pPr>
    </w:p>
    <w:p>
      <w:pPr>
        <w:spacing w:line="360" w:lineRule="auto"/>
        <w:ind w:right="525" w:firstLine="3990" w:firstLineChars="1900"/>
        <w:jc w:val="right"/>
        <w:rPr>
          <w:color w:val="auto"/>
          <w:sz w:val="28"/>
          <w:szCs w:val="28"/>
          <w:highlight w:val="none"/>
        </w:rPr>
      </w:pPr>
      <w:r>
        <w:rPr>
          <w:color w:val="auto"/>
          <w:highlight w:val="none"/>
        </w:rPr>
        <w:t>日期：</w:t>
      </w:r>
      <w:r>
        <w:rPr>
          <w:rFonts w:hint="eastAsia"/>
          <w:b/>
          <w:bCs/>
          <w:color w:val="auto"/>
          <w:highlight w:val="none"/>
          <w:u w:val="single"/>
        </w:rPr>
        <w:t xml:space="preserve"> </w:t>
      </w:r>
      <w:r>
        <w:rPr>
          <w:rFonts w:hint="eastAsia"/>
          <w:bCs/>
          <w:color w:val="auto"/>
          <w:highlight w:val="none"/>
          <w:u w:val="single"/>
        </w:rPr>
        <w:t xml:space="preserve">     </w:t>
      </w:r>
      <w:r>
        <w:rPr>
          <w:color w:val="auto"/>
          <w:highlight w:val="none"/>
        </w:rPr>
        <w:t>年</w:t>
      </w:r>
      <w:r>
        <w:rPr>
          <w:rFonts w:hint="eastAsia"/>
          <w:bCs/>
          <w:color w:val="auto"/>
          <w:highlight w:val="none"/>
          <w:u w:val="single"/>
        </w:rPr>
        <w:t xml:space="preserve">    </w:t>
      </w:r>
      <w:r>
        <w:rPr>
          <w:color w:val="auto"/>
          <w:highlight w:val="none"/>
        </w:rPr>
        <w:t>月</w:t>
      </w:r>
      <w:r>
        <w:rPr>
          <w:color w:val="auto"/>
          <w:highlight w:val="none"/>
          <w:u w:val="single"/>
        </w:rPr>
        <w:t xml:space="preserve">    </w:t>
      </w:r>
      <w:r>
        <w:rPr>
          <w:color w:val="auto"/>
          <w:highlight w:val="none"/>
        </w:rPr>
        <w:t>日</w:t>
      </w:r>
    </w:p>
    <w:p>
      <w:pPr>
        <w:pStyle w:val="7"/>
        <w:jc w:val="center"/>
        <w:rPr>
          <w:rFonts w:hint="eastAsia"/>
          <w:color w:val="auto"/>
          <w:sz w:val="28"/>
          <w:highlight w:val="none"/>
        </w:rPr>
      </w:pPr>
      <w:r>
        <w:rPr>
          <w:rFonts w:hint="eastAsia"/>
          <w:color w:val="auto"/>
          <w:sz w:val="28"/>
          <w:highlight w:val="none"/>
        </w:rPr>
        <w:br w:type="page"/>
      </w:r>
    </w:p>
    <w:p>
      <w:pPr>
        <w:pStyle w:val="7"/>
        <w:jc w:val="center"/>
        <w:rPr>
          <w:color w:val="auto"/>
          <w:sz w:val="28"/>
          <w:highlight w:val="none"/>
        </w:rPr>
      </w:pPr>
      <w:r>
        <w:rPr>
          <w:rFonts w:hint="eastAsia"/>
          <w:color w:val="auto"/>
          <w:sz w:val="28"/>
          <w:highlight w:val="none"/>
        </w:rPr>
        <w:t>（二）拟分包计划表</w:t>
      </w:r>
    </w:p>
    <w:p>
      <w:pPr>
        <w:pStyle w:val="148"/>
        <w:jc w:val="center"/>
        <w:rPr>
          <w:b/>
          <w:color w:val="auto"/>
          <w:sz w:val="28"/>
          <w:szCs w:val="28"/>
          <w:highlight w:val="none"/>
        </w:rPr>
      </w:pPr>
    </w:p>
    <w:tbl>
      <w:tblPr>
        <w:tblStyle w:val="44"/>
        <w:tblW w:w="87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843"/>
        <w:gridCol w:w="751"/>
        <w:gridCol w:w="950"/>
        <w:gridCol w:w="1123"/>
        <w:gridCol w:w="1090"/>
        <w:gridCol w:w="1197"/>
        <w:gridCol w:w="1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restart"/>
            <w:tcMar>
              <w:left w:w="108" w:type="dxa"/>
              <w:right w:w="108" w:type="dxa"/>
            </w:tcMar>
            <w:vAlign w:val="center"/>
          </w:tcPr>
          <w:p>
            <w:pPr>
              <w:jc w:val="center"/>
              <w:rPr>
                <w:color w:val="auto"/>
                <w:szCs w:val="21"/>
                <w:highlight w:val="none"/>
              </w:rPr>
            </w:pPr>
            <w:r>
              <w:rPr>
                <w:color w:val="auto"/>
                <w:szCs w:val="21"/>
                <w:highlight w:val="none"/>
              </w:rPr>
              <w:t>序</w:t>
            </w:r>
          </w:p>
          <w:p>
            <w:pPr>
              <w:jc w:val="center"/>
              <w:rPr>
                <w:color w:val="auto"/>
                <w:szCs w:val="21"/>
                <w:highlight w:val="none"/>
              </w:rPr>
            </w:pPr>
            <w:r>
              <w:rPr>
                <w:color w:val="auto"/>
                <w:szCs w:val="21"/>
                <w:highlight w:val="none"/>
              </w:rPr>
              <w:t>号</w:t>
            </w:r>
          </w:p>
        </w:tc>
        <w:tc>
          <w:tcPr>
            <w:tcW w:w="1843" w:type="dxa"/>
            <w:vMerge w:val="restart"/>
            <w:tcMar>
              <w:left w:w="108" w:type="dxa"/>
              <w:right w:w="108" w:type="dxa"/>
            </w:tcMar>
            <w:vAlign w:val="center"/>
          </w:tcPr>
          <w:p>
            <w:pPr>
              <w:jc w:val="center"/>
              <w:rPr>
                <w:color w:val="auto"/>
                <w:szCs w:val="21"/>
                <w:highlight w:val="none"/>
              </w:rPr>
            </w:pPr>
            <w:r>
              <w:rPr>
                <w:color w:val="auto"/>
                <w:szCs w:val="21"/>
                <w:highlight w:val="none"/>
              </w:rPr>
              <w:t>拟分包项目名称、范围及理由</w:t>
            </w:r>
          </w:p>
        </w:tc>
        <w:tc>
          <w:tcPr>
            <w:tcW w:w="5111" w:type="dxa"/>
            <w:gridSpan w:val="5"/>
            <w:tcMar>
              <w:left w:w="108" w:type="dxa"/>
              <w:right w:w="108" w:type="dxa"/>
            </w:tcMar>
            <w:vAlign w:val="center"/>
          </w:tcPr>
          <w:p>
            <w:pPr>
              <w:jc w:val="center"/>
              <w:rPr>
                <w:color w:val="auto"/>
                <w:szCs w:val="21"/>
                <w:highlight w:val="none"/>
              </w:rPr>
            </w:pPr>
            <w:r>
              <w:rPr>
                <w:color w:val="auto"/>
                <w:szCs w:val="21"/>
                <w:highlight w:val="none"/>
              </w:rPr>
              <w:t>拟选分包人</w:t>
            </w:r>
          </w:p>
        </w:tc>
        <w:tc>
          <w:tcPr>
            <w:tcW w:w="1268" w:type="dxa"/>
            <w:vMerge w:val="restart"/>
            <w:tcMar>
              <w:left w:w="108" w:type="dxa"/>
              <w:right w:w="108" w:type="dxa"/>
            </w:tcMar>
            <w:vAlign w:val="center"/>
          </w:tcPr>
          <w:p>
            <w:pPr>
              <w:jc w:val="center"/>
              <w:rPr>
                <w:color w:val="auto"/>
                <w:szCs w:val="21"/>
                <w:highlight w:val="none"/>
              </w:rPr>
            </w:pPr>
            <w:r>
              <w:rPr>
                <w:color w:val="auto"/>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1701" w:type="dxa"/>
            <w:gridSpan w:val="2"/>
            <w:tcMar>
              <w:left w:w="108" w:type="dxa"/>
              <w:right w:w="108" w:type="dxa"/>
            </w:tcMar>
            <w:vAlign w:val="center"/>
          </w:tcPr>
          <w:p>
            <w:pPr>
              <w:jc w:val="center"/>
              <w:rPr>
                <w:color w:val="auto"/>
                <w:szCs w:val="21"/>
                <w:highlight w:val="none"/>
              </w:rPr>
            </w:pPr>
            <w:r>
              <w:rPr>
                <w:color w:val="auto"/>
                <w:szCs w:val="21"/>
                <w:highlight w:val="none"/>
              </w:rPr>
              <w:t>拟选分包人名称</w:t>
            </w:r>
          </w:p>
        </w:tc>
        <w:tc>
          <w:tcPr>
            <w:tcW w:w="1123" w:type="dxa"/>
            <w:tcMar>
              <w:left w:w="108" w:type="dxa"/>
              <w:right w:w="108" w:type="dxa"/>
            </w:tcMar>
            <w:vAlign w:val="center"/>
          </w:tcPr>
          <w:p>
            <w:pPr>
              <w:jc w:val="center"/>
              <w:rPr>
                <w:color w:val="auto"/>
                <w:szCs w:val="21"/>
                <w:highlight w:val="none"/>
              </w:rPr>
            </w:pPr>
            <w:r>
              <w:rPr>
                <w:color w:val="auto"/>
                <w:szCs w:val="21"/>
                <w:highlight w:val="none"/>
              </w:rPr>
              <w:t>注册地点</w:t>
            </w:r>
          </w:p>
        </w:tc>
        <w:tc>
          <w:tcPr>
            <w:tcW w:w="1090" w:type="dxa"/>
            <w:tcMar>
              <w:left w:w="108" w:type="dxa"/>
              <w:right w:w="108" w:type="dxa"/>
            </w:tcMar>
            <w:vAlign w:val="center"/>
          </w:tcPr>
          <w:p>
            <w:pPr>
              <w:jc w:val="center"/>
              <w:rPr>
                <w:color w:val="auto"/>
                <w:szCs w:val="21"/>
                <w:highlight w:val="none"/>
              </w:rPr>
            </w:pPr>
            <w:r>
              <w:rPr>
                <w:color w:val="auto"/>
                <w:szCs w:val="21"/>
                <w:highlight w:val="none"/>
              </w:rPr>
              <w:t>企业资质</w:t>
            </w:r>
          </w:p>
        </w:tc>
        <w:tc>
          <w:tcPr>
            <w:tcW w:w="1197" w:type="dxa"/>
            <w:tcMar>
              <w:left w:w="108" w:type="dxa"/>
              <w:right w:w="108" w:type="dxa"/>
            </w:tcMar>
            <w:vAlign w:val="center"/>
          </w:tcPr>
          <w:p>
            <w:pPr>
              <w:jc w:val="center"/>
              <w:rPr>
                <w:color w:val="auto"/>
                <w:szCs w:val="21"/>
                <w:highlight w:val="none"/>
              </w:rPr>
            </w:pPr>
            <w:r>
              <w:rPr>
                <w:color w:val="auto"/>
                <w:szCs w:val="21"/>
                <w:highlight w:val="none"/>
              </w:rPr>
              <w:t>有关业绩</w:t>
            </w:r>
          </w:p>
        </w:tc>
        <w:tc>
          <w:tcPr>
            <w:tcW w:w="1268" w:type="dxa"/>
            <w:vMerge w:val="continue"/>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restart"/>
            <w:tcMar>
              <w:left w:w="108" w:type="dxa"/>
              <w:right w:w="108" w:type="dxa"/>
            </w:tcMar>
            <w:vAlign w:val="center"/>
          </w:tcPr>
          <w:p>
            <w:pPr>
              <w:jc w:val="center"/>
              <w:rPr>
                <w:color w:val="auto"/>
                <w:szCs w:val="21"/>
                <w:highlight w:val="none"/>
              </w:rPr>
            </w:pPr>
          </w:p>
        </w:tc>
        <w:tc>
          <w:tcPr>
            <w:tcW w:w="1843" w:type="dxa"/>
            <w:vMerge w:val="restart"/>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1</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2</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3</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restart"/>
            <w:tcMar>
              <w:left w:w="108" w:type="dxa"/>
              <w:right w:w="108" w:type="dxa"/>
            </w:tcMar>
            <w:vAlign w:val="center"/>
          </w:tcPr>
          <w:p>
            <w:pPr>
              <w:jc w:val="center"/>
              <w:rPr>
                <w:color w:val="auto"/>
                <w:szCs w:val="21"/>
                <w:highlight w:val="none"/>
              </w:rPr>
            </w:pPr>
          </w:p>
        </w:tc>
        <w:tc>
          <w:tcPr>
            <w:tcW w:w="1843" w:type="dxa"/>
            <w:vMerge w:val="restart"/>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1</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2</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68" w:type="dxa"/>
            <w:vMerge w:val="continue"/>
            <w:tcMar>
              <w:left w:w="108" w:type="dxa"/>
              <w:right w:w="108" w:type="dxa"/>
            </w:tcMar>
            <w:vAlign w:val="center"/>
          </w:tcPr>
          <w:p>
            <w:pPr>
              <w:jc w:val="center"/>
              <w:rPr>
                <w:color w:val="auto"/>
                <w:szCs w:val="21"/>
                <w:highlight w:val="none"/>
              </w:rPr>
            </w:pPr>
          </w:p>
        </w:tc>
        <w:tc>
          <w:tcPr>
            <w:tcW w:w="1843" w:type="dxa"/>
            <w:vMerge w:val="continue"/>
            <w:tcMar>
              <w:left w:w="108" w:type="dxa"/>
              <w:right w:w="108" w:type="dxa"/>
            </w:tcMar>
            <w:vAlign w:val="center"/>
          </w:tcPr>
          <w:p>
            <w:pPr>
              <w:jc w:val="center"/>
              <w:rPr>
                <w:color w:val="auto"/>
                <w:szCs w:val="21"/>
                <w:highlight w:val="none"/>
              </w:rPr>
            </w:pPr>
          </w:p>
        </w:tc>
        <w:tc>
          <w:tcPr>
            <w:tcW w:w="751" w:type="dxa"/>
            <w:tcMar>
              <w:left w:w="108" w:type="dxa"/>
              <w:right w:w="108" w:type="dxa"/>
            </w:tcMar>
            <w:vAlign w:val="center"/>
          </w:tcPr>
          <w:p>
            <w:pPr>
              <w:jc w:val="center"/>
              <w:rPr>
                <w:color w:val="auto"/>
                <w:szCs w:val="21"/>
                <w:highlight w:val="none"/>
              </w:rPr>
            </w:pPr>
            <w:r>
              <w:rPr>
                <w:color w:val="auto"/>
                <w:szCs w:val="21"/>
                <w:highlight w:val="none"/>
              </w:rPr>
              <w:t>3</w:t>
            </w:r>
          </w:p>
        </w:tc>
        <w:tc>
          <w:tcPr>
            <w:tcW w:w="950" w:type="dxa"/>
            <w:tcMar>
              <w:left w:w="108" w:type="dxa"/>
              <w:right w:w="108" w:type="dxa"/>
            </w:tcMar>
            <w:vAlign w:val="center"/>
          </w:tcPr>
          <w:p>
            <w:pPr>
              <w:jc w:val="center"/>
              <w:rPr>
                <w:color w:val="auto"/>
                <w:szCs w:val="21"/>
                <w:highlight w:val="none"/>
              </w:rPr>
            </w:pPr>
          </w:p>
        </w:tc>
        <w:tc>
          <w:tcPr>
            <w:tcW w:w="1123" w:type="dxa"/>
            <w:tcMar>
              <w:left w:w="108" w:type="dxa"/>
              <w:right w:w="108" w:type="dxa"/>
            </w:tcMar>
            <w:vAlign w:val="center"/>
          </w:tcPr>
          <w:p>
            <w:pPr>
              <w:jc w:val="center"/>
              <w:rPr>
                <w:color w:val="auto"/>
                <w:szCs w:val="21"/>
                <w:highlight w:val="none"/>
              </w:rPr>
            </w:pPr>
          </w:p>
        </w:tc>
        <w:tc>
          <w:tcPr>
            <w:tcW w:w="1090" w:type="dxa"/>
            <w:tcMar>
              <w:left w:w="108" w:type="dxa"/>
              <w:right w:w="108" w:type="dxa"/>
            </w:tcMar>
            <w:vAlign w:val="center"/>
          </w:tcPr>
          <w:p>
            <w:pPr>
              <w:jc w:val="center"/>
              <w:rPr>
                <w:color w:val="auto"/>
                <w:szCs w:val="21"/>
                <w:highlight w:val="none"/>
              </w:rPr>
            </w:pPr>
          </w:p>
        </w:tc>
        <w:tc>
          <w:tcPr>
            <w:tcW w:w="1197" w:type="dxa"/>
            <w:tcMar>
              <w:left w:w="108" w:type="dxa"/>
              <w:right w:w="108" w:type="dxa"/>
            </w:tcMar>
            <w:vAlign w:val="center"/>
          </w:tcPr>
          <w:p>
            <w:pPr>
              <w:jc w:val="center"/>
              <w:rPr>
                <w:color w:val="auto"/>
                <w:szCs w:val="21"/>
                <w:highlight w:val="none"/>
              </w:rPr>
            </w:pPr>
          </w:p>
        </w:tc>
        <w:tc>
          <w:tcPr>
            <w:tcW w:w="1268" w:type="dxa"/>
            <w:tcMar>
              <w:left w:w="108" w:type="dxa"/>
              <w:right w:w="108" w:type="dxa"/>
            </w:tcMar>
            <w:vAlign w:val="center"/>
          </w:tcPr>
          <w:p>
            <w:pPr>
              <w:jc w:val="center"/>
              <w:rPr>
                <w:color w:val="auto"/>
                <w:szCs w:val="21"/>
                <w:highlight w:val="none"/>
              </w:rPr>
            </w:pPr>
          </w:p>
        </w:tc>
      </w:tr>
    </w:tbl>
    <w:p>
      <w:pPr>
        <w:spacing w:line="440" w:lineRule="exact"/>
        <w:ind w:right="420"/>
        <w:rPr>
          <w:color w:val="auto"/>
          <w:szCs w:val="21"/>
          <w:highlight w:val="none"/>
        </w:rPr>
      </w:pPr>
      <w:r>
        <w:rPr>
          <w:color w:val="auto"/>
          <w:szCs w:val="21"/>
          <w:highlight w:val="none"/>
        </w:rPr>
        <w:t>注：本表所列分包仅限于承包人</w:t>
      </w:r>
      <w:r>
        <w:rPr>
          <w:rFonts w:hint="eastAsia"/>
          <w:color w:val="auto"/>
          <w:szCs w:val="21"/>
          <w:highlight w:val="none"/>
        </w:rPr>
        <w:t>其承包工程范围内</w:t>
      </w:r>
      <w:r>
        <w:rPr>
          <w:color w:val="auto"/>
          <w:szCs w:val="21"/>
          <w:highlight w:val="none"/>
        </w:rPr>
        <w:t>的非主体、非关键工程。</w:t>
      </w:r>
    </w:p>
    <w:p>
      <w:pPr>
        <w:wordWrap w:val="0"/>
        <w:spacing w:line="440" w:lineRule="exact"/>
        <w:ind w:right="420"/>
        <w:jc w:val="right"/>
        <w:rPr>
          <w:color w:val="auto"/>
          <w:szCs w:val="21"/>
          <w:highlight w:val="none"/>
        </w:rPr>
      </w:pPr>
    </w:p>
    <w:p>
      <w:pPr>
        <w:wordWrap w:val="0"/>
        <w:spacing w:line="440" w:lineRule="exact"/>
        <w:ind w:right="420"/>
        <w:jc w:val="right"/>
        <w:rPr>
          <w:rFonts w:ascii="宋体" w:hAnsi="宋体" w:cs="宋体"/>
          <w:strike/>
          <w:color w:val="auto"/>
          <w:sz w:val="28"/>
          <w:szCs w:val="28"/>
          <w:highlight w:val="none"/>
        </w:rPr>
        <w:sectPr>
          <w:pgSz w:w="12240" w:h="15840"/>
          <w:pgMar w:top="1500" w:right="1720" w:bottom="1120" w:left="1720" w:header="0" w:footer="921" w:gutter="0"/>
          <w:cols w:space="720" w:num="1"/>
        </w:sectPr>
      </w:pPr>
      <w:r>
        <w:rPr>
          <w:color w:val="auto"/>
          <w:szCs w:val="21"/>
          <w:highlight w:val="none"/>
        </w:rPr>
        <w:t>日期：</w:t>
      </w:r>
      <w:r>
        <w:rPr>
          <w:rFonts w:hint="eastAsia"/>
          <w:b/>
          <w:bCs/>
          <w:color w:val="auto"/>
          <w:szCs w:val="21"/>
          <w:highlight w:val="none"/>
          <w:u w:val="single"/>
        </w:rPr>
        <w:t xml:space="preserve"> </w:t>
      </w:r>
      <w:r>
        <w:rPr>
          <w:rFonts w:hint="eastAsia"/>
          <w:bCs/>
          <w:color w:val="auto"/>
          <w:szCs w:val="21"/>
          <w:highlight w:val="none"/>
          <w:u w:val="single"/>
        </w:rPr>
        <w:t xml:space="preserve">     </w:t>
      </w:r>
      <w:r>
        <w:rPr>
          <w:bCs/>
          <w:color w:val="auto"/>
          <w:szCs w:val="21"/>
          <w:highlight w:val="none"/>
        </w:rPr>
        <w:t>年</w:t>
      </w:r>
      <w:r>
        <w:rPr>
          <w:rFonts w:hint="eastAsia"/>
          <w:bCs/>
          <w:color w:val="auto"/>
          <w:szCs w:val="21"/>
          <w:highlight w:val="none"/>
          <w:u w:val="single"/>
        </w:rPr>
        <w:t xml:space="preserve">    </w:t>
      </w:r>
      <w:r>
        <w:rPr>
          <w:bCs/>
          <w:color w:val="auto"/>
          <w:szCs w:val="21"/>
          <w:highlight w:val="none"/>
        </w:rPr>
        <w:t>月</w:t>
      </w:r>
      <w:r>
        <w:rPr>
          <w:rFonts w:hint="eastAsia"/>
          <w:bCs/>
          <w:color w:val="auto"/>
          <w:szCs w:val="21"/>
          <w:highlight w:val="none"/>
          <w:u w:val="single"/>
        </w:rPr>
        <w:t xml:space="preserve">    </w:t>
      </w:r>
      <w:r>
        <w:rPr>
          <w:bCs/>
          <w:color w:val="auto"/>
          <w:szCs w:val="21"/>
          <w:highlight w:val="none"/>
        </w:rPr>
        <w:t>日</w:t>
      </w:r>
    </w:p>
    <w:p>
      <w:pPr>
        <w:pStyle w:val="6"/>
        <w:jc w:val="center"/>
        <w:rPr>
          <w:rFonts w:ascii="黑体" w:hAnsi="黑体" w:eastAsia="黑体" w:cs="黑体"/>
          <w:b w:val="0"/>
          <w:color w:val="auto"/>
          <w:sz w:val="32"/>
          <w:highlight w:val="none"/>
        </w:rPr>
      </w:pPr>
      <w:bookmarkStart w:id="954" w:name="_Toc5515"/>
      <w:bookmarkStart w:id="955" w:name="_Toc21828"/>
      <w:bookmarkStart w:id="956" w:name="_Toc434"/>
      <w:bookmarkStart w:id="957" w:name="_Toc22972"/>
      <w:bookmarkStart w:id="958" w:name="_Toc25444"/>
      <w:bookmarkStart w:id="959" w:name="_Toc18678"/>
      <w:r>
        <w:rPr>
          <w:rFonts w:hint="eastAsia" w:ascii="黑体" w:hAnsi="黑体" w:eastAsia="黑体" w:cs="黑体"/>
          <w:b w:val="0"/>
          <w:color w:val="auto"/>
          <w:sz w:val="32"/>
          <w:highlight w:val="none"/>
        </w:rPr>
        <w:t>九、经济标</w:t>
      </w:r>
      <w:bookmarkEnd w:id="954"/>
      <w:bookmarkEnd w:id="955"/>
      <w:bookmarkEnd w:id="956"/>
      <w:bookmarkEnd w:id="957"/>
      <w:bookmarkEnd w:id="958"/>
      <w:bookmarkEnd w:id="959"/>
    </w:p>
    <w:p>
      <w:pPr>
        <w:pStyle w:val="7"/>
        <w:jc w:val="center"/>
        <w:rPr>
          <w:color w:val="auto"/>
          <w:sz w:val="28"/>
          <w:highlight w:val="none"/>
        </w:rPr>
      </w:pPr>
      <w:r>
        <w:rPr>
          <w:rFonts w:hint="eastAsia"/>
          <w:color w:val="auto"/>
          <w:sz w:val="28"/>
          <w:highlight w:val="none"/>
        </w:rPr>
        <w:t>（一）工程总承包报价</w:t>
      </w:r>
    </w:p>
    <w:p>
      <w:pPr>
        <w:spacing w:line="360" w:lineRule="auto"/>
        <w:ind w:firstLine="490"/>
        <w:jc w:val="center"/>
        <w:rPr>
          <w:color w:val="auto"/>
          <w:highlight w:val="none"/>
        </w:rPr>
      </w:pPr>
      <w:r>
        <w:rPr>
          <w:rFonts w:hint="eastAsia" w:ascii="宋体" w:hAnsi="宋体" w:cs="宋体"/>
          <w:color w:val="auto"/>
          <w:kern w:val="0"/>
          <w:sz w:val="28"/>
          <w:szCs w:val="28"/>
          <w:highlight w:val="none"/>
        </w:rPr>
        <w:t>（格式自理）</w:t>
      </w:r>
    </w:p>
    <w:p>
      <w:pPr>
        <w:spacing w:line="360" w:lineRule="auto"/>
        <w:ind w:firstLine="490"/>
        <w:jc w:val="center"/>
        <w:rPr>
          <w:color w:val="auto"/>
          <w:highlight w:val="none"/>
        </w:rPr>
      </w:pPr>
    </w:p>
    <w:p>
      <w:pPr>
        <w:spacing w:line="360" w:lineRule="auto"/>
        <w:ind w:firstLine="490"/>
        <w:jc w:val="center"/>
        <w:rPr>
          <w:color w:val="auto"/>
          <w:highlight w:val="none"/>
        </w:rPr>
      </w:pPr>
    </w:p>
    <w:p>
      <w:pPr>
        <w:spacing w:line="360" w:lineRule="auto"/>
        <w:ind w:firstLine="490"/>
        <w:jc w:val="center"/>
        <w:rPr>
          <w:color w:val="auto"/>
          <w:highlight w:val="none"/>
        </w:rPr>
      </w:pPr>
    </w:p>
    <w:p>
      <w:pPr>
        <w:widowControl/>
        <w:jc w:val="left"/>
        <w:rPr>
          <w:color w:val="auto"/>
          <w:sz w:val="28"/>
          <w:szCs w:val="28"/>
          <w:highlight w:val="none"/>
        </w:rPr>
      </w:pPr>
      <w:r>
        <w:rPr>
          <w:color w:val="auto"/>
          <w:highlight w:val="none"/>
        </w:rPr>
        <w:br w:type="page"/>
      </w:r>
    </w:p>
    <w:p>
      <w:pPr>
        <w:pStyle w:val="7"/>
        <w:jc w:val="center"/>
        <w:rPr>
          <w:color w:val="auto"/>
          <w:sz w:val="28"/>
          <w:highlight w:val="none"/>
        </w:rPr>
      </w:pPr>
      <w:r>
        <w:rPr>
          <w:rFonts w:hint="eastAsia"/>
          <w:color w:val="auto"/>
          <w:sz w:val="28"/>
          <w:highlight w:val="none"/>
        </w:rPr>
        <w:t>（二）投标分项报价汇总表</w:t>
      </w:r>
    </w:p>
    <w:p>
      <w:pPr>
        <w:spacing w:line="360" w:lineRule="auto"/>
        <w:jc w:val="center"/>
        <w:rPr>
          <w:rFonts w:ascii="宋体" w:hAnsi="宋体"/>
          <w:b/>
          <w:color w:val="auto"/>
          <w:szCs w:val="21"/>
          <w:highlight w:val="none"/>
        </w:rPr>
      </w:pPr>
    </w:p>
    <w:tbl>
      <w:tblPr>
        <w:tblStyle w:val="44"/>
        <w:tblW w:w="93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276"/>
        <w:gridCol w:w="1985"/>
        <w:gridCol w:w="2409"/>
        <w:gridCol w:w="1418"/>
        <w:gridCol w:w="1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675" w:type="dxa"/>
            <w:vAlign w:val="center"/>
          </w:tcPr>
          <w:p>
            <w:pPr>
              <w:jc w:val="center"/>
              <w:rPr>
                <w:color w:val="auto"/>
                <w:szCs w:val="21"/>
                <w:highlight w:val="none"/>
              </w:rPr>
            </w:pPr>
            <w:r>
              <w:rPr>
                <w:rFonts w:hint="eastAsia"/>
                <w:color w:val="auto"/>
                <w:szCs w:val="21"/>
                <w:highlight w:val="none"/>
              </w:rPr>
              <w:t>序号</w:t>
            </w:r>
          </w:p>
        </w:tc>
        <w:tc>
          <w:tcPr>
            <w:tcW w:w="1276" w:type="dxa"/>
            <w:vAlign w:val="center"/>
          </w:tcPr>
          <w:p>
            <w:pPr>
              <w:jc w:val="center"/>
              <w:rPr>
                <w:color w:val="auto"/>
                <w:szCs w:val="21"/>
                <w:highlight w:val="none"/>
              </w:rPr>
            </w:pPr>
            <w:r>
              <w:rPr>
                <w:rFonts w:hint="eastAsia"/>
                <w:color w:val="auto"/>
                <w:szCs w:val="21"/>
                <w:highlight w:val="none"/>
              </w:rPr>
              <w:t>分项名称</w:t>
            </w:r>
          </w:p>
        </w:tc>
        <w:tc>
          <w:tcPr>
            <w:tcW w:w="1985" w:type="dxa"/>
            <w:vAlign w:val="center"/>
          </w:tcPr>
          <w:p>
            <w:pPr>
              <w:jc w:val="center"/>
              <w:rPr>
                <w:color w:val="auto"/>
                <w:szCs w:val="21"/>
                <w:highlight w:val="none"/>
              </w:rPr>
            </w:pPr>
            <w:r>
              <w:rPr>
                <w:rFonts w:hint="eastAsia"/>
                <w:color w:val="auto"/>
                <w:szCs w:val="21"/>
                <w:highlight w:val="none"/>
              </w:rPr>
              <w:t>范围、规模</w:t>
            </w:r>
          </w:p>
        </w:tc>
        <w:tc>
          <w:tcPr>
            <w:tcW w:w="2409" w:type="dxa"/>
            <w:vAlign w:val="center"/>
          </w:tcPr>
          <w:p>
            <w:pPr>
              <w:jc w:val="center"/>
              <w:rPr>
                <w:color w:val="auto"/>
                <w:szCs w:val="21"/>
                <w:highlight w:val="none"/>
              </w:rPr>
            </w:pPr>
            <w:r>
              <w:rPr>
                <w:rFonts w:hint="eastAsia"/>
                <w:color w:val="auto"/>
                <w:szCs w:val="21"/>
                <w:highlight w:val="none"/>
              </w:rPr>
              <w:t>工作内容</w:t>
            </w:r>
          </w:p>
        </w:tc>
        <w:tc>
          <w:tcPr>
            <w:tcW w:w="1418" w:type="dxa"/>
            <w:vAlign w:val="center"/>
          </w:tcPr>
          <w:p>
            <w:pPr>
              <w:jc w:val="center"/>
              <w:rPr>
                <w:color w:val="auto"/>
                <w:szCs w:val="21"/>
                <w:highlight w:val="none"/>
              </w:rPr>
            </w:pPr>
            <w:r>
              <w:rPr>
                <w:rFonts w:hint="eastAsia"/>
                <w:color w:val="auto"/>
                <w:szCs w:val="21"/>
                <w:highlight w:val="none"/>
              </w:rPr>
              <w:t>投标报价</w:t>
            </w:r>
          </w:p>
        </w:tc>
        <w:tc>
          <w:tcPr>
            <w:tcW w:w="1559" w:type="dxa"/>
            <w:vAlign w:val="center"/>
          </w:tcPr>
          <w:p>
            <w:pPr>
              <w:jc w:val="center"/>
              <w:rPr>
                <w:color w:val="auto"/>
                <w:szCs w:val="21"/>
                <w:highlight w:val="none"/>
              </w:rPr>
            </w:pPr>
            <w:r>
              <w:rPr>
                <w:rFonts w:hint="eastAsia"/>
                <w:color w:val="auto"/>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1</w:t>
            </w:r>
          </w:p>
        </w:tc>
        <w:tc>
          <w:tcPr>
            <w:tcW w:w="7088" w:type="dxa"/>
            <w:gridSpan w:val="4"/>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工程设计费</w:t>
            </w:r>
          </w:p>
        </w:tc>
        <w:tc>
          <w:tcPr>
            <w:tcW w:w="1559" w:type="dxa"/>
            <w:vAlign w:val="center"/>
          </w:tcPr>
          <w:p>
            <w:pPr>
              <w:spacing w:line="360" w:lineRule="auto"/>
              <w:jc w:val="center"/>
              <w:rPr>
                <w:rFonts w:ascii="宋体" w:hAns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1.1</w:t>
            </w:r>
          </w:p>
        </w:tc>
        <w:tc>
          <w:tcPr>
            <w:tcW w:w="1276"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工程设计</w:t>
            </w:r>
          </w:p>
        </w:tc>
        <w:tc>
          <w:tcPr>
            <w:tcW w:w="1985" w:type="dxa"/>
            <w:vAlign w:val="center"/>
          </w:tcPr>
          <w:p>
            <w:pPr>
              <w:spacing w:line="360" w:lineRule="auto"/>
              <w:jc w:val="center"/>
              <w:rPr>
                <w:rFonts w:ascii="宋体" w:hAnsi="宋体" w:cs="宋体"/>
                <w:color w:val="auto"/>
                <w:szCs w:val="21"/>
                <w:highlight w:val="none"/>
                <w:u w:val="single"/>
              </w:rPr>
            </w:pPr>
          </w:p>
        </w:tc>
        <w:tc>
          <w:tcPr>
            <w:tcW w:w="2409" w:type="dxa"/>
            <w:vAlign w:val="center"/>
          </w:tcPr>
          <w:p>
            <w:pPr>
              <w:spacing w:line="360" w:lineRule="auto"/>
              <w:jc w:val="center"/>
              <w:rPr>
                <w:rFonts w:ascii="宋体" w:hAnsi="宋体" w:cs="宋体"/>
                <w:color w:val="auto"/>
                <w:szCs w:val="21"/>
                <w:highlight w:val="none"/>
                <w:u w:val="single"/>
              </w:rPr>
            </w:pPr>
          </w:p>
        </w:tc>
        <w:tc>
          <w:tcPr>
            <w:tcW w:w="1418" w:type="dxa"/>
            <w:vAlign w:val="center"/>
          </w:tcPr>
          <w:p>
            <w:pPr>
              <w:spacing w:line="360" w:lineRule="auto"/>
              <w:jc w:val="center"/>
              <w:rPr>
                <w:rFonts w:ascii="宋体" w:hAnsi="宋体" w:cs="宋体"/>
                <w:color w:val="auto"/>
                <w:szCs w:val="21"/>
                <w:highlight w:val="none"/>
                <w:u w:val="single"/>
              </w:rPr>
            </w:pP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1.2</w:t>
            </w:r>
          </w:p>
        </w:tc>
        <w:tc>
          <w:tcPr>
            <w:tcW w:w="1276"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w:t>
            </w:r>
          </w:p>
        </w:tc>
        <w:tc>
          <w:tcPr>
            <w:tcW w:w="1985" w:type="dxa"/>
            <w:vAlign w:val="center"/>
          </w:tcPr>
          <w:p>
            <w:pPr>
              <w:spacing w:line="360" w:lineRule="auto"/>
              <w:jc w:val="center"/>
              <w:rPr>
                <w:rFonts w:ascii="宋体" w:hAnsi="宋体" w:cs="宋体"/>
                <w:color w:val="auto"/>
                <w:szCs w:val="21"/>
                <w:highlight w:val="none"/>
                <w:u w:val="single"/>
              </w:rPr>
            </w:pPr>
          </w:p>
        </w:tc>
        <w:tc>
          <w:tcPr>
            <w:tcW w:w="2409" w:type="dxa"/>
            <w:vAlign w:val="center"/>
          </w:tcPr>
          <w:p>
            <w:pPr>
              <w:spacing w:line="360" w:lineRule="auto"/>
              <w:jc w:val="center"/>
              <w:rPr>
                <w:rFonts w:ascii="宋体" w:hAnsi="宋体" w:cs="宋体"/>
                <w:color w:val="auto"/>
                <w:szCs w:val="21"/>
                <w:highlight w:val="none"/>
                <w:u w:val="single"/>
              </w:rPr>
            </w:pPr>
          </w:p>
        </w:tc>
        <w:tc>
          <w:tcPr>
            <w:tcW w:w="1418" w:type="dxa"/>
            <w:vAlign w:val="center"/>
          </w:tcPr>
          <w:p>
            <w:pPr>
              <w:spacing w:line="360" w:lineRule="auto"/>
              <w:jc w:val="center"/>
              <w:rPr>
                <w:rFonts w:ascii="宋体" w:hAnsi="宋体" w:cs="宋体"/>
                <w:color w:val="auto"/>
                <w:szCs w:val="21"/>
                <w:highlight w:val="none"/>
                <w:u w:val="single"/>
              </w:rPr>
            </w:pP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2</w:t>
            </w:r>
          </w:p>
        </w:tc>
        <w:tc>
          <w:tcPr>
            <w:tcW w:w="7088" w:type="dxa"/>
            <w:gridSpan w:val="4"/>
            <w:vAlign w:val="center"/>
          </w:tcPr>
          <w:p>
            <w:pPr>
              <w:spacing w:line="360" w:lineRule="auto"/>
              <w:jc w:val="center"/>
              <w:rPr>
                <w:rFonts w:ascii="宋体" w:hAnsi="宋体" w:cs="宋体"/>
                <w:color w:val="auto"/>
                <w:szCs w:val="21"/>
                <w:highlight w:val="none"/>
                <w:u w:val="single"/>
              </w:rPr>
            </w:pPr>
            <w:r>
              <w:rPr>
                <w:rFonts w:hint="eastAsia" w:ascii="宋体" w:hAnsi="宋体" w:cs="宋体"/>
                <w:color w:val="auto"/>
                <w:szCs w:val="21"/>
                <w:highlight w:val="none"/>
              </w:rPr>
              <w:t>工程采购费（如有）</w:t>
            </w: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2.1</w:t>
            </w:r>
          </w:p>
        </w:tc>
        <w:tc>
          <w:tcPr>
            <w:tcW w:w="1276"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工程采购</w:t>
            </w:r>
          </w:p>
        </w:tc>
        <w:tc>
          <w:tcPr>
            <w:tcW w:w="1985" w:type="dxa"/>
            <w:vAlign w:val="center"/>
          </w:tcPr>
          <w:p>
            <w:pPr>
              <w:spacing w:line="360" w:lineRule="auto"/>
              <w:jc w:val="center"/>
              <w:rPr>
                <w:rFonts w:ascii="宋体" w:hAnsi="宋体" w:cs="宋体"/>
                <w:color w:val="auto"/>
                <w:szCs w:val="21"/>
                <w:highlight w:val="none"/>
                <w:u w:val="single"/>
              </w:rPr>
            </w:pPr>
          </w:p>
        </w:tc>
        <w:tc>
          <w:tcPr>
            <w:tcW w:w="2409" w:type="dxa"/>
            <w:vAlign w:val="center"/>
          </w:tcPr>
          <w:p>
            <w:pPr>
              <w:spacing w:line="360" w:lineRule="auto"/>
              <w:jc w:val="center"/>
              <w:rPr>
                <w:rFonts w:ascii="宋体" w:hAnsi="宋体" w:cs="宋体"/>
                <w:color w:val="auto"/>
                <w:szCs w:val="21"/>
                <w:highlight w:val="none"/>
                <w:u w:val="single"/>
              </w:rPr>
            </w:pPr>
          </w:p>
        </w:tc>
        <w:tc>
          <w:tcPr>
            <w:tcW w:w="1418" w:type="dxa"/>
            <w:vAlign w:val="center"/>
          </w:tcPr>
          <w:p>
            <w:pPr>
              <w:spacing w:line="360" w:lineRule="auto"/>
              <w:jc w:val="center"/>
              <w:rPr>
                <w:rFonts w:ascii="宋体" w:hAnsi="宋体" w:cs="宋体"/>
                <w:color w:val="auto"/>
                <w:szCs w:val="21"/>
                <w:highlight w:val="none"/>
                <w:u w:val="single"/>
              </w:rPr>
            </w:pP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2.2</w:t>
            </w:r>
          </w:p>
        </w:tc>
        <w:tc>
          <w:tcPr>
            <w:tcW w:w="1276"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w:t>
            </w:r>
          </w:p>
        </w:tc>
        <w:tc>
          <w:tcPr>
            <w:tcW w:w="1985" w:type="dxa"/>
            <w:vAlign w:val="center"/>
          </w:tcPr>
          <w:p>
            <w:pPr>
              <w:spacing w:line="360" w:lineRule="auto"/>
              <w:jc w:val="center"/>
              <w:rPr>
                <w:rFonts w:ascii="宋体" w:hAnsi="宋体" w:cs="宋体"/>
                <w:color w:val="auto"/>
                <w:szCs w:val="21"/>
                <w:highlight w:val="none"/>
                <w:u w:val="single"/>
              </w:rPr>
            </w:pPr>
          </w:p>
        </w:tc>
        <w:tc>
          <w:tcPr>
            <w:tcW w:w="2409" w:type="dxa"/>
            <w:vAlign w:val="center"/>
          </w:tcPr>
          <w:p>
            <w:pPr>
              <w:spacing w:line="360" w:lineRule="auto"/>
              <w:jc w:val="center"/>
              <w:rPr>
                <w:rFonts w:ascii="宋体" w:hAnsi="宋体" w:cs="宋体"/>
                <w:color w:val="auto"/>
                <w:szCs w:val="21"/>
                <w:highlight w:val="none"/>
                <w:u w:val="single"/>
              </w:rPr>
            </w:pPr>
          </w:p>
        </w:tc>
        <w:tc>
          <w:tcPr>
            <w:tcW w:w="1418" w:type="dxa"/>
            <w:vAlign w:val="center"/>
          </w:tcPr>
          <w:p>
            <w:pPr>
              <w:spacing w:line="360" w:lineRule="auto"/>
              <w:jc w:val="center"/>
              <w:rPr>
                <w:rFonts w:ascii="宋体" w:hAnsi="宋体" w:cs="宋体"/>
                <w:color w:val="auto"/>
                <w:szCs w:val="21"/>
                <w:highlight w:val="none"/>
                <w:u w:val="single"/>
              </w:rPr>
            </w:pP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3</w:t>
            </w:r>
          </w:p>
        </w:tc>
        <w:tc>
          <w:tcPr>
            <w:tcW w:w="7088" w:type="dxa"/>
            <w:gridSpan w:val="4"/>
            <w:vAlign w:val="center"/>
          </w:tcPr>
          <w:p>
            <w:pPr>
              <w:spacing w:line="360" w:lineRule="auto"/>
              <w:jc w:val="center"/>
              <w:rPr>
                <w:rFonts w:ascii="宋体" w:hAnsi="宋体" w:cs="宋体"/>
                <w:color w:val="auto"/>
                <w:szCs w:val="21"/>
                <w:highlight w:val="none"/>
                <w:u w:val="single"/>
              </w:rPr>
            </w:pPr>
            <w:r>
              <w:rPr>
                <w:rFonts w:hint="eastAsia" w:ascii="宋体" w:hAnsi="宋体" w:cs="宋体"/>
                <w:color w:val="auto"/>
                <w:szCs w:val="21"/>
                <w:highlight w:val="none"/>
              </w:rPr>
              <w:t>工程施工费</w:t>
            </w: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3.1</w:t>
            </w:r>
          </w:p>
        </w:tc>
        <w:tc>
          <w:tcPr>
            <w:tcW w:w="1276"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工程施工</w:t>
            </w:r>
          </w:p>
        </w:tc>
        <w:tc>
          <w:tcPr>
            <w:tcW w:w="1985" w:type="dxa"/>
            <w:vAlign w:val="center"/>
          </w:tcPr>
          <w:p>
            <w:pPr>
              <w:spacing w:line="360" w:lineRule="auto"/>
              <w:jc w:val="center"/>
              <w:rPr>
                <w:rFonts w:ascii="宋体" w:hAnsi="宋体" w:cs="宋体"/>
                <w:color w:val="auto"/>
                <w:szCs w:val="21"/>
                <w:highlight w:val="none"/>
                <w:u w:val="single"/>
              </w:rPr>
            </w:pPr>
          </w:p>
        </w:tc>
        <w:tc>
          <w:tcPr>
            <w:tcW w:w="2409" w:type="dxa"/>
            <w:vAlign w:val="center"/>
          </w:tcPr>
          <w:p>
            <w:pPr>
              <w:spacing w:line="360" w:lineRule="auto"/>
              <w:jc w:val="center"/>
              <w:rPr>
                <w:rFonts w:ascii="宋体" w:hAnsi="宋体" w:cs="宋体"/>
                <w:color w:val="auto"/>
                <w:szCs w:val="21"/>
                <w:highlight w:val="none"/>
                <w:u w:val="single"/>
              </w:rPr>
            </w:pPr>
          </w:p>
        </w:tc>
        <w:tc>
          <w:tcPr>
            <w:tcW w:w="1418" w:type="dxa"/>
            <w:vAlign w:val="center"/>
          </w:tcPr>
          <w:p>
            <w:pPr>
              <w:spacing w:line="360" w:lineRule="auto"/>
              <w:jc w:val="center"/>
              <w:rPr>
                <w:rFonts w:ascii="宋体" w:hAnsi="宋体" w:cs="宋体"/>
                <w:color w:val="auto"/>
                <w:szCs w:val="21"/>
                <w:highlight w:val="none"/>
                <w:u w:val="single"/>
              </w:rPr>
            </w:pP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675"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3.2</w:t>
            </w:r>
          </w:p>
        </w:tc>
        <w:tc>
          <w:tcPr>
            <w:tcW w:w="1276" w:type="dxa"/>
            <w:vAlign w:val="center"/>
          </w:tcPr>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w:t>
            </w:r>
          </w:p>
        </w:tc>
        <w:tc>
          <w:tcPr>
            <w:tcW w:w="1985" w:type="dxa"/>
            <w:vAlign w:val="center"/>
          </w:tcPr>
          <w:p>
            <w:pPr>
              <w:spacing w:line="360" w:lineRule="auto"/>
              <w:jc w:val="center"/>
              <w:rPr>
                <w:rFonts w:ascii="宋体" w:hAnsi="宋体" w:cs="宋体"/>
                <w:color w:val="auto"/>
                <w:szCs w:val="21"/>
                <w:highlight w:val="none"/>
                <w:u w:val="single"/>
              </w:rPr>
            </w:pPr>
          </w:p>
        </w:tc>
        <w:tc>
          <w:tcPr>
            <w:tcW w:w="2409" w:type="dxa"/>
            <w:vAlign w:val="center"/>
          </w:tcPr>
          <w:p>
            <w:pPr>
              <w:spacing w:line="360" w:lineRule="auto"/>
              <w:jc w:val="center"/>
              <w:rPr>
                <w:rFonts w:ascii="宋体" w:hAnsi="宋体" w:cs="宋体"/>
                <w:color w:val="auto"/>
                <w:szCs w:val="21"/>
                <w:highlight w:val="none"/>
                <w:u w:val="single"/>
              </w:rPr>
            </w:pPr>
          </w:p>
        </w:tc>
        <w:tc>
          <w:tcPr>
            <w:tcW w:w="1418" w:type="dxa"/>
            <w:vAlign w:val="center"/>
          </w:tcPr>
          <w:p>
            <w:pPr>
              <w:spacing w:line="360" w:lineRule="auto"/>
              <w:jc w:val="center"/>
              <w:rPr>
                <w:rFonts w:ascii="宋体" w:hAnsi="宋体" w:cs="宋体"/>
                <w:color w:val="auto"/>
                <w:szCs w:val="21"/>
                <w:highlight w:val="none"/>
                <w:u w:val="single"/>
              </w:rPr>
            </w:pPr>
          </w:p>
        </w:tc>
        <w:tc>
          <w:tcPr>
            <w:tcW w:w="1559" w:type="dxa"/>
            <w:vAlign w:val="center"/>
          </w:tcPr>
          <w:p>
            <w:pPr>
              <w:spacing w:line="360" w:lineRule="auto"/>
              <w:jc w:val="center"/>
              <w:rPr>
                <w:rFonts w:ascii="宋体" w:hAnsi="宋体" w:cs="宋体"/>
                <w:color w:val="auto"/>
                <w:szCs w:val="21"/>
                <w:highlight w:val="none"/>
                <w:u w:val="singl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7" w:hRule="atLeast"/>
        </w:trPr>
        <w:tc>
          <w:tcPr>
            <w:tcW w:w="7763" w:type="dxa"/>
            <w:gridSpan w:val="5"/>
            <w:vAlign w:val="center"/>
          </w:tcPr>
          <w:p>
            <w:pPr>
              <w:spacing w:line="360" w:lineRule="auto"/>
              <w:jc w:val="center"/>
              <w:rPr>
                <w:color w:val="auto"/>
                <w:szCs w:val="21"/>
                <w:highlight w:val="none"/>
              </w:rPr>
            </w:pPr>
            <w:r>
              <w:rPr>
                <w:rFonts w:hint="eastAsia"/>
                <w:color w:val="auto"/>
                <w:szCs w:val="21"/>
                <w:highlight w:val="none"/>
              </w:rPr>
              <w:t>工程总承包报价</w:t>
            </w:r>
          </w:p>
        </w:tc>
        <w:tc>
          <w:tcPr>
            <w:tcW w:w="1559" w:type="dxa"/>
            <w:vAlign w:val="center"/>
          </w:tcPr>
          <w:p>
            <w:pPr>
              <w:spacing w:line="360" w:lineRule="auto"/>
              <w:jc w:val="center"/>
              <w:rPr>
                <w:color w:val="auto"/>
                <w:szCs w:val="21"/>
                <w:highlight w:val="none"/>
              </w:rPr>
            </w:pPr>
          </w:p>
        </w:tc>
      </w:tr>
    </w:tbl>
    <w:p>
      <w:pPr>
        <w:jc w:val="center"/>
        <w:rPr>
          <w:color w:val="auto"/>
          <w:szCs w:val="21"/>
          <w:highlight w:val="none"/>
        </w:rPr>
      </w:pPr>
    </w:p>
    <w:p>
      <w:pPr>
        <w:spacing w:line="360" w:lineRule="auto"/>
        <w:rPr>
          <w:rFonts w:ascii="宋体" w:hAnsi="宋体" w:cs="Arial"/>
          <w:color w:val="auto"/>
          <w:szCs w:val="21"/>
          <w:highlight w:val="none"/>
        </w:rPr>
      </w:pPr>
    </w:p>
    <w:p>
      <w:pPr>
        <w:spacing w:line="360" w:lineRule="auto"/>
        <w:ind w:firstLine="4410" w:firstLineChars="2100"/>
        <w:rPr>
          <w:rFonts w:ascii="宋体" w:hAnsi="宋体"/>
          <w:color w:val="auto"/>
          <w:szCs w:val="21"/>
          <w:highlight w:val="none"/>
        </w:rPr>
      </w:pPr>
      <w:r>
        <w:rPr>
          <w:rFonts w:hint="eastAsia" w:ascii="宋体" w:hAnsi="宋体"/>
          <w:color w:val="auto"/>
          <w:szCs w:val="21"/>
          <w:highlight w:val="none"/>
        </w:rPr>
        <w:t>投标人：</w:t>
      </w:r>
      <w:r>
        <w:rPr>
          <w:rFonts w:hint="eastAsia"/>
          <w:color w:val="auto"/>
          <w:szCs w:val="21"/>
          <w:highlight w:val="none"/>
          <w:u w:val="single"/>
        </w:rPr>
        <w:t xml:space="preserve">         </w:t>
      </w:r>
      <w:r>
        <w:rPr>
          <w:rFonts w:hint="eastAsia" w:ascii="宋体" w:hAnsi="宋体"/>
          <w:color w:val="auto"/>
          <w:szCs w:val="21"/>
          <w:highlight w:val="none"/>
        </w:rPr>
        <w:t>（盖单位章）</w:t>
      </w:r>
    </w:p>
    <w:p>
      <w:pPr>
        <w:spacing w:line="360" w:lineRule="auto"/>
        <w:ind w:left="359" w:leftChars="171" w:firstLine="4410" w:firstLineChars="2100"/>
        <w:rPr>
          <w:rFonts w:ascii="宋体" w:hAnsi="宋体"/>
          <w:color w:val="auto"/>
          <w:szCs w:val="21"/>
          <w:highlight w:val="none"/>
        </w:rPr>
      </w:pPr>
    </w:p>
    <w:p>
      <w:pPr>
        <w:spacing w:line="360" w:lineRule="auto"/>
        <w:ind w:left="359" w:leftChars="171" w:firstLine="3990" w:firstLineChars="1900"/>
        <w:rPr>
          <w:rFonts w:ascii="宋体" w:hAnsi="宋体"/>
          <w:color w:val="auto"/>
          <w:szCs w:val="21"/>
          <w:highlight w:val="none"/>
        </w:rPr>
      </w:pPr>
      <w:r>
        <w:rPr>
          <w:rFonts w:hint="eastAsia" w:ascii="宋体" w:hAnsi="宋体"/>
          <w:color w:val="auto"/>
          <w:szCs w:val="21"/>
          <w:highlight w:val="none"/>
        </w:rPr>
        <w:t>法定代表人或其委托代理人：</w:t>
      </w:r>
      <w:r>
        <w:rPr>
          <w:rFonts w:hint="eastAsia"/>
          <w:color w:val="auto"/>
          <w:szCs w:val="21"/>
          <w:highlight w:val="none"/>
          <w:u w:val="single"/>
        </w:rPr>
        <w:t xml:space="preserve">     </w:t>
      </w:r>
      <w:r>
        <w:rPr>
          <w:rFonts w:hint="eastAsia" w:ascii="宋体" w:hAnsi="宋体"/>
          <w:color w:val="auto"/>
          <w:szCs w:val="21"/>
          <w:highlight w:val="none"/>
        </w:rPr>
        <w:t>(签字或盖章)</w:t>
      </w:r>
    </w:p>
    <w:p>
      <w:pPr>
        <w:spacing w:line="360" w:lineRule="auto"/>
        <w:ind w:left="359" w:leftChars="171" w:firstLine="3990" w:firstLineChars="1900"/>
        <w:rPr>
          <w:rFonts w:ascii="宋体" w:hAnsi="宋体"/>
          <w:color w:val="auto"/>
          <w:szCs w:val="21"/>
          <w:highlight w:val="none"/>
        </w:rPr>
      </w:pPr>
    </w:p>
    <w:p>
      <w:pPr>
        <w:wordWrap w:val="0"/>
        <w:spacing w:before="120" w:beforeLines="50" w:after="240" w:afterLines="100" w:line="440" w:lineRule="exact"/>
        <w:jc w:val="center"/>
        <w:rPr>
          <w:color w:val="auto"/>
          <w:highlight w:val="none"/>
        </w:rPr>
      </w:pPr>
      <w:r>
        <w:rPr>
          <w:rFonts w:hint="eastAsia" w:ascii="宋体" w:hAnsi="宋体"/>
          <w:color w:val="auto"/>
          <w:highlight w:val="none"/>
        </w:rPr>
        <w:t xml:space="preserve">                          日期:</w:t>
      </w:r>
      <w:r>
        <w:rPr>
          <w:rFonts w:hint="eastAsia"/>
          <w:color w:val="auto"/>
          <w:szCs w:val="21"/>
          <w:highlight w:val="none"/>
          <w:u w:val="single"/>
        </w:rPr>
        <w:t xml:space="preserve">      </w:t>
      </w:r>
      <w:r>
        <w:rPr>
          <w:rFonts w:hint="eastAsia"/>
          <w:color w:val="auto"/>
          <w:szCs w:val="21"/>
          <w:highlight w:val="none"/>
        </w:rPr>
        <w:t>年</w:t>
      </w:r>
      <w:r>
        <w:rPr>
          <w:rFonts w:hint="eastAsia"/>
          <w:color w:val="auto"/>
          <w:szCs w:val="21"/>
          <w:highlight w:val="none"/>
          <w:u w:val="single"/>
        </w:rPr>
        <w:t xml:space="preserve">    </w:t>
      </w:r>
      <w:r>
        <w:rPr>
          <w:rFonts w:hint="eastAsia"/>
          <w:color w:val="auto"/>
          <w:szCs w:val="21"/>
          <w:highlight w:val="none"/>
        </w:rPr>
        <w:t>月</w:t>
      </w:r>
      <w:r>
        <w:rPr>
          <w:rFonts w:hint="eastAsia"/>
          <w:color w:val="auto"/>
          <w:szCs w:val="21"/>
          <w:highlight w:val="none"/>
          <w:u w:val="single"/>
        </w:rPr>
        <w:t xml:space="preserve">    </w:t>
      </w:r>
      <w:r>
        <w:rPr>
          <w:rFonts w:hint="eastAsia"/>
          <w:color w:val="auto"/>
          <w:szCs w:val="21"/>
          <w:highlight w:val="none"/>
        </w:rPr>
        <w:t>日</w:t>
      </w:r>
    </w:p>
    <w:p>
      <w:pPr>
        <w:spacing w:line="300" w:lineRule="exact"/>
        <w:ind w:firstLine="4744" w:firstLineChars="1969"/>
        <w:jc w:val="left"/>
        <w:rPr>
          <w:rFonts w:ascii="仿宋" w:hAnsi="仿宋" w:eastAsia="仿宋"/>
          <w:b/>
          <w:color w:val="auto"/>
          <w:sz w:val="24"/>
          <w:highlight w:val="none"/>
        </w:rPr>
      </w:pPr>
    </w:p>
    <w:p>
      <w:pPr>
        <w:spacing w:line="300" w:lineRule="exact"/>
        <w:ind w:firstLine="4744" w:firstLineChars="1969"/>
        <w:jc w:val="left"/>
        <w:rPr>
          <w:rFonts w:ascii="宋体" w:hAnsi="宋体"/>
          <w:b/>
          <w:color w:val="auto"/>
          <w:sz w:val="24"/>
          <w:highlight w:val="none"/>
        </w:rPr>
      </w:pPr>
    </w:p>
    <w:p>
      <w:pPr>
        <w:spacing w:line="360" w:lineRule="auto"/>
        <w:rPr>
          <w:rFonts w:ascii="宋体" w:hAnsi="宋体"/>
          <w:color w:val="auto"/>
          <w:sz w:val="28"/>
          <w:szCs w:val="28"/>
          <w:highlight w:val="none"/>
        </w:rPr>
      </w:pPr>
    </w:p>
    <w:p>
      <w:pPr>
        <w:spacing w:line="360" w:lineRule="auto"/>
        <w:rPr>
          <w:rFonts w:ascii="宋体" w:hAnsi="宋体"/>
          <w:color w:val="auto"/>
          <w:sz w:val="24"/>
          <w:highlight w:val="none"/>
        </w:rPr>
      </w:pPr>
    </w:p>
    <w:p>
      <w:pPr>
        <w:spacing w:line="360" w:lineRule="auto"/>
        <w:rPr>
          <w:color w:val="auto"/>
          <w:szCs w:val="21"/>
          <w:highlight w:val="none"/>
        </w:rPr>
      </w:pPr>
      <w:r>
        <w:rPr>
          <w:rFonts w:hint="eastAsia" w:ascii="宋体" w:hAnsi="宋体"/>
          <w:color w:val="auto"/>
          <w:szCs w:val="21"/>
          <w:highlight w:val="none"/>
        </w:rPr>
        <w:t>注：投标报价附表的格式及内容可由招标人根据项目具体情况修改调整。</w:t>
      </w:r>
    </w:p>
    <w:p>
      <w:pPr>
        <w:spacing w:line="360" w:lineRule="auto"/>
        <w:ind w:firstLine="490"/>
        <w:jc w:val="center"/>
        <w:rPr>
          <w:rFonts w:ascii="宋体" w:hAnsi="宋体" w:cs="宋体"/>
          <w:color w:val="auto"/>
          <w:kern w:val="0"/>
          <w:szCs w:val="21"/>
          <w:highlight w:val="none"/>
        </w:rPr>
      </w:pPr>
    </w:p>
    <w:p>
      <w:pPr>
        <w:spacing w:line="360" w:lineRule="auto"/>
        <w:ind w:firstLine="490"/>
        <w:jc w:val="center"/>
        <w:rPr>
          <w:rFonts w:ascii="宋体" w:hAnsi="宋体" w:cs="宋体"/>
          <w:color w:val="auto"/>
          <w:kern w:val="0"/>
          <w:szCs w:val="21"/>
          <w:highlight w:val="none"/>
        </w:rPr>
      </w:pPr>
    </w:p>
    <w:p>
      <w:pPr>
        <w:spacing w:line="360" w:lineRule="auto"/>
        <w:ind w:firstLine="490"/>
        <w:jc w:val="center"/>
        <w:rPr>
          <w:rFonts w:ascii="宋体" w:hAnsi="宋体" w:cs="宋体"/>
          <w:color w:val="auto"/>
          <w:kern w:val="0"/>
          <w:szCs w:val="21"/>
          <w:highlight w:val="none"/>
        </w:rPr>
      </w:pPr>
    </w:p>
    <w:p>
      <w:pPr>
        <w:pStyle w:val="7"/>
        <w:jc w:val="center"/>
        <w:rPr>
          <w:color w:val="auto"/>
          <w:sz w:val="28"/>
          <w:highlight w:val="none"/>
        </w:rPr>
      </w:pPr>
      <w:r>
        <w:rPr>
          <w:rFonts w:hint="eastAsia"/>
          <w:color w:val="auto"/>
          <w:sz w:val="28"/>
          <w:highlight w:val="none"/>
        </w:rPr>
        <w:t>（三）各投标分项报价明细表</w:t>
      </w:r>
    </w:p>
    <w:p>
      <w:pPr>
        <w:spacing w:line="360" w:lineRule="auto"/>
        <w:ind w:firstLine="490"/>
        <w:jc w:val="center"/>
        <w:rPr>
          <w:rFonts w:eastAsia="黑体" w:cs="宋体"/>
          <w:color w:val="auto"/>
          <w:sz w:val="28"/>
          <w:szCs w:val="20"/>
          <w:highlight w:val="none"/>
        </w:rPr>
      </w:pPr>
      <w:r>
        <w:rPr>
          <w:rFonts w:hint="eastAsia" w:ascii="宋体" w:hAnsi="宋体" w:cs="宋体"/>
          <w:color w:val="auto"/>
          <w:kern w:val="0"/>
          <w:sz w:val="28"/>
          <w:szCs w:val="28"/>
          <w:highlight w:val="none"/>
        </w:rPr>
        <w:t>（略）</w:t>
      </w:r>
    </w:p>
    <w:p>
      <w:pPr>
        <w:spacing w:line="360" w:lineRule="auto"/>
        <w:ind w:right="1260" w:firstLine="3990" w:firstLineChars="1900"/>
        <w:rPr>
          <w:color w:val="auto"/>
          <w:highlight w:val="none"/>
        </w:rPr>
      </w:pPr>
    </w:p>
    <w:p>
      <w:pPr>
        <w:spacing w:line="360" w:lineRule="auto"/>
        <w:ind w:right="1260" w:firstLine="3990" w:firstLineChars="1900"/>
        <w:rPr>
          <w:color w:val="auto"/>
          <w:highlight w:val="none"/>
        </w:rPr>
      </w:pPr>
    </w:p>
    <w:p>
      <w:pPr>
        <w:spacing w:line="360" w:lineRule="auto"/>
        <w:ind w:right="1260" w:firstLine="3990" w:firstLineChars="1900"/>
        <w:rPr>
          <w:rFonts w:ascii="黑体" w:hAnsi="宋体"/>
          <w:b/>
          <w:color w:val="auto"/>
          <w:sz w:val="32"/>
          <w:highlight w:val="none"/>
        </w:rPr>
      </w:pPr>
      <w:r>
        <w:rPr>
          <w:color w:val="auto"/>
          <w:highlight w:val="none"/>
        </w:rPr>
        <w:br w:type="page"/>
      </w:r>
    </w:p>
    <w:p>
      <w:pPr>
        <w:pStyle w:val="6"/>
        <w:jc w:val="center"/>
        <w:rPr>
          <w:rFonts w:ascii="黑体" w:hAnsi="黑体" w:eastAsia="黑体" w:cs="黑体"/>
          <w:b w:val="0"/>
          <w:color w:val="auto"/>
          <w:sz w:val="32"/>
          <w:highlight w:val="none"/>
        </w:rPr>
      </w:pPr>
      <w:bookmarkStart w:id="960" w:name="_Toc29481"/>
      <w:bookmarkStart w:id="961" w:name="_Toc22590"/>
      <w:bookmarkStart w:id="962" w:name="_Toc27088"/>
      <w:bookmarkStart w:id="963" w:name="_Toc2379"/>
      <w:bookmarkStart w:id="964" w:name="_Toc29055"/>
      <w:bookmarkStart w:id="965" w:name="_Toc27249"/>
      <w:r>
        <w:rPr>
          <w:rFonts w:hint="eastAsia" w:ascii="黑体" w:hAnsi="黑体" w:eastAsia="黑体" w:cs="黑体"/>
          <w:b w:val="0"/>
          <w:color w:val="auto"/>
          <w:sz w:val="32"/>
          <w:highlight w:val="none"/>
        </w:rPr>
        <w:t>十、技术标</w:t>
      </w:r>
      <w:bookmarkEnd w:id="960"/>
      <w:bookmarkEnd w:id="961"/>
      <w:bookmarkEnd w:id="962"/>
      <w:bookmarkEnd w:id="963"/>
      <w:bookmarkEnd w:id="964"/>
      <w:bookmarkEnd w:id="965"/>
    </w:p>
    <w:p>
      <w:pPr>
        <w:pStyle w:val="7"/>
        <w:jc w:val="center"/>
        <w:rPr>
          <w:color w:val="auto"/>
          <w:sz w:val="28"/>
          <w:highlight w:val="none"/>
        </w:rPr>
      </w:pPr>
      <w:r>
        <w:rPr>
          <w:rFonts w:hint="eastAsia"/>
          <w:color w:val="auto"/>
          <w:sz w:val="28"/>
          <w:highlight w:val="none"/>
        </w:rPr>
        <w:t>（一）设计文件</w:t>
      </w:r>
    </w:p>
    <w:p>
      <w:pPr>
        <w:spacing w:line="460" w:lineRule="exact"/>
        <w:jc w:val="center"/>
        <w:rPr>
          <w:rFonts w:ascii="宋体" w:hAnsi="宋体" w:cs="宋体"/>
          <w:color w:val="auto"/>
          <w:sz w:val="28"/>
          <w:szCs w:val="20"/>
          <w:highlight w:val="none"/>
        </w:rPr>
      </w:pPr>
      <w:r>
        <w:rPr>
          <w:rFonts w:hint="eastAsia" w:ascii="宋体" w:hAnsi="宋体" w:cs="宋体"/>
          <w:color w:val="auto"/>
          <w:sz w:val="28"/>
          <w:szCs w:val="20"/>
          <w:highlight w:val="none"/>
        </w:rPr>
        <w:t>（指方案设计文件、初步设计文件或者专业工程设计文件）</w:t>
      </w:r>
    </w:p>
    <w:p>
      <w:pPr>
        <w:spacing w:line="360" w:lineRule="auto"/>
        <w:ind w:firstLine="490"/>
        <w:jc w:val="center"/>
        <w:rPr>
          <w:rFonts w:eastAsia="黑体" w:cs="宋体"/>
          <w:color w:val="auto"/>
          <w:sz w:val="28"/>
          <w:szCs w:val="20"/>
          <w:highlight w:val="none"/>
        </w:rPr>
      </w:pPr>
      <w:r>
        <w:rPr>
          <w:rFonts w:hint="eastAsia" w:ascii="宋体" w:hAnsi="宋体" w:cs="宋体"/>
          <w:color w:val="auto"/>
          <w:kern w:val="0"/>
          <w:sz w:val="28"/>
          <w:szCs w:val="28"/>
          <w:highlight w:val="none"/>
        </w:rPr>
        <w:t>（符合本次招标文件的要求及评分要求）</w:t>
      </w:r>
      <w:r>
        <w:rPr>
          <w:rFonts w:eastAsia="黑体" w:cs="宋体"/>
          <w:color w:val="auto"/>
          <w:sz w:val="28"/>
          <w:szCs w:val="20"/>
          <w:highlight w:val="none"/>
        </w:rPr>
        <w:br w:type="page"/>
      </w:r>
    </w:p>
    <w:p>
      <w:pPr>
        <w:pStyle w:val="7"/>
        <w:jc w:val="center"/>
        <w:rPr>
          <w:color w:val="auto"/>
          <w:sz w:val="28"/>
          <w:highlight w:val="none"/>
        </w:rPr>
      </w:pPr>
      <w:r>
        <w:rPr>
          <w:rFonts w:hint="eastAsia"/>
          <w:color w:val="auto"/>
          <w:sz w:val="28"/>
          <w:highlight w:val="none"/>
        </w:rPr>
        <w:t>（二）项目管理组织方案</w:t>
      </w:r>
    </w:p>
    <w:p>
      <w:pPr>
        <w:spacing w:line="360" w:lineRule="auto"/>
        <w:ind w:firstLine="490"/>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（符合本次招标文件的要求及评分要求）</w:t>
      </w:r>
      <w:bookmarkEnd w:id="801"/>
    </w:p>
    <w:p>
      <w:pPr>
        <w:spacing w:line="360" w:lineRule="auto"/>
        <w:ind w:firstLine="490"/>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br w:type="page"/>
      </w:r>
    </w:p>
    <w:p>
      <w:pPr>
        <w:pStyle w:val="6"/>
        <w:jc w:val="center"/>
        <w:rPr>
          <w:rFonts w:ascii="黑体" w:hAnsi="黑体" w:eastAsia="黑体" w:cs="黑体"/>
          <w:b w:val="0"/>
          <w:bCs w:val="0"/>
          <w:color w:val="auto"/>
          <w:sz w:val="32"/>
          <w:highlight w:val="none"/>
        </w:rPr>
      </w:pPr>
      <w:bookmarkStart w:id="966" w:name="_Toc23165"/>
      <w:bookmarkStart w:id="967" w:name="_Toc2394"/>
      <w:bookmarkStart w:id="968" w:name="_Toc54901428"/>
      <w:bookmarkStart w:id="969" w:name="_Toc12916"/>
      <w:bookmarkStart w:id="970" w:name="_Toc4614"/>
      <w:bookmarkStart w:id="971" w:name="_Toc25244"/>
      <w:bookmarkStart w:id="972" w:name="_Toc29213"/>
      <w:bookmarkStart w:id="973" w:name="_Toc54901547"/>
      <w:bookmarkStart w:id="974" w:name="_Toc234"/>
      <w:r>
        <w:rPr>
          <w:rFonts w:hint="eastAsia" w:ascii="黑体" w:hAnsi="黑体" w:eastAsia="黑体" w:cs="黑体"/>
          <w:b w:val="0"/>
          <w:bCs w:val="0"/>
          <w:color w:val="auto"/>
          <w:sz w:val="32"/>
          <w:highlight w:val="none"/>
        </w:rPr>
        <w:t>十一、</w:t>
      </w:r>
      <w:r>
        <w:rPr>
          <w:rFonts w:hint="eastAsia" w:ascii="黑体" w:hAnsi="黑体" w:eastAsia="黑体" w:cs="黑体"/>
          <w:b w:val="0"/>
          <w:bCs w:val="0"/>
          <w:color w:val="auto"/>
          <w:sz w:val="32"/>
          <w:highlight w:val="none"/>
          <w:lang w:val="en-US" w:eastAsia="zh-CN"/>
        </w:rPr>
        <w:t>诚信</w:t>
      </w:r>
      <w:r>
        <w:rPr>
          <w:rFonts w:hint="eastAsia" w:ascii="黑体" w:hAnsi="黑体" w:eastAsia="黑体" w:cs="黑体"/>
          <w:b w:val="0"/>
          <w:bCs w:val="0"/>
          <w:color w:val="auto"/>
          <w:sz w:val="32"/>
          <w:highlight w:val="none"/>
        </w:rPr>
        <w:t>投标承诺书</w:t>
      </w:r>
      <w:bookmarkEnd w:id="966"/>
      <w:bookmarkEnd w:id="967"/>
      <w:bookmarkEnd w:id="968"/>
      <w:bookmarkEnd w:id="969"/>
      <w:bookmarkEnd w:id="970"/>
      <w:bookmarkEnd w:id="971"/>
      <w:bookmarkEnd w:id="972"/>
      <w:bookmarkEnd w:id="973"/>
      <w:bookmarkEnd w:id="974"/>
    </w:p>
    <w:p>
      <w:pPr>
        <w:spacing w:line="360" w:lineRule="auto"/>
        <w:ind w:left="420"/>
        <w:rPr>
          <w:rFonts w:hint="eastAsia" w:ascii="宋体" w:hAnsi="宋体" w:eastAsia="宋体"/>
          <w:color w:val="auto"/>
          <w:sz w:val="21"/>
          <w:highlight w:val="none"/>
        </w:rPr>
      </w:pPr>
      <w:r>
        <w:rPr>
          <w:rFonts w:hint="eastAsia" w:ascii="宋体" w:hAnsi="宋体" w:eastAsia="宋体"/>
          <w:color w:val="auto"/>
          <w:sz w:val="21"/>
          <w:highlight w:val="none"/>
          <w:u w:val="single"/>
        </w:rPr>
        <w:t xml:space="preserve">                  </w:t>
      </w:r>
      <w:r>
        <w:rPr>
          <w:rFonts w:hint="eastAsia" w:ascii="宋体" w:hAnsi="宋体" w:eastAsia="宋体"/>
          <w:color w:val="auto"/>
          <w:sz w:val="21"/>
          <w:highlight w:val="none"/>
        </w:rPr>
        <w:t>（招标人）：</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 xml:space="preserve">我单位自愿参加 </w:t>
      </w:r>
      <w:r>
        <w:rPr>
          <w:rFonts w:hint="eastAsia" w:ascii="宋体" w:hAnsi="宋体" w:eastAsia="宋体"/>
          <w:color w:val="auto"/>
          <w:sz w:val="21"/>
          <w:highlight w:val="none"/>
          <w:u w:val="single"/>
        </w:rPr>
        <w:t xml:space="preserve">                  </w:t>
      </w:r>
      <w:r>
        <w:rPr>
          <w:rFonts w:hint="eastAsia" w:ascii="宋体" w:hAnsi="宋体" w:eastAsia="宋体"/>
          <w:color w:val="auto"/>
          <w:sz w:val="21"/>
          <w:highlight w:val="none"/>
          <w:lang w:eastAsia="zh-CN"/>
        </w:rPr>
        <w:t>（标段名称）</w:t>
      </w:r>
      <w:r>
        <w:rPr>
          <w:rFonts w:hint="eastAsia" w:ascii="宋体" w:hAnsi="宋体" w:eastAsia="宋体"/>
          <w:color w:val="auto"/>
          <w:sz w:val="21"/>
          <w:highlight w:val="none"/>
        </w:rPr>
        <w:t>的投标活动，并做如下承诺：</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1</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在本项目的投标活动中，自觉遵守相关法律法规的规定，遵循诚实信用的原则。</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2</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投标文件中所有内容均为我单位真实意思表达，且均已核实并保证真实有效。</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3</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 xml:space="preserve">无法律、法规及招标文件中规定的限制参加投标的行为。 </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4</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不以他人名义投标或者以其他方式弄虚作假，骗取中标。</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5</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不与招标人（招标代理）或其他投标人相互串通投标，损害国家利益、社会公共利益或者他人的合法权益。</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6</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公平竞争，不背后搞小动作，无恶意投诉、诋毁、排挤其他投标人的行为。</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rPr>
        <w:t>7</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不向招标人（招标代理）或者评标委员会成员行贿、打招呼，以谋取中标。</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lang w:eastAsia="zh-CN"/>
        </w:rPr>
        <w:t>8</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中标后在招标文件规定的时间内依法与招标人签订合同。</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lang w:eastAsia="zh-CN"/>
        </w:rPr>
        <w:t>9</w:t>
      </w:r>
      <w:r>
        <w:rPr>
          <w:rFonts w:hint="eastAsia" w:ascii="宋体" w:hAnsi="宋体" w:eastAsia="宋体"/>
          <w:color w:val="auto"/>
          <w:sz w:val="21"/>
          <w:highlight w:val="none"/>
          <w:lang w:val="en-US" w:eastAsia="zh-CN"/>
        </w:rPr>
        <w:t>.</w:t>
      </w:r>
      <w:r>
        <w:rPr>
          <w:rFonts w:hint="eastAsia" w:ascii="宋体" w:hAnsi="宋体" w:eastAsia="宋体"/>
          <w:color w:val="auto"/>
          <w:sz w:val="21"/>
          <w:highlight w:val="none"/>
        </w:rPr>
        <w:t>不进行缺乏事实根据或法律依据的投诉。</w:t>
      </w:r>
    </w:p>
    <w:p>
      <w:pPr>
        <w:spacing w:line="360" w:lineRule="auto"/>
        <w:ind w:firstLine="420" w:firstLineChars="200"/>
        <w:rPr>
          <w:rFonts w:hint="eastAsia" w:ascii="宋体" w:hAnsi="宋体" w:eastAsia="宋体"/>
          <w:color w:val="auto"/>
          <w:sz w:val="21"/>
          <w:highlight w:val="none"/>
        </w:rPr>
      </w:pPr>
      <w:r>
        <w:rPr>
          <w:rFonts w:hint="eastAsia" w:ascii="宋体" w:hAnsi="宋体" w:eastAsia="宋体"/>
          <w:color w:val="auto"/>
          <w:sz w:val="21"/>
          <w:highlight w:val="none"/>
          <w:lang w:val="en-US" w:eastAsia="zh-CN"/>
        </w:rPr>
        <w:t>10.</w:t>
      </w:r>
      <w:r>
        <w:rPr>
          <w:rFonts w:hint="eastAsia" w:ascii="宋体" w:hAnsi="宋体" w:eastAsia="宋体"/>
          <w:color w:val="auto"/>
          <w:sz w:val="21"/>
          <w:highlight w:val="none"/>
        </w:rPr>
        <w:t>拟派往本工程的</w:t>
      </w:r>
      <w:r>
        <w:rPr>
          <w:rFonts w:hint="eastAsia" w:ascii="宋体" w:hAnsi="宋体" w:eastAsia="宋体"/>
          <w:color w:val="auto"/>
          <w:sz w:val="21"/>
          <w:highlight w:val="none"/>
          <w:lang w:val="en-US" w:eastAsia="zh-CN"/>
        </w:rPr>
        <w:t>施工项目负责人</w:t>
      </w:r>
      <w:r>
        <w:rPr>
          <w:rFonts w:hint="eastAsia" w:ascii="宋体" w:hAnsi="宋体" w:eastAsia="宋体"/>
          <w:color w:val="auto"/>
          <w:sz w:val="21"/>
          <w:highlight w:val="none"/>
        </w:rPr>
        <w:t>现阶段没有担任其他在建工程项目的项目经理。</w:t>
      </w:r>
    </w:p>
    <w:p>
      <w:pPr>
        <w:spacing w:line="360" w:lineRule="auto"/>
        <w:ind w:firstLine="420" w:firstLineChars="200"/>
        <w:rPr>
          <w:rFonts w:hint="eastAsia" w:ascii="宋体" w:hAnsi="宋体" w:cs="宋体"/>
          <w:color w:val="auto"/>
          <w:szCs w:val="21"/>
          <w:highlight w:val="none"/>
          <w:lang w:eastAsia="zh-CN"/>
        </w:rPr>
      </w:pPr>
      <w:r>
        <w:rPr>
          <w:rFonts w:hint="eastAsia" w:ascii="宋体" w:hAnsi="宋体" w:cs="宋体"/>
          <w:color w:val="auto"/>
          <w:szCs w:val="21"/>
          <w:highlight w:val="none"/>
          <w:lang w:val="en-US" w:eastAsia="zh-CN"/>
        </w:rPr>
        <w:t>11.拟派往本</w:t>
      </w:r>
      <w:r>
        <w:rPr>
          <w:rFonts w:hint="eastAsia" w:ascii="宋体" w:hAnsi="宋体" w:cs="宋体"/>
          <w:color w:val="auto"/>
          <w:szCs w:val="21"/>
          <w:highlight w:val="none"/>
        </w:rPr>
        <w:t>工程</w:t>
      </w:r>
      <w:r>
        <w:rPr>
          <w:rFonts w:hint="eastAsia" w:ascii="宋体" w:hAnsi="宋体" w:cs="宋体"/>
          <w:color w:val="auto"/>
          <w:szCs w:val="21"/>
          <w:highlight w:val="none"/>
          <w:lang w:val="en-US" w:eastAsia="zh-CN"/>
        </w:rPr>
        <w:t>的工程</w:t>
      </w:r>
      <w:r>
        <w:rPr>
          <w:rFonts w:hint="eastAsia" w:ascii="宋体" w:hAnsi="宋体" w:cs="宋体"/>
          <w:color w:val="auto"/>
          <w:szCs w:val="21"/>
          <w:highlight w:val="none"/>
        </w:rPr>
        <w:t>总承包项目经理</w:t>
      </w:r>
      <w:r>
        <w:rPr>
          <w:rFonts w:hint="eastAsia" w:ascii="宋体" w:hAnsi="宋体" w:cs="宋体"/>
          <w:color w:val="auto"/>
          <w:szCs w:val="21"/>
          <w:highlight w:val="none"/>
          <w:lang w:val="en-US" w:eastAsia="zh-CN"/>
        </w:rPr>
        <w:t>未</w:t>
      </w:r>
      <w:r>
        <w:rPr>
          <w:rFonts w:hint="eastAsia" w:ascii="宋体" w:hAnsi="宋体" w:cs="宋体"/>
          <w:color w:val="auto"/>
          <w:szCs w:val="21"/>
          <w:highlight w:val="none"/>
        </w:rPr>
        <w:t>同时在两个或两个以上项目</w:t>
      </w:r>
      <w:r>
        <w:rPr>
          <w:rFonts w:hint="eastAsia" w:ascii="宋体" w:hAnsi="宋体" w:cs="宋体"/>
          <w:color w:val="auto"/>
          <w:szCs w:val="21"/>
          <w:highlight w:val="none"/>
          <w:lang w:val="en-US" w:eastAsia="zh-CN"/>
        </w:rPr>
        <w:t>中</w:t>
      </w:r>
      <w:r>
        <w:rPr>
          <w:rFonts w:hint="eastAsia" w:ascii="宋体" w:hAnsi="宋体" w:cs="宋体"/>
          <w:color w:val="auto"/>
          <w:szCs w:val="21"/>
          <w:highlight w:val="none"/>
        </w:rPr>
        <w:t>担任工程总承包项目经理、施工项目负责人</w:t>
      </w:r>
      <w:r>
        <w:rPr>
          <w:rFonts w:hint="eastAsia" w:ascii="宋体" w:hAnsi="宋体" w:cs="宋体"/>
          <w:color w:val="auto"/>
          <w:szCs w:val="21"/>
          <w:highlight w:val="none"/>
          <w:lang w:eastAsia="zh-CN"/>
        </w:rPr>
        <w:t>。</w:t>
      </w:r>
    </w:p>
    <w:p>
      <w:pPr>
        <w:spacing w:line="360" w:lineRule="auto"/>
        <w:ind w:firstLine="420" w:firstLineChars="200"/>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12.拟派往本</w:t>
      </w:r>
      <w:r>
        <w:rPr>
          <w:rFonts w:hint="eastAsia" w:ascii="宋体" w:hAnsi="宋体" w:cs="宋体"/>
          <w:color w:val="auto"/>
          <w:szCs w:val="21"/>
          <w:highlight w:val="none"/>
        </w:rPr>
        <w:t>工程</w:t>
      </w:r>
      <w:r>
        <w:rPr>
          <w:rFonts w:hint="eastAsia" w:ascii="宋体" w:hAnsi="宋体" w:cs="宋体"/>
          <w:color w:val="auto"/>
          <w:szCs w:val="21"/>
          <w:highlight w:val="none"/>
          <w:lang w:val="en-US" w:eastAsia="zh-CN"/>
        </w:rPr>
        <w:t>的工程</w:t>
      </w:r>
      <w:r>
        <w:rPr>
          <w:rFonts w:hint="eastAsia" w:ascii="宋体" w:hAnsi="宋体" w:cs="宋体"/>
          <w:color w:val="auto"/>
          <w:highlight w:val="none"/>
        </w:rPr>
        <w:t>总承包项目经理、施工项目负责人</w:t>
      </w:r>
      <w:r>
        <w:rPr>
          <w:rFonts w:hint="eastAsia" w:ascii="宋体" w:hAnsi="宋体" w:cs="宋体"/>
          <w:color w:val="auto"/>
          <w:szCs w:val="21"/>
          <w:highlight w:val="none"/>
          <w:lang w:val="en-US" w:eastAsia="zh-CN"/>
        </w:rPr>
        <w:t>未</w:t>
      </w:r>
      <w:r>
        <w:rPr>
          <w:rFonts w:hint="eastAsia" w:ascii="宋体" w:hAnsi="宋体" w:cs="宋体"/>
          <w:color w:val="auto"/>
          <w:szCs w:val="21"/>
          <w:highlight w:val="none"/>
        </w:rPr>
        <w:t>同时在两个或者两个以上单位受聘或者执业</w:t>
      </w:r>
      <w:r>
        <w:rPr>
          <w:rFonts w:hint="eastAsia" w:ascii="宋体" w:hAnsi="宋体" w:cs="宋体"/>
          <w:color w:val="auto"/>
          <w:szCs w:val="21"/>
          <w:highlight w:val="none"/>
          <w:lang w:eastAsia="zh-CN"/>
        </w:rPr>
        <w:t>。</w:t>
      </w:r>
    </w:p>
    <w:p>
      <w:pPr>
        <w:spacing w:line="360" w:lineRule="auto"/>
        <w:ind w:firstLine="420" w:firstLineChars="200"/>
        <w:rPr>
          <w:rFonts w:hint="eastAsia" w:ascii="宋体" w:hAnsi="宋体" w:eastAsia="宋体"/>
          <w:color w:val="auto"/>
          <w:sz w:val="22"/>
          <w:highlight w:val="none"/>
          <w:lang w:eastAsia="zh-CN"/>
        </w:rPr>
      </w:pPr>
      <w:r>
        <w:rPr>
          <w:rFonts w:hint="eastAsia" w:ascii="宋体" w:hAnsi="宋体" w:eastAsia="宋体"/>
          <w:color w:val="auto"/>
          <w:sz w:val="21"/>
          <w:highlight w:val="none"/>
          <w:lang w:val="en-US" w:eastAsia="zh-CN"/>
        </w:rPr>
        <w:t>1</w:t>
      </w:r>
      <w:r>
        <w:rPr>
          <w:rFonts w:hint="eastAsia" w:ascii="宋体" w:hAnsi="宋体"/>
          <w:color w:val="auto"/>
          <w:sz w:val="21"/>
          <w:highlight w:val="none"/>
          <w:lang w:val="en-US" w:eastAsia="zh-CN"/>
        </w:rPr>
        <w:t>3</w:t>
      </w:r>
      <w:r>
        <w:rPr>
          <w:rFonts w:hint="eastAsia" w:ascii="宋体" w:hAnsi="宋体" w:eastAsia="宋体"/>
          <w:color w:val="auto"/>
          <w:sz w:val="21"/>
          <w:highlight w:val="none"/>
          <w:lang w:val="en-US" w:eastAsia="zh-CN"/>
        </w:rPr>
        <w:t>.</w:t>
      </w:r>
      <w:r>
        <w:rPr>
          <w:rFonts w:hint="eastAsia" w:ascii="宋体" w:hAnsi="宋体"/>
          <w:szCs w:val="21"/>
        </w:rPr>
        <w:t>符合招标公告3.</w:t>
      </w:r>
      <w:r>
        <w:rPr>
          <w:rFonts w:hint="eastAsia" w:ascii="宋体" w:hAnsi="宋体"/>
          <w:szCs w:val="21"/>
          <w:lang w:val="en-US" w:eastAsia="zh-CN"/>
        </w:rPr>
        <w:t>6</w:t>
      </w:r>
      <w:r>
        <w:rPr>
          <w:rFonts w:hint="eastAsia" w:ascii="宋体" w:hAnsi="宋体" w:cs="宋体"/>
          <w:szCs w:val="21"/>
        </w:rPr>
        <w:t>信誉要求</w:t>
      </w:r>
      <w:r>
        <w:rPr>
          <w:rFonts w:hint="eastAsia" w:ascii="宋体" w:hAnsi="宋体" w:cs="宋体"/>
          <w:szCs w:val="21"/>
          <w:lang w:eastAsia="zh-CN"/>
        </w:rPr>
        <w:t>。</w:t>
      </w:r>
    </w:p>
    <w:p>
      <w:pPr>
        <w:spacing w:line="360" w:lineRule="auto"/>
        <w:ind w:firstLine="440" w:firstLineChars="200"/>
        <w:rPr>
          <w:rFonts w:hint="eastAsia" w:ascii="宋体" w:hAnsi="宋体" w:eastAsia="宋体"/>
          <w:color w:val="auto"/>
          <w:sz w:val="22"/>
          <w:highlight w:val="none"/>
          <w:lang w:val="en-US" w:eastAsia="zh-CN"/>
        </w:rPr>
      </w:pPr>
      <w:r>
        <w:rPr>
          <w:rFonts w:hint="eastAsia" w:ascii="宋体" w:hAnsi="宋体" w:eastAsia="宋体"/>
          <w:color w:val="auto"/>
          <w:sz w:val="22"/>
          <w:highlight w:val="none"/>
          <w:lang w:val="en-US" w:eastAsia="zh-CN"/>
        </w:rPr>
        <w:t>1</w:t>
      </w:r>
      <w:r>
        <w:rPr>
          <w:rFonts w:hint="eastAsia" w:ascii="宋体" w:hAnsi="宋体"/>
          <w:color w:val="auto"/>
          <w:sz w:val="22"/>
          <w:highlight w:val="none"/>
          <w:lang w:val="en-US" w:eastAsia="zh-CN"/>
        </w:rPr>
        <w:t>4</w:t>
      </w:r>
      <w:r>
        <w:rPr>
          <w:rFonts w:hint="eastAsia" w:ascii="宋体" w:hAnsi="宋体" w:eastAsia="宋体"/>
          <w:color w:val="auto"/>
          <w:sz w:val="22"/>
          <w:highlight w:val="none"/>
          <w:lang w:val="en-US" w:eastAsia="zh-CN"/>
        </w:rPr>
        <w:t>.</w:t>
      </w:r>
      <w:r>
        <w:rPr>
          <w:rFonts w:hint="eastAsia" w:ascii="宋体" w:hAnsi="宋体"/>
          <w:color w:val="auto"/>
          <w:szCs w:val="21"/>
          <w:highlight w:val="none"/>
        </w:rPr>
        <w:t>不存在招标文件第二章投标人须知第1.4.3</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1.4.4</w:t>
      </w:r>
      <w:r>
        <w:rPr>
          <w:rFonts w:hint="eastAsia" w:ascii="宋体" w:hAnsi="宋体"/>
          <w:color w:val="auto"/>
          <w:szCs w:val="21"/>
          <w:highlight w:val="none"/>
        </w:rPr>
        <w:t>项规定的情形。</w:t>
      </w:r>
    </w:p>
    <w:p>
      <w:p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如我单位违反上述承诺内容，自愿接受</w:t>
      </w:r>
      <w:r>
        <w:rPr>
          <w:rFonts w:hint="eastAsia" w:ascii="宋体" w:hAnsi="宋体" w:eastAsia="宋体" w:cs="宋体"/>
          <w:color w:val="auto"/>
          <w:sz w:val="21"/>
          <w:szCs w:val="21"/>
          <w:highlight w:val="none"/>
          <w:lang w:val="en-US" w:eastAsia="zh-CN"/>
        </w:rPr>
        <w:t>招标人、主管部门调查</w:t>
      </w:r>
      <w:r>
        <w:rPr>
          <w:rFonts w:hint="eastAsia" w:ascii="宋体" w:hAnsi="宋体" w:eastAsia="宋体" w:cs="宋体"/>
          <w:color w:val="auto"/>
          <w:sz w:val="21"/>
          <w:szCs w:val="21"/>
          <w:highlight w:val="none"/>
        </w:rPr>
        <w:t>处</w:t>
      </w:r>
      <w:r>
        <w:rPr>
          <w:rFonts w:hint="eastAsia" w:ascii="宋体" w:hAnsi="宋体" w:eastAsia="宋体" w:cs="宋体"/>
          <w:color w:val="auto"/>
          <w:sz w:val="21"/>
          <w:szCs w:val="21"/>
          <w:highlight w:val="none"/>
          <w:lang w:val="en-US" w:eastAsia="zh-CN"/>
        </w:rPr>
        <w:t>理</w:t>
      </w:r>
      <w:r>
        <w:rPr>
          <w:rFonts w:hint="eastAsia" w:ascii="宋体" w:hAnsi="宋体" w:eastAsia="宋体" w:cs="宋体"/>
          <w:color w:val="auto"/>
          <w:sz w:val="21"/>
          <w:szCs w:val="21"/>
          <w:highlight w:val="none"/>
        </w:rPr>
        <w:t>，并承担由此引发的一切后果。</w:t>
      </w:r>
    </w:p>
    <w:p>
      <w:pPr>
        <w:topLinePunct/>
        <w:spacing w:line="400" w:lineRule="exact"/>
        <w:ind w:firstLine="3360" w:firstLineChars="1600"/>
        <w:rPr>
          <w:rFonts w:hint="eastAsia"/>
          <w:color w:val="auto"/>
          <w:highlight w:val="none"/>
        </w:rPr>
      </w:pPr>
      <w:r>
        <w:rPr>
          <w:rFonts w:hint="eastAsia"/>
          <w:color w:val="auto"/>
          <w:szCs w:val="21"/>
          <w:highlight w:val="none"/>
        </w:rPr>
        <w:t>投标人采用非</w:t>
      </w:r>
      <w:r>
        <w:rPr>
          <w:rFonts w:hint="eastAsia"/>
          <w:color w:val="auto"/>
          <w:highlight w:val="none"/>
        </w:rPr>
        <w:t>联合体形式投标的，按如下签字盖章：</w:t>
      </w:r>
    </w:p>
    <w:p>
      <w:pPr>
        <w:topLinePunct/>
        <w:spacing w:line="400" w:lineRule="exact"/>
        <w:ind w:firstLine="3399" w:firstLineChars="1650"/>
        <w:rPr>
          <w:rFonts w:hint="default" w:ascii="宋体" w:hAnsi="宋体" w:eastAsia="宋体"/>
          <w:color w:val="auto"/>
          <w:szCs w:val="21"/>
          <w:highlight w:val="none"/>
          <w:u w:val="single"/>
          <w:lang w:val="en-US" w:eastAsia="zh-CN"/>
        </w:rPr>
      </w:pPr>
      <w:r>
        <w:rPr>
          <w:rFonts w:hint="eastAsia" w:ascii="宋体" w:hAnsi="宋体" w:cs="宋体"/>
          <w:color w:val="auto"/>
          <w:spacing w:val="-2"/>
          <w:szCs w:val="21"/>
          <w:highlight w:val="none"/>
        </w:rPr>
        <w:t>投标人</w:t>
      </w:r>
      <w:r>
        <w:rPr>
          <w:rFonts w:hint="eastAsia" w:ascii="宋体" w:hAnsi="宋体"/>
          <w:color w:val="auto"/>
          <w:szCs w:val="21"/>
          <w:highlight w:val="none"/>
        </w:rPr>
        <w:t xml:space="preserve"> (盖章)：</w:t>
      </w:r>
      <w:r>
        <w:rPr>
          <w:rFonts w:hint="eastAsia" w:ascii="宋体" w:hAnsi="宋体"/>
          <w:color w:val="auto"/>
          <w:szCs w:val="21"/>
          <w:highlight w:val="none"/>
          <w:u w:val="single"/>
          <w:lang w:val="en-US" w:eastAsia="zh-CN"/>
        </w:rPr>
        <w:t xml:space="preserve">                    </w:t>
      </w:r>
    </w:p>
    <w:p>
      <w:pPr>
        <w:topLinePunct/>
        <w:spacing w:line="400" w:lineRule="exact"/>
        <w:ind w:firstLine="3465" w:firstLineChars="1650"/>
        <w:rPr>
          <w:rFonts w:hint="default" w:ascii="宋体" w:hAnsi="宋体" w:eastAsia="宋体"/>
          <w:color w:val="auto"/>
          <w:szCs w:val="21"/>
          <w:highlight w:val="none"/>
          <w:lang w:val="en-US" w:eastAsia="zh-CN"/>
        </w:rPr>
      </w:pPr>
      <w:r>
        <w:rPr>
          <w:rFonts w:hint="eastAsia" w:ascii="宋体" w:hAnsi="宋体"/>
          <w:color w:val="auto"/>
          <w:szCs w:val="21"/>
          <w:highlight w:val="none"/>
        </w:rPr>
        <w:t>法定代表人或其委托代理人 (</w:t>
      </w:r>
      <w:r>
        <w:rPr>
          <w:rFonts w:hint="eastAsia" w:ascii="宋体" w:hAnsi="宋体" w:eastAsia="宋体"/>
          <w:color w:val="auto"/>
          <w:sz w:val="21"/>
          <w:highlight w:val="none"/>
        </w:rPr>
        <w:t>签字或盖章</w:t>
      </w:r>
      <w:r>
        <w:rPr>
          <w:rFonts w:hint="eastAsia" w:ascii="宋体" w:hAnsi="宋体"/>
          <w:color w:val="auto"/>
          <w:szCs w:val="21"/>
          <w:highlight w:val="none"/>
        </w:rPr>
        <w:t>)：</w:t>
      </w:r>
      <w:r>
        <w:rPr>
          <w:rFonts w:hint="eastAsia" w:ascii="宋体" w:hAnsi="宋体"/>
          <w:color w:val="auto"/>
          <w:szCs w:val="21"/>
          <w:highlight w:val="none"/>
          <w:u w:val="single"/>
          <w:lang w:val="en-US" w:eastAsia="zh-CN"/>
        </w:rPr>
        <w:t xml:space="preserve">           </w:t>
      </w:r>
    </w:p>
    <w:p>
      <w:pPr>
        <w:topLinePunct/>
        <w:spacing w:line="400" w:lineRule="exact"/>
        <w:ind w:firstLine="3465" w:firstLineChars="1650"/>
        <w:rPr>
          <w:rFonts w:ascii="宋体" w:hAnsi="宋体"/>
          <w:color w:val="auto"/>
          <w:szCs w:val="21"/>
          <w:highlight w:val="none"/>
        </w:rPr>
      </w:pPr>
    </w:p>
    <w:p>
      <w:pPr>
        <w:topLinePunct/>
        <w:spacing w:line="400" w:lineRule="exact"/>
        <w:ind w:firstLine="3360" w:firstLineChars="1600"/>
        <w:rPr>
          <w:rFonts w:hint="eastAsia"/>
          <w:color w:val="auto"/>
          <w:highlight w:val="none"/>
        </w:rPr>
      </w:pPr>
      <w:r>
        <w:rPr>
          <w:rFonts w:hint="eastAsia"/>
          <w:color w:val="auto"/>
          <w:szCs w:val="21"/>
          <w:highlight w:val="none"/>
        </w:rPr>
        <w:t>投标人采用</w:t>
      </w:r>
      <w:r>
        <w:rPr>
          <w:rFonts w:hint="eastAsia"/>
          <w:color w:val="auto"/>
          <w:highlight w:val="none"/>
        </w:rPr>
        <w:t>联合体形式投标的，按如下签字盖章：</w:t>
      </w:r>
    </w:p>
    <w:p>
      <w:pPr>
        <w:topLinePunct/>
        <w:spacing w:line="400" w:lineRule="exact"/>
        <w:ind w:firstLine="3399" w:firstLineChars="1650"/>
        <w:rPr>
          <w:rFonts w:ascii="宋体" w:hAnsi="宋体"/>
          <w:color w:val="auto"/>
          <w:szCs w:val="21"/>
          <w:highlight w:val="none"/>
        </w:rPr>
      </w:pPr>
      <w:r>
        <w:rPr>
          <w:rFonts w:hint="eastAsia" w:ascii="宋体" w:hAnsi="宋体" w:cs="宋体"/>
          <w:color w:val="auto"/>
          <w:spacing w:val="-2"/>
          <w:szCs w:val="21"/>
          <w:highlight w:val="none"/>
        </w:rPr>
        <w:t>联合体</w:t>
      </w:r>
      <w:r>
        <w:rPr>
          <w:rFonts w:hint="eastAsia" w:ascii="宋体" w:hAnsi="宋体"/>
          <w:color w:val="auto"/>
          <w:szCs w:val="21"/>
          <w:highlight w:val="none"/>
        </w:rPr>
        <w:t>牵头人名称(盖章)：</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p>
    <w:p>
      <w:pPr>
        <w:topLinePunct/>
        <w:spacing w:line="400" w:lineRule="exact"/>
        <w:ind w:firstLine="3360" w:firstLineChars="1600"/>
        <w:rPr>
          <w:rFonts w:hint="default" w:ascii="宋体" w:hAnsi="宋体" w:eastAsia="宋体"/>
          <w:color w:val="auto"/>
          <w:szCs w:val="21"/>
          <w:highlight w:val="none"/>
          <w:lang w:val="en-US" w:eastAsia="zh-CN"/>
        </w:rPr>
      </w:pPr>
      <w:r>
        <w:rPr>
          <w:rFonts w:hint="eastAsia" w:ascii="宋体" w:hAnsi="宋体"/>
          <w:color w:val="auto"/>
          <w:szCs w:val="21"/>
          <w:highlight w:val="none"/>
        </w:rPr>
        <w:t>法定代表人或其委托代理人 (</w:t>
      </w:r>
      <w:r>
        <w:rPr>
          <w:rFonts w:hint="eastAsia" w:ascii="宋体" w:hAnsi="宋体" w:eastAsia="宋体"/>
          <w:color w:val="auto"/>
          <w:sz w:val="21"/>
          <w:highlight w:val="none"/>
        </w:rPr>
        <w:t>签字或盖章</w:t>
      </w:r>
      <w:r>
        <w:rPr>
          <w:rFonts w:hint="eastAsia" w:ascii="宋体" w:hAnsi="宋体"/>
          <w:color w:val="auto"/>
          <w:szCs w:val="21"/>
          <w:highlight w:val="none"/>
        </w:rPr>
        <w:t>)：</w:t>
      </w:r>
      <w:r>
        <w:rPr>
          <w:rFonts w:hint="eastAsia" w:ascii="宋体" w:hAnsi="宋体"/>
          <w:color w:val="auto"/>
          <w:szCs w:val="21"/>
          <w:highlight w:val="none"/>
          <w:lang w:val="en-US" w:eastAsia="zh-CN"/>
        </w:rPr>
        <w:t xml:space="preserve"> </w:t>
      </w:r>
      <w:r>
        <w:rPr>
          <w:rFonts w:hint="eastAsia" w:ascii="宋体" w:hAnsi="宋体"/>
          <w:color w:val="auto"/>
          <w:szCs w:val="21"/>
          <w:highlight w:val="none"/>
          <w:u w:val="single"/>
          <w:lang w:val="en-US" w:eastAsia="zh-CN"/>
        </w:rPr>
        <w:t xml:space="preserve">            </w:t>
      </w:r>
    </w:p>
    <w:p>
      <w:pPr>
        <w:topLinePunct/>
        <w:spacing w:line="400" w:lineRule="exact"/>
        <w:ind w:firstLine="3399" w:firstLineChars="1650"/>
        <w:rPr>
          <w:rFonts w:hint="default" w:ascii="宋体" w:hAnsi="宋体" w:eastAsia="宋体"/>
          <w:color w:val="auto"/>
          <w:szCs w:val="21"/>
          <w:highlight w:val="none"/>
          <w:lang w:val="en-US" w:eastAsia="zh-CN"/>
        </w:rPr>
      </w:pPr>
      <w:r>
        <w:rPr>
          <w:rFonts w:hint="eastAsia" w:ascii="宋体" w:hAnsi="宋体" w:cs="宋体"/>
          <w:color w:val="auto"/>
          <w:spacing w:val="-2"/>
          <w:szCs w:val="21"/>
          <w:highlight w:val="none"/>
        </w:rPr>
        <w:t>联合体</w:t>
      </w:r>
      <w:r>
        <w:rPr>
          <w:rFonts w:hint="eastAsia" w:ascii="宋体" w:hAnsi="宋体"/>
          <w:color w:val="auto"/>
          <w:szCs w:val="21"/>
          <w:highlight w:val="none"/>
        </w:rPr>
        <w:t>成员名称 (盖单位章)：</w:t>
      </w:r>
      <w:r>
        <w:rPr>
          <w:rFonts w:hint="eastAsia" w:ascii="宋体" w:hAnsi="宋体"/>
          <w:color w:val="auto"/>
          <w:szCs w:val="21"/>
          <w:highlight w:val="none"/>
          <w:u w:val="single"/>
          <w:lang w:val="en-US" w:eastAsia="zh-CN"/>
        </w:rPr>
        <w:t xml:space="preserve">                   </w:t>
      </w:r>
    </w:p>
    <w:p>
      <w:pPr>
        <w:topLinePunct/>
        <w:spacing w:line="400" w:lineRule="exact"/>
        <w:ind w:firstLine="3465" w:firstLineChars="1650"/>
        <w:rPr>
          <w:rFonts w:hint="default" w:ascii="宋体" w:hAnsi="宋体" w:eastAsia="宋体"/>
          <w:color w:val="auto"/>
          <w:szCs w:val="21"/>
          <w:highlight w:val="none"/>
          <w:lang w:val="en-US" w:eastAsia="zh-CN"/>
        </w:rPr>
      </w:pPr>
      <w:r>
        <w:rPr>
          <w:rFonts w:hint="eastAsia" w:ascii="宋体" w:hAnsi="宋体"/>
          <w:color w:val="auto"/>
          <w:szCs w:val="21"/>
          <w:highlight w:val="none"/>
        </w:rPr>
        <w:t>法定代表人或其委托代理人 (</w:t>
      </w:r>
      <w:r>
        <w:rPr>
          <w:rFonts w:hint="eastAsia" w:ascii="宋体" w:hAnsi="宋体" w:eastAsia="宋体"/>
          <w:color w:val="auto"/>
          <w:sz w:val="21"/>
          <w:highlight w:val="none"/>
        </w:rPr>
        <w:t>签字或盖章</w:t>
      </w:r>
      <w:r>
        <w:rPr>
          <w:rFonts w:hint="eastAsia" w:ascii="宋体" w:hAnsi="宋体"/>
          <w:color w:val="auto"/>
          <w:szCs w:val="21"/>
          <w:highlight w:val="none"/>
        </w:rPr>
        <w:t>）：</w:t>
      </w:r>
      <w:r>
        <w:rPr>
          <w:rFonts w:hint="eastAsia" w:ascii="宋体" w:hAnsi="宋体"/>
          <w:color w:val="auto"/>
          <w:szCs w:val="21"/>
          <w:highlight w:val="none"/>
          <w:u w:val="single"/>
          <w:lang w:val="en-US" w:eastAsia="zh-CN"/>
        </w:rPr>
        <w:t xml:space="preserve">           </w:t>
      </w:r>
    </w:p>
    <w:p>
      <w:pPr>
        <w:spacing w:before="156" w:beforeLines="50" w:line="360" w:lineRule="exact"/>
        <w:jc w:val="center"/>
        <w:rPr>
          <w:rFonts w:hint="eastAsia"/>
          <w:color w:val="auto"/>
          <w:szCs w:val="21"/>
          <w:highlight w:val="none"/>
        </w:rPr>
      </w:pPr>
      <w:r>
        <w:rPr>
          <w:rFonts w:hint="eastAsia" w:ascii="宋体" w:hAnsi="宋体"/>
          <w:color w:val="auto"/>
          <w:highlight w:val="none"/>
        </w:rPr>
        <w:t xml:space="preserve">               </w:t>
      </w:r>
      <w:r>
        <w:rPr>
          <w:rFonts w:hint="eastAsia"/>
          <w:color w:val="auto"/>
          <w:szCs w:val="21"/>
          <w:highlight w:val="none"/>
        </w:rPr>
        <w:t>年   月   日</w:t>
      </w:r>
    </w:p>
    <w:p>
      <w:pPr>
        <w:rPr>
          <w:rFonts w:hint="eastAsia"/>
          <w:color w:val="auto"/>
          <w:highlight w:val="none"/>
        </w:rPr>
      </w:pPr>
    </w:p>
    <w:p>
      <w:pPr>
        <w:pStyle w:val="6"/>
        <w:jc w:val="center"/>
        <w:rPr>
          <w:rFonts w:hint="eastAsia" w:ascii="黑体" w:hAnsi="黑体" w:eastAsia="黑体" w:cs="黑体"/>
          <w:b w:val="0"/>
          <w:bCs w:val="0"/>
          <w:color w:val="auto"/>
          <w:sz w:val="32"/>
          <w:highlight w:val="none"/>
        </w:rPr>
      </w:pPr>
    </w:p>
    <w:p>
      <w:pPr>
        <w:pStyle w:val="6"/>
        <w:jc w:val="center"/>
        <w:rPr>
          <w:rFonts w:ascii="宋体" w:hAnsi="宋体" w:cs="宋体"/>
          <w:b w:val="0"/>
          <w:bCs w:val="0"/>
          <w:color w:val="auto"/>
          <w:kern w:val="0"/>
          <w:sz w:val="28"/>
          <w:szCs w:val="28"/>
          <w:highlight w:val="none"/>
        </w:rPr>
      </w:pPr>
      <w:bookmarkStart w:id="975" w:name="_Toc14681"/>
      <w:bookmarkStart w:id="976" w:name="_Toc7643"/>
      <w:bookmarkStart w:id="977" w:name="_Toc8908"/>
      <w:bookmarkStart w:id="978" w:name="_Toc22567"/>
      <w:bookmarkStart w:id="979" w:name="_Toc26411"/>
      <w:bookmarkStart w:id="980" w:name="_Toc23794"/>
      <w:r>
        <w:rPr>
          <w:rFonts w:hint="eastAsia" w:ascii="黑体" w:hAnsi="黑体" w:eastAsia="黑体" w:cs="黑体"/>
          <w:b w:val="0"/>
          <w:bCs w:val="0"/>
          <w:color w:val="auto"/>
          <w:sz w:val="32"/>
          <w:highlight w:val="none"/>
        </w:rPr>
        <w:t>十二、其他资料</w:t>
      </w:r>
      <w:bookmarkEnd w:id="975"/>
      <w:bookmarkEnd w:id="976"/>
      <w:bookmarkEnd w:id="977"/>
      <w:bookmarkEnd w:id="978"/>
      <w:bookmarkEnd w:id="979"/>
      <w:bookmarkEnd w:id="980"/>
    </w:p>
    <w:p>
      <w:pPr>
        <w:spacing w:line="360" w:lineRule="auto"/>
        <w:ind w:firstLine="420" w:firstLineChars="200"/>
        <w:rPr>
          <w:rFonts w:ascii="宋体" w:hAnsi="宋体" w:cs="宋体"/>
          <w:color w:val="auto"/>
          <w:kern w:val="0"/>
          <w:szCs w:val="21"/>
          <w:highlight w:val="none"/>
        </w:rPr>
      </w:pPr>
      <w:r>
        <w:rPr>
          <w:rFonts w:hint="eastAsia" w:ascii="宋体" w:hAnsi="宋体" w:cs="宋体"/>
          <w:color w:val="auto"/>
          <w:kern w:val="0"/>
          <w:szCs w:val="21"/>
          <w:highlight w:val="none"/>
        </w:rPr>
        <w:t>1.招标文件要求提交的其他资料；</w:t>
      </w:r>
    </w:p>
    <w:p>
      <w:pPr>
        <w:spacing w:line="360" w:lineRule="auto"/>
        <w:ind w:firstLine="420" w:firstLineChars="200"/>
        <w:rPr>
          <w:rFonts w:ascii="宋体" w:hAnsi="宋体" w:cs="宋体"/>
          <w:color w:val="auto"/>
          <w:kern w:val="0"/>
          <w:szCs w:val="21"/>
          <w:highlight w:val="none"/>
        </w:rPr>
      </w:pPr>
      <w:r>
        <w:rPr>
          <w:rFonts w:hint="eastAsia" w:ascii="宋体" w:hAnsi="宋体" w:cs="宋体"/>
          <w:color w:val="auto"/>
          <w:kern w:val="0"/>
          <w:szCs w:val="21"/>
          <w:highlight w:val="none"/>
        </w:rPr>
        <w:t>2.投标人认为有必要提供的其他资料。</w:t>
      </w:r>
    </w:p>
    <w:p/>
    <w:p/>
    <w:p/>
    <w:p/>
    <w:p/>
    <w:p/>
    <w:p/>
    <w:p/>
    <w:p/>
    <w:p/>
    <w:p/>
    <w:p/>
    <w:p/>
    <w:p/>
    <w:p>
      <w:pPr>
        <w:tabs>
          <w:tab w:val="left" w:pos="2902"/>
        </w:tabs>
        <w:jc w:val="left"/>
      </w:pPr>
      <w:r>
        <w:rPr>
          <w:rFonts w:hint="eastAsia"/>
        </w:rPr>
        <w:tab/>
      </w:r>
    </w:p>
    <w:sectPr>
      <w:pgSz w:w="11907" w:h="16840"/>
      <w:pgMar w:top="1440" w:right="1559" w:bottom="1440" w:left="1560" w:header="851" w:footer="851"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moder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8D4EA6E-AE3A-4AD3-886A-A036250562CC}"/>
  </w:font>
  <w:font w:name="Arial">
    <w:panose1 w:val="020B0604020202020204"/>
    <w:charset w:val="01"/>
    <w:family w:val="swiss"/>
    <w:pitch w:val="default"/>
    <w:sig w:usb0="E0002EFF" w:usb1="C000785B" w:usb2="00000009" w:usb3="00000000" w:csb0="400001FF" w:csb1="FFFF0000"/>
    <w:embedRegular r:id="rId2" w:fontKey="{3CCFA83B-F2FB-4E0A-B222-A130D3C03982}"/>
  </w:font>
  <w:font w:name="黑体">
    <w:panose1 w:val="02010609060101010101"/>
    <w:charset w:val="86"/>
    <w:family w:val="auto"/>
    <w:pitch w:val="default"/>
    <w:sig w:usb0="800002BF" w:usb1="38CF7CFA" w:usb2="00000016" w:usb3="00000000" w:csb0="00040001" w:csb1="00000000"/>
    <w:embedRegular r:id="rId3" w:fontKey="{E4D7B94D-2C90-4865-9BBA-91A126040E1A}"/>
  </w:font>
  <w:font w:name="Courier New">
    <w:panose1 w:val="02070309020205020404"/>
    <w:charset w:val="01"/>
    <w:family w:val="modern"/>
    <w:pitch w:val="default"/>
    <w:sig w:usb0="E0002EFF" w:usb1="C0007843" w:usb2="00000009" w:usb3="00000000" w:csb0="400001FF" w:csb1="FFFF0000"/>
    <w:embedRegular r:id="rId4" w:fontKey="{D50687CE-8BE1-421B-BCA5-AD04A979DEDC}"/>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5" w:fontKey="{FEC8B227-3C83-4A28-8019-DDC2A2EB428F}"/>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00" w:usb3="00000000" w:csb0="00040000" w:csb1="00000000"/>
    <w:embedRegular r:id="rId6" w:fontKey="{01F3B02D-D76F-406D-8DD0-22B6712A6113}"/>
  </w:font>
  <w:font w:name="Verdana">
    <w:panose1 w:val="020B0604030504040204"/>
    <w:charset w:val="00"/>
    <w:family w:val="swiss"/>
    <w:pitch w:val="default"/>
    <w:sig w:usb0="A00006FF" w:usb1="4000205B" w:usb2="00000010" w:usb3="00000000" w:csb0="2000019F" w:csb1="00000000"/>
  </w:font>
  <w:font w:name="华文细黑">
    <w:altName w:val="微软雅黑"/>
    <w:panose1 w:val="02010600040101010101"/>
    <w:charset w:val="86"/>
    <w:family w:val="auto"/>
    <w:pitch w:val="default"/>
    <w:sig w:usb0="00000000" w:usb1="00000000" w:usb2="00000000" w:usb3="00000000" w:csb0="0004009F" w:csb1="DFD70000"/>
  </w:font>
  <w:font w:name="Times">
    <w:altName w:val="Times New Roman"/>
    <w:panose1 w:val="02020603050405020304"/>
    <w:charset w:val="00"/>
    <w:family w:val="roman"/>
    <w:pitch w:val="default"/>
    <w:sig w:usb0="00000000" w:usb1="00000000" w:usb2="00000009" w:usb3="00000000" w:csb0="000001FF" w:csb1="00000000"/>
  </w:font>
  <w:font w:name="Wingdings 2">
    <w:altName w:val="Wingdings"/>
    <w:panose1 w:val="05020102010507070707"/>
    <w:charset w:val="02"/>
    <w:family w:val="roman"/>
    <w:pitch w:val="default"/>
    <w:sig w:usb0="00000000" w:usb1="00000000" w:usb2="00000000" w:usb3="00000000" w:csb0="80000000" w:csb1="00000000"/>
    <w:embedRegular r:id="rId7" w:fontKey="{8C40AA44-62E9-4D7A-8C54-45DAE84258AB}"/>
  </w:font>
  <w:font w:name="MS Gothic">
    <w:panose1 w:val="020B0609070205080204"/>
    <w:charset w:val="80"/>
    <w:family w:val="modern"/>
    <w:pitch w:val="default"/>
    <w:sig w:usb0="E00002FF" w:usb1="6AC7FDFB" w:usb2="08000012" w:usb3="00000000" w:csb0="4002009F" w:csb1="DFD70000"/>
    <w:embedRegular r:id="rId8" w:fontKey="{B28DD785-4341-41F3-86B2-491DFF6FEFA5}"/>
  </w:font>
  <w:font w:name="MingLiU">
    <w:altName w:val="PMingLiU-ExtB"/>
    <w:panose1 w:val="02020509000000000000"/>
    <w:charset w:val="88"/>
    <w:family w:val="modern"/>
    <w:pitch w:val="default"/>
    <w:sig w:usb0="00000000" w:usb1="00000000" w:usb2="00000016" w:usb3="00000000" w:csb0="00100001" w:csb1="00000000"/>
    <w:embedRegular r:id="rId9" w:fontKey="{BA4B1BC9-03D8-4DCB-8ED0-17D204B8886B}"/>
  </w:font>
  <w:font w:name="仿宋">
    <w:panose1 w:val="02010609060101010101"/>
    <w:charset w:val="86"/>
    <w:family w:val="modern"/>
    <w:pitch w:val="default"/>
    <w:sig w:usb0="800002BF" w:usb1="38CF7CFA" w:usb2="00000016" w:usb3="00000000" w:csb0="00040001" w:csb1="00000000"/>
    <w:embedRegular r:id="rId10" w:fontKey="{025959D7-FE41-4037-9F58-B1D4655912A3}"/>
  </w:font>
  <w:font w:name="华文中宋">
    <w:panose1 w:val="02010600040101010101"/>
    <w:charset w:val="86"/>
    <w:family w:val="auto"/>
    <w:pitch w:val="default"/>
    <w:sig w:usb0="00000287" w:usb1="080F0000" w:usb2="00000000" w:usb3="00000000" w:csb0="0004009F" w:csb1="DFD70000"/>
    <w:embedRegular r:id="rId11" w:fontKey="{C044FCD4-6287-40E1-9AF7-9261CC410C6E}"/>
  </w:font>
  <w:font w:name="楷体_GB2312">
    <w:altName w:val="楷体"/>
    <w:panose1 w:val="02010609030101010101"/>
    <w:charset w:val="86"/>
    <w:family w:val="auto"/>
    <w:pitch w:val="default"/>
    <w:sig w:usb0="00000000" w:usb1="00000000" w:usb2="00000000" w:usb3="00000000" w:csb0="00040000" w:csb1="00000000"/>
    <w:embedRegular r:id="rId12" w:fontKey="{8C4636F4-206E-4663-B1B7-E08AD1679A65}"/>
  </w:font>
  <w:font w:name="微软雅黑">
    <w:panose1 w:val="020B0503020204020204"/>
    <w:charset w:val="86"/>
    <w:family w:val="auto"/>
    <w:pitch w:val="default"/>
    <w:sig w:usb0="80000287" w:usb1="2ACF3C50" w:usb2="00000016" w:usb3="00000000" w:csb0="0004001F" w:csb1="00000000"/>
  </w:font>
  <w:font w:name="Kingsoft Symbol">
    <w:altName w:val="Symbol"/>
    <w:panose1 w:val="00000000000000000000"/>
    <w:charset w:val="00"/>
    <w:family w:val="auto"/>
    <w:pitch w:val="default"/>
    <w:sig w:usb0="00000000" w:usb1="00000000" w:usb2="00000000" w:usb3="00000000" w:csb0="00000000" w:csb1="00000000"/>
  </w:font>
  <w:font w:name="Symbol">
    <w:panose1 w:val="05050102010706020507"/>
    <w:charset w:val="00"/>
    <w:family w:val="auto"/>
    <w:pitch w:val="default"/>
    <w:sig w:usb0="00000000" w:usb1="00000000" w:usb2="00000000" w:usb3="00000000" w:csb0="80000000" w:csb1="00000000"/>
  </w:font>
  <w:font w:name="PMingLiU-ExtB">
    <w:panose1 w:val="02020500000000000000"/>
    <w:charset w:val="88"/>
    <w:family w:val="auto"/>
    <w:pitch w:val="default"/>
    <w:sig w:usb0="8000002F" w:usb1="02000008" w:usb2="00000000" w:usb3="00000000" w:csb0="0010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framePr w:wrap="around" w:vAnchor="text" w:hAnchor="margin" w:xAlign="center" w:y="1"/>
      <w:rPr>
        <w:rStyle w:val="48"/>
      </w:rPr>
    </w:pPr>
    <w:r>
      <w:fldChar w:fldCharType="begin"/>
    </w:r>
    <w:r>
      <w:rPr>
        <w:rStyle w:val="48"/>
      </w:rPr>
      <w:instrText xml:space="preserve">PAGE  </w:instrText>
    </w:r>
    <w:r>
      <w:fldChar w:fldCharType="separate"/>
    </w:r>
    <w:r>
      <w:rPr>
        <w:rStyle w:val="48"/>
      </w:rPr>
      <w:t>4</w:t>
    </w:r>
    <w:r>
      <w:fldChar w:fldCharType="end"/>
    </w:r>
  </w:p>
  <w:p>
    <w:pPr>
      <w:pStyle w:val="2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framePr w:wrap="around" w:vAnchor="text" w:hAnchor="margin" w:xAlign="center" w:y="1"/>
      <w:rPr>
        <w:rStyle w:val="48"/>
      </w:rPr>
    </w:pPr>
    <w:r>
      <w:fldChar w:fldCharType="begin"/>
    </w:r>
    <w:r>
      <w:rPr>
        <w:rStyle w:val="48"/>
      </w:rPr>
      <w:instrText xml:space="preserve">PAGE  </w:instrText>
    </w:r>
    <w:r>
      <w:fldChar w:fldCharType="end"/>
    </w:r>
  </w:p>
  <w:p>
    <w:pPr>
      <w:pStyle w:val="2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0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29"/>
                          </w:pPr>
                          <w:r>
                            <w:rPr>
                              <w:rFonts w:hint="eastAsia"/>
                            </w:rPr>
                            <w:fldChar w:fldCharType="begin"/>
                          </w:r>
                          <w:r>
                            <w:rPr>
                              <w:rFonts w:hint="eastAsia"/>
                            </w:rPr>
                            <w:instrText xml:space="preserve"> PAGE  \* MERGEFORMAT </w:instrText>
                          </w:r>
                          <w:r>
                            <w:rPr>
                              <w:rFonts w:hint="eastAsia"/>
                            </w:rPr>
                            <w:fldChar w:fldCharType="separate"/>
                          </w:r>
                          <w:r>
                            <w:t>13</w:t>
                          </w:r>
                          <w:r>
                            <w:rPr>
                              <w:rFonts w:hint="eastAsia"/>
                            </w:rPr>
                            <w:fldChar w:fldCharType="end"/>
                          </w:r>
                        </w:p>
                      </w:txbxContent>
                    </wps:txbx>
                    <wps:bodyPr wrap="none" lIns="0" tIns="0" rIns="0" bIns="0">
                      <a:spAutoFit/>
                    </wps:bodyPr>
                  </wps:wsp>
                </a:graphicData>
              </a:graphic>
            </wp:anchor>
          </w:drawing>
        </mc:Choice>
        <mc:Fallback>
          <w:pict>
            <v:shape id="文本框 1025"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zql5uc8AAAAFAQAADwAAAAAAAAABACAAAAAiAAAAZHJzL2Rvd25yZXYueG1sUEsB&#10;AhQAFAAAAAgAh07iQNa8P8XFAQAAkAMAAA4AAAAAAAAAAQAgAAAAHgEAAGRycy9lMm9Eb2MueG1s&#10;UEsFBgAAAAAGAAYAWQEAAFUFAAAAAA==&#10;">
              <v:fill on="f" focussize="0,0"/>
              <v:stroke on="f"/>
              <v:imagedata o:title=""/>
              <o:lock v:ext="edit" aspectratio="f"/>
              <v:textbox inset="0mm,0mm,0mm,0mm" style="mso-fit-shape-to-text:t;">
                <w:txbxContent>
                  <w:p>
                    <w:pPr>
                      <w:pStyle w:val="29"/>
                    </w:pPr>
                    <w:r>
                      <w:rPr>
                        <w:rFonts w:hint="eastAsia"/>
                      </w:rPr>
                      <w:fldChar w:fldCharType="begin"/>
                    </w:r>
                    <w:r>
                      <w:rPr>
                        <w:rFonts w:hint="eastAsia"/>
                      </w:rPr>
                      <w:instrText xml:space="preserve"> PAGE  \* MERGEFORMAT </w:instrText>
                    </w:r>
                    <w:r>
                      <w:rPr>
                        <w:rFonts w:hint="eastAsia"/>
                      </w:rPr>
                      <w:fldChar w:fldCharType="separate"/>
                    </w:r>
                    <w:r>
                      <w:t>13</w:t>
                    </w:r>
                    <w:r>
                      <w:rPr>
                        <w:rFonts w:hint="eastAsia"/>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10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29"/>
                          </w:pPr>
                          <w:r>
                            <w:rPr>
                              <w:rFonts w:hint="eastAsia"/>
                            </w:rPr>
                            <w:fldChar w:fldCharType="begin"/>
                          </w:r>
                          <w:r>
                            <w:rPr>
                              <w:rFonts w:hint="eastAsia"/>
                            </w:rPr>
                            <w:instrText xml:space="preserve"> PAGE  \* MERGEFORMAT </w:instrText>
                          </w:r>
                          <w:r>
                            <w:rPr>
                              <w:rFonts w:hint="eastAsia"/>
                            </w:rPr>
                            <w:fldChar w:fldCharType="separate"/>
                          </w:r>
                          <w:r>
                            <w:t>21</w:t>
                          </w:r>
                          <w:r>
                            <w:rPr>
                              <w:rFonts w:hint="eastAsia"/>
                            </w:rPr>
                            <w:fldChar w:fldCharType="end"/>
                          </w:r>
                        </w:p>
                      </w:txbxContent>
                    </wps:txbx>
                    <wps:bodyPr wrap="none" lIns="0" tIns="0" rIns="0" bIns="0">
                      <a:spAutoFit/>
                    </wps:bodyPr>
                  </wps:wsp>
                </a:graphicData>
              </a:graphic>
            </wp:anchor>
          </w:drawing>
        </mc:Choice>
        <mc:Fallback>
          <w:pict>
            <v:shape id="文本框 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OqXm5zwAAAAUBAAAPAAAAAAAAAAEAIAAAACIAAABkcnMvZG93bnJldi54bWxQSwEC&#10;FAAUAAAACACHTuJAzXHcGsQBAACQAwAADgAAAAAAAAABACAAAAAeAQAAZHJzL2Uyb0RvYy54bWxQ&#10;SwUGAAAAAAYABgBZAQAAVAUAAAAA&#10;">
              <v:fill on="f" focussize="0,0"/>
              <v:stroke on="f"/>
              <v:imagedata o:title=""/>
              <o:lock v:ext="edit" aspectratio="f"/>
              <v:textbox inset="0mm,0mm,0mm,0mm" style="mso-fit-shape-to-text:t;">
                <w:txbxContent>
                  <w:p>
                    <w:pPr>
                      <w:pStyle w:val="29"/>
                    </w:pPr>
                    <w:r>
                      <w:rPr>
                        <w:rFonts w:hint="eastAsia"/>
                      </w:rPr>
                      <w:fldChar w:fldCharType="begin"/>
                    </w:r>
                    <w:r>
                      <w:rPr>
                        <w:rFonts w:hint="eastAsia"/>
                      </w:rPr>
                      <w:instrText xml:space="preserve"> PAGE  \* MERGEFORMAT </w:instrText>
                    </w:r>
                    <w:r>
                      <w:rPr>
                        <w:rFonts w:hint="eastAsia"/>
                      </w:rPr>
                      <w:fldChar w:fldCharType="separate"/>
                    </w:r>
                    <w:r>
                      <w:t>21</w:t>
                    </w:r>
                    <w:r>
                      <w:rPr>
                        <w:rFonts w:hint="eastAsia"/>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framePr w:wrap="around" w:vAnchor="text" w:hAnchor="margin" w:xAlign="center" w:y="1"/>
      <w:rPr>
        <w:rStyle w:val="48"/>
      </w:rPr>
    </w:pPr>
    <w:r>
      <w:fldChar w:fldCharType="begin"/>
    </w:r>
    <w:r>
      <w:rPr>
        <w:rStyle w:val="48"/>
      </w:rPr>
      <w:instrText xml:space="preserve">PAGE  </w:instrText>
    </w:r>
    <w:r>
      <w:fldChar w:fldCharType="end"/>
    </w:r>
  </w:p>
  <w:p>
    <w:pPr>
      <w:pStyle w:val="29"/>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10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29"/>
                          </w:pPr>
                          <w:r>
                            <w:rPr>
                              <w:rFonts w:hint="eastAsia"/>
                            </w:rPr>
                            <w:fldChar w:fldCharType="begin"/>
                          </w:r>
                          <w:r>
                            <w:rPr>
                              <w:rFonts w:hint="eastAsia"/>
                            </w:rPr>
                            <w:instrText xml:space="preserve"> PAGE  \* MERGEFORMAT </w:instrText>
                          </w:r>
                          <w:r>
                            <w:rPr>
                              <w:rFonts w:hint="eastAsia"/>
                            </w:rPr>
                            <w:fldChar w:fldCharType="separate"/>
                          </w:r>
                          <w:r>
                            <w:t>102</w:t>
                          </w:r>
                          <w:r>
                            <w:rPr>
                              <w:rFonts w:hint="eastAsia"/>
                            </w:rPr>
                            <w:fldChar w:fldCharType="end"/>
                          </w:r>
                        </w:p>
                      </w:txbxContent>
                    </wps:txbx>
                    <wps:bodyPr wrap="none" lIns="0" tIns="0" rIns="0" bIns="0">
                      <a:spAutoFit/>
                    </wps:bodyPr>
                  </wps:wsp>
                </a:graphicData>
              </a:graphic>
            </wp:anchor>
          </w:drawing>
        </mc:Choice>
        <mc:Fallback>
          <w:pict>
            <v:shape id="文本框 1027"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OqXm5zwAAAAUBAAAPAAAAAAAAAAEAIAAAACIAAABkcnMvZG93bnJldi54bWxQSwEC&#10;FAAUAAAACACHTuJA+8it5sQBAACQAwAADgAAAAAAAAABACAAAAAeAQAAZHJzL2Uyb0RvYy54bWxQ&#10;SwUGAAAAAAYABgBZAQAAVAUAAAAA&#10;">
              <v:fill on="f" focussize="0,0"/>
              <v:stroke on="f"/>
              <v:imagedata o:title=""/>
              <o:lock v:ext="edit" aspectratio="f"/>
              <v:textbox inset="0mm,0mm,0mm,0mm" style="mso-fit-shape-to-text:t;">
                <w:txbxContent>
                  <w:p>
                    <w:pPr>
                      <w:pStyle w:val="29"/>
                    </w:pPr>
                    <w:r>
                      <w:rPr>
                        <w:rFonts w:hint="eastAsia"/>
                      </w:rPr>
                      <w:fldChar w:fldCharType="begin"/>
                    </w:r>
                    <w:r>
                      <w:rPr>
                        <w:rFonts w:hint="eastAsia"/>
                      </w:rPr>
                      <w:instrText xml:space="preserve"> PAGE  \* MERGEFORMAT </w:instrText>
                    </w:r>
                    <w:r>
                      <w:rPr>
                        <w:rFonts w:hint="eastAsia"/>
                      </w:rPr>
                      <w:fldChar w:fldCharType="separate"/>
                    </w:r>
                    <w:r>
                      <w:t>102</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pPr>
    <w:r>
      <w:rPr>
        <w:rFonts w:hint="eastAsia" w:ascii="宋体" w:hAnsi="宋体" w:cs="Arial"/>
        <w:b/>
        <w:szCs w:val="21"/>
      </w:rPr>
      <w:t>房屋建筑和市政基础设施工程总承包招标文件示范文本</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pBdr>
        <w:bottom w:val="none" w:color="auto" w:sz="0" w:space="0"/>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CA76E3"/>
    <w:multiLevelType w:val="singleLevel"/>
    <w:tmpl w:val="82CA76E3"/>
    <w:lvl w:ilvl="0" w:tentative="0">
      <w:start w:val="1"/>
      <w:numFmt w:val="chineseCounting"/>
      <w:suff w:val="nothing"/>
      <w:lvlText w:val="%1、"/>
      <w:lvlJc w:val="left"/>
      <w:rPr>
        <w:rFonts w:hint="eastAsia"/>
      </w:rPr>
    </w:lvl>
  </w:abstractNum>
  <w:abstractNum w:abstractNumId="1">
    <w:nsid w:val="8DAD7578"/>
    <w:multiLevelType w:val="singleLevel"/>
    <w:tmpl w:val="8DAD7578"/>
    <w:lvl w:ilvl="0" w:tentative="0">
      <w:start w:val="1"/>
      <w:numFmt w:val="chineseCounting"/>
      <w:suff w:val="nothing"/>
      <w:lvlText w:val="%1、"/>
      <w:lvlJc w:val="left"/>
      <w:rPr>
        <w:rFonts w:hint="eastAsia"/>
      </w:rPr>
    </w:lvl>
  </w:abstractNum>
  <w:abstractNum w:abstractNumId="2">
    <w:nsid w:val="AFEC79E0"/>
    <w:multiLevelType w:val="singleLevel"/>
    <w:tmpl w:val="AFEC79E0"/>
    <w:lvl w:ilvl="0" w:tentative="0">
      <w:start w:val="1"/>
      <w:numFmt w:val="decimal"/>
      <w:suff w:val="nothing"/>
      <w:lvlText w:val="（%1）"/>
      <w:lvlJc w:val="left"/>
    </w:lvl>
  </w:abstractNum>
  <w:abstractNum w:abstractNumId="3">
    <w:nsid w:val="B4C0066E"/>
    <w:multiLevelType w:val="singleLevel"/>
    <w:tmpl w:val="B4C0066E"/>
    <w:lvl w:ilvl="0" w:tentative="0">
      <w:start w:val="8"/>
      <w:numFmt w:val="decimal"/>
      <w:suff w:val="space"/>
      <w:lvlText w:val="%1."/>
      <w:lvlJc w:val="left"/>
    </w:lvl>
  </w:abstractNum>
  <w:abstractNum w:abstractNumId="4">
    <w:nsid w:val="D32F79A8"/>
    <w:multiLevelType w:val="singleLevel"/>
    <w:tmpl w:val="D32F79A8"/>
    <w:lvl w:ilvl="0" w:tentative="0">
      <w:start w:val="1"/>
      <w:numFmt w:val="decimal"/>
      <w:suff w:val="nothing"/>
      <w:lvlText w:val="（%1）"/>
      <w:lvlJc w:val="left"/>
    </w:lvl>
  </w:abstractNum>
  <w:abstractNum w:abstractNumId="5">
    <w:nsid w:val="D3B31F3E"/>
    <w:multiLevelType w:val="singleLevel"/>
    <w:tmpl w:val="D3B31F3E"/>
    <w:lvl w:ilvl="0" w:tentative="0">
      <w:start w:val="1"/>
      <w:numFmt w:val="decimal"/>
      <w:suff w:val="nothing"/>
      <w:lvlText w:val="（%1）"/>
      <w:lvlJc w:val="left"/>
    </w:lvl>
  </w:abstractNum>
  <w:abstractNum w:abstractNumId="6">
    <w:nsid w:val="05361517"/>
    <w:multiLevelType w:val="singleLevel"/>
    <w:tmpl w:val="05361517"/>
    <w:lvl w:ilvl="0" w:tentative="0">
      <w:start w:val="6"/>
      <w:numFmt w:val="chineseCounting"/>
      <w:suff w:val="nothing"/>
      <w:lvlText w:val="%1、"/>
      <w:lvlJc w:val="left"/>
      <w:rPr>
        <w:rFonts w:hint="eastAsia"/>
      </w:rPr>
    </w:lvl>
  </w:abstractNum>
  <w:abstractNum w:abstractNumId="7">
    <w:nsid w:val="1C0A6D78"/>
    <w:multiLevelType w:val="multilevel"/>
    <w:tmpl w:val="1C0A6D78"/>
    <w:lvl w:ilvl="0" w:tentative="0">
      <w:start w:val="1"/>
      <w:numFmt w:val="decimal"/>
      <w:lvlText w:val="%1."/>
      <w:lvlJc w:val="left"/>
      <w:pPr>
        <w:tabs>
          <w:tab w:val="left" w:pos="360"/>
        </w:tabs>
        <w:ind w:left="360" w:hanging="360"/>
      </w:pPr>
      <w:rPr>
        <w:rFonts w:cs="Times New Roman"/>
      </w:rPr>
    </w:lvl>
    <w:lvl w:ilvl="1" w:tentative="0">
      <w:start w:val="1"/>
      <w:numFmt w:val="decimal"/>
      <w:lvlText w:val="%2."/>
      <w:lvlJc w:val="left"/>
      <w:pPr>
        <w:tabs>
          <w:tab w:val="left" w:pos="1440"/>
        </w:tabs>
        <w:ind w:left="1440" w:hanging="360"/>
      </w:pPr>
      <w:rPr>
        <w:rFonts w:cs="Times New Roman"/>
      </w:rPr>
    </w:lvl>
    <w:lvl w:ilvl="2" w:tentative="0">
      <w:start w:val="1"/>
      <w:numFmt w:val="decimal"/>
      <w:lvlText w:val="%3."/>
      <w:lvlJc w:val="left"/>
      <w:pPr>
        <w:tabs>
          <w:tab w:val="left" w:pos="2160"/>
        </w:tabs>
        <w:ind w:left="2160" w:hanging="360"/>
      </w:pPr>
      <w:rPr>
        <w:rFonts w:cs="Times New Roman"/>
      </w:rPr>
    </w:lvl>
    <w:lvl w:ilvl="3" w:tentative="0">
      <w:start w:val="1"/>
      <w:numFmt w:val="decimal"/>
      <w:lvlText w:val="%4."/>
      <w:lvlJc w:val="left"/>
      <w:pPr>
        <w:tabs>
          <w:tab w:val="left" w:pos="2880"/>
        </w:tabs>
        <w:ind w:left="2880" w:hanging="360"/>
      </w:pPr>
      <w:rPr>
        <w:rFonts w:cs="Times New Roman"/>
      </w:rPr>
    </w:lvl>
    <w:lvl w:ilvl="4" w:tentative="0">
      <w:start w:val="1"/>
      <w:numFmt w:val="decimal"/>
      <w:lvlText w:val="%5."/>
      <w:lvlJc w:val="left"/>
      <w:pPr>
        <w:tabs>
          <w:tab w:val="left" w:pos="3600"/>
        </w:tabs>
        <w:ind w:left="3600" w:hanging="360"/>
      </w:pPr>
      <w:rPr>
        <w:rFonts w:cs="Times New Roman"/>
      </w:rPr>
    </w:lvl>
    <w:lvl w:ilvl="5" w:tentative="0">
      <w:start w:val="1"/>
      <w:numFmt w:val="decimal"/>
      <w:lvlText w:val="%6."/>
      <w:lvlJc w:val="left"/>
      <w:pPr>
        <w:tabs>
          <w:tab w:val="left" w:pos="4320"/>
        </w:tabs>
        <w:ind w:left="4320" w:hanging="360"/>
      </w:pPr>
      <w:rPr>
        <w:rFonts w:cs="Times New Roman"/>
      </w:rPr>
    </w:lvl>
    <w:lvl w:ilvl="6" w:tentative="0">
      <w:start w:val="1"/>
      <w:numFmt w:val="decimal"/>
      <w:lvlText w:val="%7."/>
      <w:lvlJc w:val="left"/>
      <w:pPr>
        <w:tabs>
          <w:tab w:val="left" w:pos="5040"/>
        </w:tabs>
        <w:ind w:left="5040" w:hanging="360"/>
      </w:pPr>
      <w:rPr>
        <w:rFonts w:cs="Times New Roman"/>
      </w:rPr>
    </w:lvl>
    <w:lvl w:ilvl="7" w:tentative="0">
      <w:start w:val="1"/>
      <w:numFmt w:val="decimal"/>
      <w:lvlText w:val="%8."/>
      <w:lvlJc w:val="left"/>
      <w:pPr>
        <w:tabs>
          <w:tab w:val="left" w:pos="5760"/>
        </w:tabs>
        <w:ind w:left="5760" w:hanging="360"/>
      </w:pPr>
      <w:rPr>
        <w:rFonts w:cs="Times New Roman"/>
      </w:rPr>
    </w:lvl>
    <w:lvl w:ilvl="8" w:tentative="0">
      <w:start w:val="1"/>
      <w:numFmt w:val="decimal"/>
      <w:lvlText w:val="%9."/>
      <w:lvlJc w:val="left"/>
      <w:pPr>
        <w:tabs>
          <w:tab w:val="left" w:pos="6480"/>
        </w:tabs>
        <w:ind w:left="6480" w:hanging="360"/>
      </w:pPr>
      <w:rPr>
        <w:rFonts w:cs="Times New Roman"/>
      </w:rPr>
    </w:lvl>
  </w:abstractNum>
  <w:abstractNum w:abstractNumId="8">
    <w:nsid w:val="229734FF"/>
    <w:multiLevelType w:val="multilevel"/>
    <w:tmpl w:val="229734FF"/>
    <w:lvl w:ilvl="0" w:tentative="0">
      <w:start w:val="1"/>
      <w:numFmt w:val="decimal"/>
      <w:lvlText w:val="第%1条"/>
      <w:lvlJc w:val="left"/>
      <w:pPr>
        <w:ind w:left="0" w:firstLine="0"/>
      </w:pPr>
    </w:lvl>
    <w:lvl w:ilvl="1" w:tentative="0">
      <w:start w:val="1"/>
      <w:numFmt w:val="decimal"/>
      <w:lvlText w:val="%1.%2"/>
      <w:lvlJc w:val="left"/>
      <w:pPr>
        <w:ind w:left="0" w:firstLine="0"/>
      </w:pPr>
    </w:lvl>
    <w:lvl w:ilvl="2" w:tentative="0">
      <w:start w:val="1"/>
      <w:numFmt w:val="decimal"/>
      <w:lvlText w:val="%1.%2.%3"/>
      <w:lvlJc w:val="left"/>
      <w:pPr>
        <w:ind w:left="0" w:firstLine="0"/>
      </w:pPr>
    </w:lvl>
    <w:lvl w:ilvl="3" w:tentative="0">
      <w:start w:val="1"/>
      <w:numFmt w:val="decimal"/>
      <w:lvlText w:val="%1.%2.%3.%4"/>
      <w:lvlJc w:val="left"/>
      <w:pPr>
        <w:ind w:left="0" w:firstLine="0"/>
      </w:pPr>
    </w:lvl>
    <w:lvl w:ilvl="4" w:tentative="0">
      <w:start w:val="1"/>
      <w:numFmt w:val="decimal"/>
      <w:lvlText w:val="%1.%2.%3.%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abstractNum w:abstractNumId="9">
    <w:nsid w:val="58663D4B"/>
    <w:multiLevelType w:val="singleLevel"/>
    <w:tmpl w:val="58663D4B"/>
    <w:lvl w:ilvl="0" w:tentative="0">
      <w:start w:val="1"/>
      <w:numFmt w:val="decimal"/>
      <w:suff w:val="nothing"/>
      <w:lvlText w:val="（%1）"/>
      <w:lvlJc w:val="left"/>
    </w:lvl>
  </w:abstractNum>
  <w:abstractNum w:abstractNumId="10">
    <w:nsid w:val="5E080DA5"/>
    <w:multiLevelType w:val="singleLevel"/>
    <w:tmpl w:val="5E080DA5"/>
    <w:lvl w:ilvl="0" w:tentative="0">
      <w:start w:val="3"/>
      <w:numFmt w:val="decimal"/>
      <w:suff w:val="space"/>
      <w:lvlText w:val="%1."/>
      <w:lvlJc w:val="left"/>
    </w:lvl>
  </w:abstractNum>
  <w:abstractNum w:abstractNumId="11">
    <w:nsid w:val="62687BB6"/>
    <w:multiLevelType w:val="multilevel"/>
    <w:tmpl w:val="62687BB6"/>
    <w:lvl w:ilvl="0" w:tentative="0">
      <w:start w:val="1"/>
      <w:numFmt w:val="decimal"/>
      <w:pStyle w:val="189"/>
      <w:lvlText w:val="附件%1"/>
      <w:lvlJc w:val="left"/>
      <w:pPr>
        <w:ind w:left="3681" w:hanging="420"/>
      </w:pPr>
      <w:rPr>
        <w:sz w:val="30"/>
        <w:szCs w:val="30"/>
      </w:rPr>
    </w:lvl>
    <w:lvl w:ilvl="1" w:tentative="0">
      <w:start w:val="1"/>
      <w:numFmt w:val="lowerLetter"/>
      <w:lvlText w:val="%2)"/>
      <w:lvlJc w:val="left"/>
      <w:pPr>
        <w:ind w:left="983" w:hanging="420"/>
      </w:pPr>
    </w:lvl>
    <w:lvl w:ilvl="2" w:tentative="0">
      <w:start w:val="1"/>
      <w:numFmt w:val="lowerRoman"/>
      <w:lvlText w:val="%3."/>
      <w:lvlJc w:val="right"/>
      <w:pPr>
        <w:ind w:left="1403" w:hanging="420"/>
      </w:pPr>
    </w:lvl>
    <w:lvl w:ilvl="3" w:tentative="0">
      <w:start w:val="1"/>
      <w:numFmt w:val="decimal"/>
      <w:lvlText w:val="%4."/>
      <w:lvlJc w:val="left"/>
      <w:pPr>
        <w:ind w:left="1823" w:hanging="420"/>
      </w:pPr>
    </w:lvl>
    <w:lvl w:ilvl="4" w:tentative="0">
      <w:start w:val="1"/>
      <w:numFmt w:val="lowerLetter"/>
      <w:lvlText w:val="%5)"/>
      <w:lvlJc w:val="left"/>
      <w:pPr>
        <w:ind w:left="2243" w:hanging="420"/>
      </w:pPr>
    </w:lvl>
    <w:lvl w:ilvl="5" w:tentative="0">
      <w:start w:val="1"/>
      <w:numFmt w:val="lowerRoman"/>
      <w:lvlText w:val="%6."/>
      <w:lvlJc w:val="right"/>
      <w:pPr>
        <w:ind w:left="2663" w:hanging="420"/>
      </w:pPr>
    </w:lvl>
    <w:lvl w:ilvl="6" w:tentative="0">
      <w:start w:val="1"/>
      <w:numFmt w:val="decimal"/>
      <w:lvlText w:val="%7."/>
      <w:lvlJc w:val="left"/>
      <w:pPr>
        <w:ind w:left="3083" w:hanging="420"/>
      </w:pPr>
    </w:lvl>
    <w:lvl w:ilvl="7" w:tentative="0">
      <w:start w:val="1"/>
      <w:numFmt w:val="lowerLetter"/>
      <w:lvlText w:val="%8)"/>
      <w:lvlJc w:val="left"/>
      <w:pPr>
        <w:ind w:left="3503" w:hanging="420"/>
      </w:pPr>
    </w:lvl>
    <w:lvl w:ilvl="8" w:tentative="0">
      <w:start w:val="1"/>
      <w:numFmt w:val="lowerRoman"/>
      <w:lvlText w:val="%9."/>
      <w:lvlJc w:val="right"/>
      <w:pPr>
        <w:ind w:left="3923" w:hanging="420"/>
      </w:pPr>
    </w:lvl>
  </w:abstractNum>
  <w:abstractNum w:abstractNumId="12">
    <w:nsid w:val="6E87019F"/>
    <w:multiLevelType w:val="multilevel"/>
    <w:tmpl w:val="6E87019F"/>
    <w:lvl w:ilvl="0" w:tentative="0">
      <w:start w:val="1"/>
      <w:numFmt w:val="chineseCountingThousand"/>
      <w:pStyle w:val="182"/>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num w:numId="1">
    <w:abstractNumId w:val="12"/>
  </w:num>
  <w:num w:numId="2">
    <w:abstractNumId w:val="8"/>
    <w:lvlOverride w:ilvl="0">
      <w:lvl w:ilvl="0" w:tentative="1">
        <w:start w:val="1"/>
        <w:numFmt w:val="decimal"/>
        <w:lvlText w:val="第%1条"/>
        <w:lvlJc w:val="left"/>
        <w:pPr>
          <w:ind w:left="0" w:firstLine="0"/>
        </w:pPr>
      </w:lvl>
    </w:lvlOverride>
    <w:lvlOverride w:ilvl="1">
      <w:lvl w:ilvl="1" w:tentative="1">
        <w:start w:val="1"/>
        <w:numFmt w:val="decimal"/>
        <w:lvlText w:val="%1.%2"/>
        <w:lvlJc w:val="left"/>
        <w:pPr>
          <w:ind w:left="1843" w:firstLine="0"/>
        </w:pPr>
      </w:lvl>
    </w:lvlOverride>
    <w:lvlOverride w:ilvl="2">
      <w:lvl w:ilvl="2" w:tentative="1">
        <w:start w:val="1"/>
        <w:numFmt w:val="decimal"/>
        <w:pStyle w:val="184"/>
        <w:lvlText w:val="%1.%2.%3"/>
        <w:lvlJc w:val="left"/>
        <w:pPr>
          <w:ind w:left="2126" w:firstLine="0"/>
        </w:pPr>
      </w:lvl>
    </w:lvlOverride>
    <w:lvlOverride w:ilvl="3">
      <w:lvl w:ilvl="3" w:tentative="1">
        <w:start w:val="1"/>
        <w:numFmt w:val="decimal"/>
        <w:pStyle w:val="185"/>
        <w:lvlText w:val="%1.%2.%3.%4"/>
        <w:lvlJc w:val="left"/>
        <w:pPr>
          <w:ind w:left="710" w:firstLine="0"/>
        </w:pPr>
      </w:lvl>
    </w:lvlOverride>
    <w:lvlOverride w:ilvl="4">
      <w:lvl w:ilvl="4" w:tentative="1">
        <w:start w:val="1"/>
        <w:numFmt w:val="decimal"/>
        <w:lvlText w:val="%1.%2.%3.%4.%5"/>
        <w:lvlJc w:val="left"/>
        <w:pPr>
          <w:ind w:left="0" w:firstLine="0"/>
        </w:pPr>
      </w:lvl>
    </w:lvlOverride>
    <w:lvlOverride w:ilvl="5">
      <w:lvl w:ilvl="5" w:tentative="1">
        <w:start w:val="1"/>
        <w:numFmt w:val="decimal"/>
        <w:lvlText w:val="%1.%2.%3.%4.%5.%6"/>
        <w:lvlJc w:val="left"/>
        <w:pPr>
          <w:ind w:left="0" w:firstLine="0"/>
        </w:pPr>
      </w:lvl>
    </w:lvlOverride>
    <w:lvlOverride w:ilvl="6">
      <w:lvl w:ilvl="6" w:tentative="1">
        <w:start w:val="1"/>
        <w:numFmt w:val="decimal"/>
        <w:lvlText w:val="%1.%2.%3.%4.%5.%6.%7"/>
        <w:lvlJc w:val="left"/>
        <w:pPr>
          <w:ind w:left="0" w:firstLine="0"/>
        </w:pPr>
      </w:lvl>
    </w:lvlOverride>
    <w:lvlOverride w:ilvl="7">
      <w:lvl w:ilvl="7" w:tentative="1">
        <w:start w:val="1"/>
        <w:numFmt w:val="decimal"/>
        <w:lvlText w:val="%1.%2.%3.%4.%5.%6.%7.%8"/>
        <w:lvlJc w:val="left"/>
        <w:pPr>
          <w:ind w:left="0" w:firstLine="0"/>
        </w:pPr>
      </w:lvl>
    </w:lvlOverride>
    <w:lvlOverride w:ilvl="8">
      <w:lvl w:ilvl="8" w:tentative="1">
        <w:start w:val="1"/>
        <w:numFmt w:val="decimal"/>
        <w:lvlText w:val="%1.%2.%3.%4.%5.%6.%7.%8.%9"/>
        <w:lvlJc w:val="left"/>
        <w:pPr>
          <w:ind w:left="0" w:firstLine="0"/>
        </w:pPr>
      </w:lvl>
    </w:lvlOverride>
  </w:num>
  <w:num w:numId="3">
    <w:abstractNumId w:val="11"/>
  </w:num>
  <w:num w:numId="4">
    <w:abstractNumId w:val="0"/>
  </w:num>
  <w:num w:numId="5">
    <w:abstractNumId w:val="6"/>
  </w:num>
  <w:num w:numId="6">
    <w:abstractNumId w:val="4"/>
  </w:num>
  <w:num w:numId="7">
    <w:abstractNumId w:val="9"/>
  </w:num>
  <w:num w:numId="8">
    <w:abstractNumId w:val="3"/>
  </w:num>
  <w:num w:numId="9">
    <w:abstractNumId w:val="2"/>
  </w:num>
  <w:num w:numId="10">
    <w:abstractNumId w:val="5"/>
  </w:num>
  <w:num w:numId="11">
    <w:abstractNumId w:val="10"/>
  </w:num>
  <w:num w:numId="12">
    <w:abstractNumId w:val="1"/>
  </w:num>
  <w:num w:numId="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hideSpellingErrors/>
  <w:trackRevisions w:val="1"/>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VhMmZhYjQ2MDBmNjljY2FhOGYyODA2NjY0ZGE3NTcifQ=="/>
  </w:docVars>
  <w:rsids>
    <w:rsidRoot w:val="00362622"/>
    <w:rsid w:val="00003FDF"/>
    <w:rsid w:val="00004D32"/>
    <w:rsid w:val="00005ACE"/>
    <w:rsid w:val="00021402"/>
    <w:rsid w:val="00027B25"/>
    <w:rsid w:val="000326F9"/>
    <w:rsid w:val="000350EF"/>
    <w:rsid w:val="00036CF4"/>
    <w:rsid w:val="00037BED"/>
    <w:rsid w:val="00042887"/>
    <w:rsid w:val="000437F5"/>
    <w:rsid w:val="00043A66"/>
    <w:rsid w:val="00044F48"/>
    <w:rsid w:val="000524A3"/>
    <w:rsid w:val="000553E0"/>
    <w:rsid w:val="00074C34"/>
    <w:rsid w:val="0007749C"/>
    <w:rsid w:val="000776AD"/>
    <w:rsid w:val="00081248"/>
    <w:rsid w:val="000844B2"/>
    <w:rsid w:val="0008539D"/>
    <w:rsid w:val="00093406"/>
    <w:rsid w:val="000942D2"/>
    <w:rsid w:val="0009501E"/>
    <w:rsid w:val="000A072C"/>
    <w:rsid w:val="000A3F34"/>
    <w:rsid w:val="000A78EC"/>
    <w:rsid w:val="000A7E88"/>
    <w:rsid w:val="000B2072"/>
    <w:rsid w:val="000B43B1"/>
    <w:rsid w:val="000B7423"/>
    <w:rsid w:val="000C6B96"/>
    <w:rsid w:val="000C6DBA"/>
    <w:rsid w:val="000C7C2A"/>
    <w:rsid w:val="000D15CE"/>
    <w:rsid w:val="000D2138"/>
    <w:rsid w:val="000D30FE"/>
    <w:rsid w:val="000D4761"/>
    <w:rsid w:val="000F0C0D"/>
    <w:rsid w:val="000F4A1A"/>
    <w:rsid w:val="000F5EEE"/>
    <w:rsid w:val="001020E3"/>
    <w:rsid w:val="001022D0"/>
    <w:rsid w:val="00110DDC"/>
    <w:rsid w:val="00111CD4"/>
    <w:rsid w:val="00112807"/>
    <w:rsid w:val="00113654"/>
    <w:rsid w:val="001242DB"/>
    <w:rsid w:val="00125FE4"/>
    <w:rsid w:val="001300AA"/>
    <w:rsid w:val="00130BB0"/>
    <w:rsid w:val="00134615"/>
    <w:rsid w:val="00140EFD"/>
    <w:rsid w:val="00143F98"/>
    <w:rsid w:val="00151E6D"/>
    <w:rsid w:val="00157F40"/>
    <w:rsid w:val="00161522"/>
    <w:rsid w:val="0016153F"/>
    <w:rsid w:val="001615FC"/>
    <w:rsid w:val="001622A4"/>
    <w:rsid w:val="0016273C"/>
    <w:rsid w:val="00164923"/>
    <w:rsid w:val="001665A1"/>
    <w:rsid w:val="00180697"/>
    <w:rsid w:val="00180D7A"/>
    <w:rsid w:val="00181661"/>
    <w:rsid w:val="0018272C"/>
    <w:rsid w:val="0018504A"/>
    <w:rsid w:val="00191E72"/>
    <w:rsid w:val="00195DEE"/>
    <w:rsid w:val="001972C1"/>
    <w:rsid w:val="001A1A10"/>
    <w:rsid w:val="001A313A"/>
    <w:rsid w:val="001A3BA5"/>
    <w:rsid w:val="001A6534"/>
    <w:rsid w:val="001B19E0"/>
    <w:rsid w:val="001B1C10"/>
    <w:rsid w:val="001B6135"/>
    <w:rsid w:val="001B617E"/>
    <w:rsid w:val="001C510C"/>
    <w:rsid w:val="001C6EC7"/>
    <w:rsid w:val="001D01B2"/>
    <w:rsid w:val="001D627C"/>
    <w:rsid w:val="001D6E83"/>
    <w:rsid w:val="001E4486"/>
    <w:rsid w:val="001E5B0A"/>
    <w:rsid w:val="001E7EE9"/>
    <w:rsid w:val="001F0CC7"/>
    <w:rsid w:val="001F1D17"/>
    <w:rsid w:val="001F2941"/>
    <w:rsid w:val="00200F74"/>
    <w:rsid w:val="0020266F"/>
    <w:rsid w:val="002031B1"/>
    <w:rsid w:val="00205B22"/>
    <w:rsid w:val="00205EB5"/>
    <w:rsid w:val="0020631E"/>
    <w:rsid w:val="00206A30"/>
    <w:rsid w:val="00210241"/>
    <w:rsid w:val="002134D4"/>
    <w:rsid w:val="00214741"/>
    <w:rsid w:val="002153F6"/>
    <w:rsid w:val="00217185"/>
    <w:rsid w:val="0022071A"/>
    <w:rsid w:val="00220DB5"/>
    <w:rsid w:val="00223E49"/>
    <w:rsid w:val="00227D55"/>
    <w:rsid w:val="00227E44"/>
    <w:rsid w:val="00237C23"/>
    <w:rsid w:val="00242078"/>
    <w:rsid w:val="00247395"/>
    <w:rsid w:val="00252486"/>
    <w:rsid w:val="002528FE"/>
    <w:rsid w:val="00257B74"/>
    <w:rsid w:val="00261045"/>
    <w:rsid w:val="00266767"/>
    <w:rsid w:val="00267107"/>
    <w:rsid w:val="00271632"/>
    <w:rsid w:val="00272630"/>
    <w:rsid w:val="00272831"/>
    <w:rsid w:val="00276E21"/>
    <w:rsid w:val="002773CD"/>
    <w:rsid w:val="0027746E"/>
    <w:rsid w:val="0028010A"/>
    <w:rsid w:val="00282401"/>
    <w:rsid w:val="00284733"/>
    <w:rsid w:val="00286910"/>
    <w:rsid w:val="002876E0"/>
    <w:rsid w:val="0029127C"/>
    <w:rsid w:val="00291FF2"/>
    <w:rsid w:val="0029274A"/>
    <w:rsid w:val="00292BAB"/>
    <w:rsid w:val="00293971"/>
    <w:rsid w:val="002954AD"/>
    <w:rsid w:val="00296672"/>
    <w:rsid w:val="00297B3B"/>
    <w:rsid w:val="002A4E3A"/>
    <w:rsid w:val="002B0D0D"/>
    <w:rsid w:val="002B0D12"/>
    <w:rsid w:val="002B50EC"/>
    <w:rsid w:val="002C32B3"/>
    <w:rsid w:val="002D2624"/>
    <w:rsid w:val="002E0C5B"/>
    <w:rsid w:val="002E1D37"/>
    <w:rsid w:val="002E3B7F"/>
    <w:rsid w:val="002E6065"/>
    <w:rsid w:val="002E6801"/>
    <w:rsid w:val="002F0DE5"/>
    <w:rsid w:val="002F7122"/>
    <w:rsid w:val="002F7718"/>
    <w:rsid w:val="00312EC1"/>
    <w:rsid w:val="003153F4"/>
    <w:rsid w:val="00317688"/>
    <w:rsid w:val="00323B23"/>
    <w:rsid w:val="00326E87"/>
    <w:rsid w:val="00334608"/>
    <w:rsid w:val="0034084B"/>
    <w:rsid w:val="003411BD"/>
    <w:rsid w:val="00341497"/>
    <w:rsid w:val="00342A81"/>
    <w:rsid w:val="00342F93"/>
    <w:rsid w:val="00343856"/>
    <w:rsid w:val="00350C66"/>
    <w:rsid w:val="00353025"/>
    <w:rsid w:val="00353513"/>
    <w:rsid w:val="0035421A"/>
    <w:rsid w:val="00362622"/>
    <w:rsid w:val="00362875"/>
    <w:rsid w:val="003712A7"/>
    <w:rsid w:val="00374941"/>
    <w:rsid w:val="003767B9"/>
    <w:rsid w:val="00380384"/>
    <w:rsid w:val="0038071E"/>
    <w:rsid w:val="0038129F"/>
    <w:rsid w:val="00391743"/>
    <w:rsid w:val="003942EA"/>
    <w:rsid w:val="003947A9"/>
    <w:rsid w:val="003A205A"/>
    <w:rsid w:val="003A78A8"/>
    <w:rsid w:val="003C3384"/>
    <w:rsid w:val="003C34A3"/>
    <w:rsid w:val="003C3E4A"/>
    <w:rsid w:val="003C5496"/>
    <w:rsid w:val="003D24F4"/>
    <w:rsid w:val="004003C5"/>
    <w:rsid w:val="00403C7F"/>
    <w:rsid w:val="00404C2B"/>
    <w:rsid w:val="00406A8B"/>
    <w:rsid w:val="00410BE5"/>
    <w:rsid w:val="00412236"/>
    <w:rsid w:val="00420508"/>
    <w:rsid w:val="00420CBB"/>
    <w:rsid w:val="0042747B"/>
    <w:rsid w:val="004318B5"/>
    <w:rsid w:val="00442390"/>
    <w:rsid w:val="004436E6"/>
    <w:rsid w:val="00444905"/>
    <w:rsid w:val="00447604"/>
    <w:rsid w:val="004479B1"/>
    <w:rsid w:val="0045534D"/>
    <w:rsid w:val="00455850"/>
    <w:rsid w:val="00463D97"/>
    <w:rsid w:val="00465633"/>
    <w:rsid w:val="004752CD"/>
    <w:rsid w:val="00491603"/>
    <w:rsid w:val="00497830"/>
    <w:rsid w:val="004A263A"/>
    <w:rsid w:val="004A46E5"/>
    <w:rsid w:val="004A5BA5"/>
    <w:rsid w:val="004B04F5"/>
    <w:rsid w:val="004B1ED6"/>
    <w:rsid w:val="004C1E02"/>
    <w:rsid w:val="004D052F"/>
    <w:rsid w:val="004D289A"/>
    <w:rsid w:val="004D4949"/>
    <w:rsid w:val="004E103A"/>
    <w:rsid w:val="004E3BA3"/>
    <w:rsid w:val="004E49FF"/>
    <w:rsid w:val="004E5011"/>
    <w:rsid w:val="004E6377"/>
    <w:rsid w:val="004F0207"/>
    <w:rsid w:val="004F0540"/>
    <w:rsid w:val="004F063A"/>
    <w:rsid w:val="004F1BD1"/>
    <w:rsid w:val="004F6742"/>
    <w:rsid w:val="005009B5"/>
    <w:rsid w:val="00503536"/>
    <w:rsid w:val="00503FA9"/>
    <w:rsid w:val="005051A2"/>
    <w:rsid w:val="00507E5C"/>
    <w:rsid w:val="005135BD"/>
    <w:rsid w:val="00513F06"/>
    <w:rsid w:val="005233F2"/>
    <w:rsid w:val="00524386"/>
    <w:rsid w:val="005248B2"/>
    <w:rsid w:val="0052694D"/>
    <w:rsid w:val="00535DC4"/>
    <w:rsid w:val="00536701"/>
    <w:rsid w:val="005550B4"/>
    <w:rsid w:val="005577BC"/>
    <w:rsid w:val="0056128C"/>
    <w:rsid w:val="005616E2"/>
    <w:rsid w:val="00572A69"/>
    <w:rsid w:val="00573DBB"/>
    <w:rsid w:val="00575D2A"/>
    <w:rsid w:val="00580AE2"/>
    <w:rsid w:val="0058294A"/>
    <w:rsid w:val="00582ED1"/>
    <w:rsid w:val="005838AB"/>
    <w:rsid w:val="00584470"/>
    <w:rsid w:val="0059002F"/>
    <w:rsid w:val="00596B52"/>
    <w:rsid w:val="00596FD6"/>
    <w:rsid w:val="005A0627"/>
    <w:rsid w:val="005A2C21"/>
    <w:rsid w:val="005A39F9"/>
    <w:rsid w:val="005B12BC"/>
    <w:rsid w:val="005B24D3"/>
    <w:rsid w:val="005B30C7"/>
    <w:rsid w:val="005C215B"/>
    <w:rsid w:val="005D0BF1"/>
    <w:rsid w:val="005D25E5"/>
    <w:rsid w:val="005D59BF"/>
    <w:rsid w:val="005D5EDC"/>
    <w:rsid w:val="005E762C"/>
    <w:rsid w:val="005F00C8"/>
    <w:rsid w:val="005F1EBE"/>
    <w:rsid w:val="005F32F9"/>
    <w:rsid w:val="005F6016"/>
    <w:rsid w:val="00600B87"/>
    <w:rsid w:val="006031E6"/>
    <w:rsid w:val="00603FBE"/>
    <w:rsid w:val="00615E28"/>
    <w:rsid w:val="006166D8"/>
    <w:rsid w:val="00622398"/>
    <w:rsid w:val="0063219F"/>
    <w:rsid w:val="00634630"/>
    <w:rsid w:val="006355AE"/>
    <w:rsid w:val="00650B56"/>
    <w:rsid w:val="006578B3"/>
    <w:rsid w:val="00661E76"/>
    <w:rsid w:val="00662EED"/>
    <w:rsid w:val="00663185"/>
    <w:rsid w:val="006647FD"/>
    <w:rsid w:val="0066740E"/>
    <w:rsid w:val="0067503B"/>
    <w:rsid w:val="00675E12"/>
    <w:rsid w:val="006806FC"/>
    <w:rsid w:val="006874FE"/>
    <w:rsid w:val="0069151A"/>
    <w:rsid w:val="0069257C"/>
    <w:rsid w:val="00694127"/>
    <w:rsid w:val="00697CA6"/>
    <w:rsid w:val="006A0401"/>
    <w:rsid w:val="006A4CD5"/>
    <w:rsid w:val="006A5524"/>
    <w:rsid w:val="006A6702"/>
    <w:rsid w:val="006A6EF1"/>
    <w:rsid w:val="006A7199"/>
    <w:rsid w:val="006B6F97"/>
    <w:rsid w:val="006C40A7"/>
    <w:rsid w:val="006C5C2E"/>
    <w:rsid w:val="006C7819"/>
    <w:rsid w:val="006D0268"/>
    <w:rsid w:val="006D3C1C"/>
    <w:rsid w:val="006D543F"/>
    <w:rsid w:val="006D55B6"/>
    <w:rsid w:val="006E578D"/>
    <w:rsid w:val="006E5B07"/>
    <w:rsid w:val="006E5BC8"/>
    <w:rsid w:val="006E6B5A"/>
    <w:rsid w:val="006F3174"/>
    <w:rsid w:val="00703972"/>
    <w:rsid w:val="00705920"/>
    <w:rsid w:val="00707A28"/>
    <w:rsid w:val="00707E70"/>
    <w:rsid w:val="007114F8"/>
    <w:rsid w:val="00727CB5"/>
    <w:rsid w:val="007301A7"/>
    <w:rsid w:val="00730587"/>
    <w:rsid w:val="00730AA6"/>
    <w:rsid w:val="007367C0"/>
    <w:rsid w:val="00740B3D"/>
    <w:rsid w:val="0074156D"/>
    <w:rsid w:val="007419C8"/>
    <w:rsid w:val="00741A0C"/>
    <w:rsid w:val="00741AA4"/>
    <w:rsid w:val="00745FB2"/>
    <w:rsid w:val="007564D1"/>
    <w:rsid w:val="00757966"/>
    <w:rsid w:val="0076096A"/>
    <w:rsid w:val="00763680"/>
    <w:rsid w:val="00763E9A"/>
    <w:rsid w:val="007712E9"/>
    <w:rsid w:val="00772522"/>
    <w:rsid w:val="00780743"/>
    <w:rsid w:val="00785DDA"/>
    <w:rsid w:val="00791228"/>
    <w:rsid w:val="00793180"/>
    <w:rsid w:val="00793D88"/>
    <w:rsid w:val="007963C0"/>
    <w:rsid w:val="00796B19"/>
    <w:rsid w:val="007A2644"/>
    <w:rsid w:val="007A58AC"/>
    <w:rsid w:val="007A711C"/>
    <w:rsid w:val="007C1ADF"/>
    <w:rsid w:val="007C2F0F"/>
    <w:rsid w:val="007C47F0"/>
    <w:rsid w:val="007D047F"/>
    <w:rsid w:val="007D1810"/>
    <w:rsid w:val="007E08A4"/>
    <w:rsid w:val="007E2FC8"/>
    <w:rsid w:val="007E3613"/>
    <w:rsid w:val="007E597A"/>
    <w:rsid w:val="007F4A5C"/>
    <w:rsid w:val="007F7B72"/>
    <w:rsid w:val="00804C1A"/>
    <w:rsid w:val="00811438"/>
    <w:rsid w:val="008129D9"/>
    <w:rsid w:val="00814A42"/>
    <w:rsid w:val="008169F7"/>
    <w:rsid w:val="00817D33"/>
    <w:rsid w:val="0082044B"/>
    <w:rsid w:val="008253AC"/>
    <w:rsid w:val="00825A91"/>
    <w:rsid w:val="00831111"/>
    <w:rsid w:val="0083438B"/>
    <w:rsid w:val="00836DCC"/>
    <w:rsid w:val="00840C47"/>
    <w:rsid w:val="00841027"/>
    <w:rsid w:val="008410C6"/>
    <w:rsid w:val="00841ECB"/>
    <w:rsid w:val="00842735"/>
    <w:rsid w:val="00844324"/>
    <w:rsid w:val="00846F3F"/>
    <w:rsid w:val="00853F81"/>
    <w:rsid w:val="00856882"/>
    <w:rsid w:val="00863FBA"/>
    <w:rsid w:val="00874ED8"/>
    <w:rsid w:val="0087502E"/>
    <w:rsid w:val="008815A6"/>
    <w:rsid w:val="00882352"/>
    <w:rsid w:val="00883EFD"/>
    <w:rsid w:val="00885336"/>
    <w:rsid w:val="00892556"/>
    <w:rsid w:val="00893270"/>
    <w:rsid w:val="00896C37"/>
    <w:rsid w:val="008A1CFF"/>
    <w:rsid w:val="008A2676"/>
    <w:rsid w:val="008A4D6F"/>
    <w:rsid w:val="008A7E43"/>
    <w:rsid w:val="008B4537"/>
    <w:rsid w:val="008C1B8C"/>
    <w:rsid w:val="008C2568"/>
    <w:rsid w:val="008C45A6"/>
    <w:rsid w:val="008D1FDB"/>
    <w:rsid w:val="008D370D"/>
    <w:rsid w:val="008D4262"/>
    <w:rsid w:val="008D6576"/>
    <w:rsid w:val="008D6916"/>
    <w:rsid w:val="008E2E4F"/>
    <w:rsid w:val="008E4220"/>
    <w:rsid w:val="008F1E4F"/>
    <w:rsid w:val="008F4C53"/>
    <w:rsid w:val="00904A75"/>
    <w:rsid w:val="00904BAE"/>
    <w:rsid w:val="00920868"/>
    <w:rsid w:val="00921198"/>
    <w:rsid w:val="00925C9A"/>
    <w:rsid w:val="00927161"/>
    <w:rsid w:val="00927E5B"/>
    <w:rsid w:val="009301F7"/>
    <w:rsid w:val="00930C6E"/>
    <w:rsid w:val="00935FD2"/>
    <w:rsid w:val="00937547"/>
    <w:rsid w:val="00937560"/>
    <w:rsid w:val="00940D6F"/>
    <w:rsid w:val="00941CE7"/>
    <w:rsid w:val="0094776E"/>
    <w:rsid w:val="009524FF"/>
    <w:rsid w:val="009558AA"/>
    <w:rsid w:val="009569B3"/>
    <w:rsid w:val="00966317"/>
    <w:rsid w:val="0096643E"/>
    <w:rsid w:val="00972716"/>
    <w:rsid w:val="00975625"/>
    <w:rsid w:val="009809E5"/>
    <w:rsid w:val="0098107F"/>
    <w:rsid w:val="00983040"/>
    <w:rsid w:val="00990334"/>
    <w:rsid w:val="00992D58"/>
    <w:rsid w:val="00995F7E"/>
    <w:rsid w:val="009A163E"/>
    <w:rsid w:val="009A1B2C"/>
    <w:rsid w:val="009A220B"/>
    <w:rsid w:val="009B0744"/>
    <w:rsid w:val="009B27E7"/>
    <w:rsid w:val="009C1EA7"/>
    <w:rsid w:val="009C258E"/>
    <w:rsid w:val="009D189D"/>
    <w:rsid w:val="009D223A"/>
    <w:rsid w:val="009D32D6"/>
    <w:rsid w:val="009D50F6"/>
    <w:rsid w:val="009D6348"/>
    <w:rsid w:val="009D6BF7"/>
    <w:rsid w:val="009E1BAB"/>
    <w:rsid w:val="009E3CDF"/>
    <w:rsid w:val="009E3D93"/>
    <w:rsid w:val="009E7E1D"/>
    <w:rsid w:val="009F4C18"/>
    <w:rsid w:val="009F5FF8"/>
    <w:rsid w:val="00A000AA"/>
    <w:rsid w:val="00A031A9"/>
    <w:rsid w:val="00A12FB3"/>
    <w:rsid w:val="00A164E3"/>
    <w:rsid w:val="00A223CC"/>
    <w:rsid w:val="00A25354"/>
    <w:rsid w:val="00A2739C"/>
    <w:rsid w:val="00A27C36"/>
    <w:rsid w:val="00A37EDE"/>
    <w:rsid w:val="00A40DE9"/>
    <w:rsid w:val="00A43CF6"/>
    <w:rsid w:val="00A45D2E"/>
    <w:rsid w:val="00A47432"/>
    <w:rsid w:val="00A50D24"/>
    <w:rsid w:val="00A55743"/>
    <w:rsid w:val="00A57B59"/>
    <w:rsid w:val="00A731CE"/>
    <w:rsid w:val="00A736FF"/>
    <w:rsid w:val="00A7582D"/>
    <w:rsid w:val="00A77E40"/>
    <w:rsid w:val="00A816EB"/>
    <w:rsid w:val="00A83C6E"/>
    <w:rsid w:val="00A84913"/>
    <w:rsid w:val="00A924B8"/>
    <w:rsid w:val="00A92AEA"/>
    <w:rsid w:val="00A93587"/>
    <w:rsid w:val="00A963F3"/>
    <w:rsid w:val="00AA2783"/>
    <w:rsid w:val="00AA3F5D"/>
    <w:rsid w:val="00AA7275"/>
    <w:rsid w:val="00AB1820"/>
    <w:rsid w:val="00AB1B87"/>
    <w:rsid w:val="00AC060A"/>
    <w:rsid w:val="00AC177E"/>
    <w:rsid w:val="00AC2100"/>
    <w:rsid w:val="00AC3E18"/>
    <w:rsid w:val="00AC5190"/>
    <w:rsid w:val="00AC66E1"/>
    <w:rsid w:val="00AC77BA"/>
    <w:rsid w:val="00AC77C0"/>
    <w:rsid w:val="00AD4E0B"/>
    <w:rsid w:val="00AE350D"/>
    <w:rsid w:val="00AE4879"/>
    <w:rsid w:val="00AE5909"/>
    <w:rsid w:val="00B03EAC"/>
    <w:rsid w:val="00B05631"/>
    <w:rsid w:val="00B14D54"/>
    <w:rsid w:val="00B178DB"/>
    <w:rsid w:val="00B23420"/>
    <w:rsid w:val="00B2539C"/>
    <w:rsid w:val="00B35AAF"/>
    <w:rsid w:val="00B3693B"/>
    <w:rsid w:val="00B37921"/>
    <w:rsid w:val="00B40767"/>
    <w:rsid w:val="00B42D78"/>
    <w:rsid w:val="00B434F4"/>
    <w:rsid w:val="00B44B2E"/>
    <w:rsid w:val="00B475AD"/>
    <w:rsid w:val="00B50499"/>
    <w:rsid w:val="00B61BD0"/>
    <w:rsid w:val="00B63354"/>
    <w:rsid w:val="00B83BFA"/>
    <w:rsid w:val="00B85EA7"/>
    <w:rsid w:val="00B97BE5"/>
    <w:rsid w:val="00B97C16"/>
    <w:rsid w:val="00BA16F9"/>
    <w:rsid w:val="00BA2170"/>
    <w:rsid w:val="00BA3204"/>
    <w:rsid w:val="00BA3DFE"/>
    <w:rsid w:val="00BA511E"/>
    <w:rsid w:val="00BA5646"/>
    <w:rsid w:val="00BB6BE0"/>
    <w:rsid w:val="00BC00FA"/>
    <w:rsid w:val="00BC2402"/>
    <w:rsid w:val="00BC3338"/>
    <w:rsid w:val="00BC3ADE"/>
    <w:rsid w:val="00BC752C"/>
    <w:rsid w:val="00BC7B12"/>
    <w:rsid w:val="00BD36D6"/>
    <w:rsid w:val="00BD4159"/>
    <w:rsid w:val="00BE1700"/>
    <w:rsid w:val="00BE4EAD"/>
    <w:rsid w:val="00BE695C"/>
    <w:rsid w:val="00BF2635"/>
    <w:rsid w:val="00C04486"/>
    <w:rsid w:val="00C052C2"/>
    <w:rsid w:val="00C06EA5"/>
    <w:rsid w:val="00C10928"/>
    <w:rsid w:val="00C16821"/>
    <w:rsid w:val="00C23D85"/>
    <w:rsid w:val="00C31DA7"/>
    <w:rsid w:val="00C3490B"/>
    <w:rsid w:val="00C3498D"/>
    <w:rsid w:val="00C37F9E"/>
    <w:rsid w:val="00C41930"/>
    <w:rsid w:val="00C447B5"/>
    <w:rsid w:val="00C4628C"/>
    <w:rsid w:val="00C556FF"/>
    <w:rsid w:val="00C60898"/>
    <w:rsid w:val="00C64A59"/>
    <w:rsid w:val="00C656FE"/>
    <w:rsid w:val="00C82734"/>
    <w:rsid w:val="00C83522"/>
    <w:rsid w:val="00C85E97"/>
    <w:rsid w:val="00C86110"/>
    <w:rsid w:val="00C8625B"/>
    <w:rsid w:val="00C9266E"/>
    <w:rsid w:val="00C95636"/>
    <w:rsid w:val="00C967CF"/>
    <w:rsid w:val="00CA22E3"/>
    <w:rsid w:val="00CA71FD"/>
    <w:rsid w:val="00CB2BE9"/>
    <w:rsid w:val="00CB561B"/>
    <w:rsid w:val="00CC2086"/>
    <w:rsid w:val="00CC3995"/>
    <w:rsid w:val="00CC5530"/>
    <w:rsid w:val="00CC64C1"/>
    <w:rsid w:val="00CD101A"/>
    <w:rsid w:val="00CD459C"/>
    <w:rsid w:val="00CD5614"/>
    <w:rsid w:val="00CE5CEC"/>
    <w:rsid w:val="00CF1A67"/>
    <w:rsid w:val="00CF2A94"/>
    <w:rsid w:val="00CF301B"/>
    <w:rsid w:val="00CF4BBE"/>
    <w:rsid w:val="00CF5572"/>
    <w:rsid w:val="00CF566B"/>
    <w:rsid w:val="00D002E9"/>
    <w:rsid w:val="00D10175"/>
    <w:rsid w:val="00D116F5"/>
    <w:rsid w:val="00D152D5"/>
    <w:rsid w:val="00D20C9E"/>
    <w:rsid w:val="00D33B54"/>
    <w:rsid w:val="00D402DE"/>
    <w:rsid w:val="00D410EC"/>
    <w:rsid w:val="00D47014"/>
    <w:rsid w:val="00D50D30"/>
    <w:rsid w:val="00D551C6"/>
    <w:rsid w:val="00D57408"/>
    <w:rsid w:val="00D61087"/>
    <w:rsid w:val="00D67A03"/>
    <w:rsid w:val="00D81787"/>
    <w:rsid w:val="00D86FA7"/>
    <w:rsid w:val="00D8780F"/>
    <w:rsid w:val="00D87A70"/>
    <w:rsid w:val="00D91822"/>
    <w:rsid w:val="00D91BDB"/>
    <w:rsid w:val="00D943F5"/>
    <w:rsid w:val="00D94548"/>
    <w:rsid w:val="00DA221F"/>
    <w:rsid w:val="00DA3F47"/>
    <w:rsid w:val="00DA5C91"/>
    <w:rsid w:val="00DA63C2"/>
    <w:rsid w:val="00DA71B5"/>
    <w:rsid w:val="00DB49BE"/>
    <w:rsid w:val="00DB5383"/>
    <w:rsid w:val="00DB6350"/>
    <w:rsid w:val="00DB7C66"/>
    <w:rsid w:val="00DD081D"/>
    <w:rsid w:val="00DD1AA4"/>
    <w:rsid w:val="00DD1BEA"/>
    <w:rsid w:val="00DD2B5D"/>
    <w:rsid w:val="00DD7873"/>
    <w:rsid w:val="00DE02CD"/>
    <w:rsid w:val="00DF4E38"/>
    <w:rsid w:val="00E024BF"/>
    <w:rsid w:val="00E0519F"/>
    <w:rsid w:val="00E07373"/>
    <w:rsid w:val="00E14CD1"/>
    <w:rsid w:val="00E159D0"/>
    <w:rsid w:val="00E2286C"/>
    <w:rsid w:val="00E323E3"/>
    <w:rsid w:val="00E32F25"/>
    <w:rsid w:val="00E3359B"/>
    <w:rsid w:val="00E34FDF"/>
    <w:rsid w:val="00E36947"/>
    <w:rsid w:val="00E44593"/>
    <w:rsid w:val="00E457B3"/>
    <w:rsid w:val="00E46E93"/>
    <w:rsid w:val="00E5054C"/>
    <w:rsid w:val="00E5100B"/>
    <w:rsid w:val="00E52108"/>
    <w:rsid w:val="00E53E58"/>
    <w:rsid w:val="00E5680D"/>
    <w:rsid w:val="00E664B5"/>
    <w:rsid w:val="00E71733"/>
    <w:rsid w:val="00E72255"/>
    <w:rsid w:val="00E7340E"/>
    <w:rsid w:val="00E80649"/>
    <w:rsid w:val="00E81DB1"/>
    <w:rsid w:val="00E83B68"/>
    <w:rsid w:val="00E90E10"/>
    <w:rsid w:val="00E922B4"/>
    <w:rsid w:val="00E954EC"/>
    <w:rsid w:val="00EA1184"/>
    <w:rsid w:val="00EA3135"/>
    <w:rsid w:val="00EA3193"/>
    <w:rsid w:val="00EA38EF"/>
    <w:rsid w:val="00EB3927"/>
    <w:rsid w:val="00EB427B"/>
    <w:rsid w:val="00EC248A"/>
    <w:rsid w:val="00ED3D57"/>
    <w:rsid w:val="00EE03B9"/>
    <w:rsid w:val="00EE226D"/>
    <w:rsid w:val="00EE3548"/>
    <w:rsid w:val="00EE4681"/>
    <w:rsid w:val="00EE4D80"/>
    <w:rsid w:val="00EF1F24"/>
    <w:rsid w:val="00EF6861"/>
    <w:rsid w:val="00F027F2"/>
    <w:rsid w:val="00F0296A"/>
    <w:rsid w:val="00F066D9"/>
    <w:rsid w:val="00F069CE"/>
    <w:rsid w:val="00F1058B"/>
    <w:rsid w:val="00F12CEC"/>
    <w:rsid w:val="00F16D98"/>
    <w:rsid w:val="00F22841"/>
    <w:rsid w:val="00F25B70"/>
    <w:rsid w:val="00F32144"/>
    <w:rsid w:val="00F34FC1"/>
    <w:rsid w:val="00F35476"/>
    <w:rsid w:val="00F36082"/>
    <w:rsid w:val="00F37B0A"/>
    <w:rsid w:val="00F411B5"/>
    <w:rsid w:val="00F43313"/>
    <w:rsid w:val="00F452D7"/>
    <w:rsid w:val="00F47C6B"/>
    <w:rsid w:val="00F51B04"/>
    <w:rsid w:val="00F57486"/>
    <w:rsid w:val="00F63EBA"/>
    <w:rsid w:val="00F64BA3"/>
    <w:rsid w:val="00F663CC"/>
    <w:rsid w:val="00F67A4C"/>
    <w:rsid w:val="00F7049A"/>
    <w:rsid w:val="00F75008"/>
    <w:rsid w:val="00F82A1B"/>
    <w:rsid w:val="00F8550A"/>
    <w:rsid w:val="00F91DFA"/>
    <w:rsid w:val="00F92CD0"/>
    <w:rsid w:val="00F93878"/>
    <w:rsid w:val="00F964C9"/>
    <w:rsid w:val="00FA257F"/>
    <w:rsid w:val="00FA3B39"/>
    <w:rsid w:val="00FA59B8"/>
    <w:rsid w:val="00FB0D2E"/>
    <w:rsid w:val="00FB0DE7"/>
    <w:rsid w:val="00FB434B"/>
    <w:rsid w:val="00FB66F7"/>
    <w:rsid w:val="00FC286F"/>
    <w:rsid w:val="00FC42AC"/>
    <w:rsid w:val="00FC6000"/>
    <w:rsid w:val="00FC62C8"/>
    <w:rsid w:val="00FD08EC"/>
    <w:rsid w:val="00FD2B54"/>
    <w:rsid w:val="00FD764D"/>
    <w:rsid w:val="00FE0490"/>
    <w:rsid w:val="00FE498C"/>
    <w:rsid w:val="00FE61E3"/>
    <w:rsid w:val="00FF1D73"/>
    <w:rsid w:val="00FF3070"/>
    <w:rsid w:val="011E0E07"/>
    <w:rsid w:val="01457570"/>
    <w:rsid w:val="014A1281"/>
    <w:rsid w:val="017E0CD4"/>
    <w:rsid w:val="017F1182"/>
    <w:rsid w:val="0191556D"/>
    <w:rsid w:val="0192652E"/>
    <w:rsid w:val="019A3B52"/>
    <w:rsid w:val="01AA664F"/>
    <w:rsid w:val="01D84888"/>
    <w:rsid w:val="01FE3EC2"/>
    <w:rsid w:val="023B2FE2"/>
    <w:rsid w:val="02621328"/>
    <w:rsid w:val="02A75D09"/>
    <w:rsid w:val="02F60D76"/>
    <w:rsid w:val="030D1DC4"/>
    <w:rsid w:val="032F04D8"/>
    <w:rsid w:val="035739C7"/>
    <w:rsid w:val="038B6EE2"/>
    <w:rsid w:val="040B334D"/>
    <w:rsid w:val="04130B3B"/>
    <w:rsid w:val="04221D3D"/>
    <w:rsid w:val="04333FF8"/>
    <w:rsid w:val="04484531"/>
    <w:rsid w:val="046248DD"/>
    <w:rsid w:val="04C602CD"/>
    <w:rsid w:val="04F8107B"/>
    <w:rsid w:val="0552282F"/>
    <w:rsid w:val="0569166A"/>
    <w:rsid w:val="0596359C"/>
    <w:rsid w:val="05B859F9"/>
    <w:rsid w:val="05D83BCA"/>
    <w:rsid w:val="05E530D0"/>
    <w:rsid w:val="05FB2E3E"/>
    <w:rsid w:val="063F371A"/>
    <w:rsid w:val="06436049"/>
    <w:rsid w:val="065F34AE"/>
    <w:rsid w:val="06734B80"/>
    <w:rsid w:val="068F0968"/>
    <w:rsid w:val="069B7C33"/>
    <w:rsid w:val="06A4021B"/>
    <w:rsid w:val="06AB256C"/>
    <w:rsid w:val="06E3155D"/>
    <w:rsid w:val="071C7E25"/>
    <w:rsid w:val="0747114E"/>
    <w:rsid w:val="074844C9"/>
    <w:rsid w:val="07550805"/>
    <w:rsid w:val="0765096C"/>
    <w:rsid w:val="078A5A76"/>
    <w:rsid w:val="07B05960"/>
    <w:rsid w:val="07D37CEF"/>
    <w:rsid w:val="07E615D6"/>
    <w:rsid w:val="07F27D26"/>
    <w:rsid w:val="08033CE1"/>
    <w:rsid w:val="08387E2F"/>
    <w:rsid w:val="08A96637"/>
    <w:rsid w:val="08C9630B"/>
    <w:rsid w:val="08E46958"/>
    <w:rsid w:val="08EB5EBA"/>
    <w:rsid w:val="09053992"/>
    <w:rsid w:val="090F782C"/>
    <w:rsid w:val="0913264A"/>
    <w:rsid w:val="098E3A7F"/>
    <w:rsid w:val="09B2776D"/>
    <w:rsid w:val="09EB4E86"/>
    <w:rsid w:val="0A072589"/>
    <w:rsid w:val="0A1159C6"/>
    <w:rsid w:val="0A191F80"/>
    <w:rsid w:val="0A426D43"/>
    <w:rsid w:val="0A6A26C6"/>
    <w:rsid w:val="0A7669ED"/>
    <w:rsid w:val="0B0C61A8"/>
    <w:rsid w:val="0B0E724C"/>
    <w:rsid w:val="0B5949FB"/>
    <w:rsid w:val="0B996E37"/>
    <w:rsid w:val="0BB401AD"/>
    <w:rsid w:val="0BB62D43"/>
    <w:rsid w:val="0BB71CC0"/>
    <w:rsid w:val="0BCA2505"/>
    <w:rsid w:val="0C5E5E27"/>
    <w:rsid w:val="0C886EAB"/>
    <w:rsid w:val="0CA0210B"/>
    <w:rsid w:val="0CA14674"/>
    <w:rsid w:val="0CFF69F6"/>
    <w:rsid w:val="0D0D5D1B"/>
    <w:rsid w:val="0D1C7D1F"/>
    <w:rsid w:val="0D3F57BC"/>
    <w:rsid w:val="0D4D3237"/>
    <w:rsid w:val="0DA675E9"/>
    <w:rsid w:val="0DC575C5"/>
    <w:rsid w:val="0DDC125D"/>
    <w:rsid w:val="0DFA671C"/>
    <w:rsid w:val="0E410013"/>
    <w:rsid w:val="0E7C1094"/>
    <w:rsid w:val="0E81026F"/>
    <w:rsid w:val="0EA1472C"/>
    <w:rsid w:val="0EFC24E4"/>
    <w:rsid w:val="0F022F45"/>
    <w:rsid w:val="0F25113D"/>
    <w:rsid w:val="0F4D143D"/>
    <w:rsid w:val="0F672FE3"/>
    <w:rsid w:val="0FCC256F"/>
    <w:rsid w:val="0FF52AA9"/>
    <w:rsid w:val="10334778"/>
    <w:rsid w:val="105F7F23"/>
    <w:rsid w:val="10874C90"/>
    <w:rsid w:val="10CE0A08"/>
    <w:rsid w:val="118B6889"/>
    <w:rsid w:val="11A62DD1"/>
    <w:rsid w:val="11C8710C"/>
    <w:rsid w:val="11E76422"/>
    <w:rsid w:val="121D4158"/>
    <w:rsid w:val="12241424"/>
    <w:rsid w:val="125A3098"/>
    <w:rsid w:val="129973FF"/>
    <w:rsid w:val="1299771C"/>
    <w:rsid w:val="12A6008B"/>
    <w:rsid w:val="132611C2"/>
    <w:rsid w:val="132F23F3"/>
    <w:rsid w:val="137D5E3E"/>
    <w:rsid w:val="138A709E"/>
    <w:rsid w:val="139E6A6E"/>
    <w:rsid w:val="13AF2F6F"/>
    <w:rsid w:val="13B45633"/>
    <w:rsid w:val="13B64B93"/>
    <w:rsid w:val="13D41B0C"/>
    <w:rsid w:val="13F9413D"/>
    <w:rsid w:val="145C30F7"/>
    <w:rsid w:val="14706A5D"/>
    <w:rsid w:val="14771CDF"/>
    <w:rsid w:val="14D76DF2"/>
    <w:rsid w:val="14DD6A07"/>
    <w:rsid w:val="15135E92"/>
    <w:rsid w:val="15282FD9"/>
    <w:rsid w:val="15316332"/>
    <w:rsid w:val="1542409B"/>
    <w:rsid w:val="15545B7C"/>
    <w:rsid w:val="15791A87"/>
    <w:rsid w:val="157F266A"/>
    <w:rsid w:val="15CD4B7F"/>
    <w:rsid w:val="15DE521A"/>
    <w:rsid w:val="16115198"/>
    <w:rsid w:val="16293234"/>
    <w:rsid w:val="164842C2"/>
    <w:rsid w:val="164A40EB"/>
    <w:rsid w:val="1662251B"/>
    <w:rsid w:val="16975A0F"/>
    <w:rsid w:val="169923E1"/>
    <w:rsid w:val="16CB1BED"/>
    <w:rsid w:val="16F13FCB"/>
    <w:rsid w:val="17180A39"/>
    <w:rsid w:val="171B7E91"/>
    <w:rsid w:val="1726179A"/>
    <w:rsid w:val="1739327C"/>
    <w:rsid w:val="17801897"/>
    <w:rsid w:val="17885FB1"/>
    <w:rsid w:val="178C472F"/>
    <w:rsid w:val="17AE4BAB"/>
    <w:rsid w:val="17E1466C"/>
    <w:rsid w:val="17FD24FB"/>
    <w:rsid w:val="182E0907"/>
    <w:rsid w:val="18684E84"/>
    <w:rsid w:val="187502B6"/>
    <w:rsid w:val="18B86DBF"/>
    <w:rsid w:val="18C47D79"/>
    <w:rsid w:val="18FA7978"/>
    <w:rsid w:val="1906325A"/>
    <w:rsid w:val="191B6E8B"/>
    <w:rsid w:val="19235F91"/>
    <w:rsid w:val="192669E1"/>
    <w:rsid w:val="19433964"/>
    <w:rsid w:val="196D6930"/>
    <w:rsid w:val="199B606D"/>
    <w:rsid w:val="19AB6542"/>
    <w:rsid w:val="19CE05F3"/>
    <w:rsid w:val="19DD10C8"/>
    <w:rsid w:val="1A4E5290"/>
    <w:rsid w:val="1A6A4622"/>
    <w:rsid w:val="1AC72B38"/>
    <w:rsid w:val="1B302BE8"/>
    <w:rsid w:val="1B6B1E72"/>
    <w:rsid w:val="1B6C3FF5"/>
    <w:rsid w:val="1B6E7831"/>
    <w:rsid w:val="1C2C23A5"/>
    <w:rsid w:val="1C2C33AF"/>
    <w:rsid w:val="1C573F16"/>
    <w:rsid w:val="1C74518D"/>
    <w:rsid w:val="1C901C42"/>
    <w:rsid w:val="1C9A3D10"/>
    <w:rsid w:val="1CA501D8"/>
    <w:rsid w:val="1CAE2DFB"/>
    <w:rsid w:val="1CDC4DD5"/>
    <w:rsid w:val="1D3D1F03"/>
    <w:rsid w:val="1D511881"/>
    <w:rsid w:val="1DBA2C3C"/>
    <w:rsid w:val="1E29229C"/>
    <w:rsid w:val="1E405764"/>
    <w:rsid w:val="1E40590F"/>
    <w:rsid w:val="1E443A73"/>
    <w:rsid w:val="1E4A5D6E"/>
    <w:rsid w:val="1E7607AC"/>
    <w:rsid w:val="1EA96F39"/>
    <w:rsid w:val="1EB61656"/>
    <w:rsid w:val="1ECC4E1C"/>
    <w:rsid w:val="1F2C36C6"/>
    <w:rsid w:val="1F417171"/>
    <w:rsid w:val="1F5A3B9D"/>
    <w:rsid w:val="1F993E90"/>
    <w:rsid w:val="1FF93E2A"/>
    <w:rsid w:val="1FFB37C4"/>
    <w:rsid w:val="202E18F6"/>
    <w:rsid w:val="20372327"/>
    <w:rsid w:val="203C4FA5"/>
    <w:rsid w:val="20461683"/>
    <w:rsid w:val="204D5FEA"/>
    <w:rsid w:val="20B93235"/>
    <w:rsid w:val="20BD316F"/>
    <w:rsid w:val="20D43F34"/>
    <w:rsid w:val="20DE2295"/>
    <w:rsid w:val="20E05897"/>
    <w:rsid w:val="20EE6483"/>
    <w:rsid w:val="215C68AD"/>
    <w:rsid w:val="21BB3856"/>
    <w:rsid w:val="21C72E97"/>
    <w:rsid w:val="21DC7625"/>
    <w:rsid w:val="220F6663"/>
    <w:rsid w:val="222B3F60"/>
    <w:rsid w:val="22680EB9"/>
    <w:rsid w:val="22D118FE"/>
    <w:rsid w:val="22EE09E2"/>
    <w:rsid w:val="23376E0E"/>
    <w:rsid w:val="236773C3"/>
    <w:rsid w:val="23E015DB"/>
    <w:rsid w:val="23E24424"/>
    <w:rsid w:val="240173FB"/>
    <w:rsid w:val="2412732E"/>
    <w:rsid w:val="24231CC1"/>
    <w:rsid w:val="24674CA6"/>
    <w:rsid w:val="24974A1E"/>
    <w:rsid w:val="25133EA1"/>
    <w:rsid w:val="25375227"/>
    <w:rsid w:val="253F23A5"/>
    <w:rsid w:val="258204E4"/>
    <w:rsid w:val="25913D7C"/>
    <w:rsid w:val="25BD4AEF"/>
    <w:rsid w:val="25C40AFC"/>
    <w:rsid w:val="25F0544D"/>
    <w:rsid w:val="25F34F3E"/>
    <w:rsid w:val="25F40E6D"/>
    <w:rsid w:val="263D7946"/>
    <w:rsid w:val="268D6DFC"/>
    <w:rsid w:val="268E458D"/>
    <w:rsid w:val="26B6042A"/>
    <w:rsid w:val="26B97F35"/>
    <w:rsid w:val="26C77B52"/>
    <w:rsid w:val="26D75D07"/>
    <w:rsid w:val="26EA4592"/>
    <w:rsid w:val="26FD176B"/>
    <w:rsid w:val="273B7532"/>
    <w:rsid w:val="274E7236"/>
    <w:rsid w:val="276854B7"/>
    <w:rsid w:val="27D029D0"/>
    <w:rsid w:val="27E3117E"/>
    <w:rsid w:val="27F154AD"/>
    <w:rsid w:val="28053AA7"/>
    <w:rsid w:val="283E3FC5"/>
    <w:rsid w:val="285A74F6"/>
    <w:rsid w:val="289F613A"/>
    <w:rsid w:val="28AE051A"/>
    <w:rsid w:val="28DC7FD8"/>
    <w:rsid w:val="2939710B"/>
    <w:rsid w:val="295401BB"/>
    <w:rsid w:val="297D349C"/>
    <w:rsid w:val="29C9048F"/>
    <w:rsid w:val="29CF181E"/>
    <w:rsid w:val="29E4176D"/>
    <w:rsid w:val="29EE6148"/>
    <w:rsid w:val="2A28260B"/>
    <w:rsid w:val="2A362812"/>
    <w:rsid w:val="2A5306A1"/>
    <w:rsid w:val="2A7168C3"/>
    <w:rsid w:val="2AB95E23"/>
    <w:rsid w:val="2ACF40BC"/>
    <w:rsid w:val="2AD43590"/>
    <w:rsid w:val="2B367DA6"/>
    <w:rsid w:val="2B7B2204"/>
    <w:rsid w:val="2B8262C4"/>
    <w:rsid w:val="2B836D64"/>
    <w:rsid w:val="2B944ACD"/>
    <w:rsid w:val="2BAE3DE1"/>
    <w:rsid w:val="2C120D26"/>
    <w:rsid w:val="2C6170A5"/>
    <w:rsid w:val="2C865E3F"/>
    <w:rsid w:val="2C9805ED"/>
    <w:rsid w:val="2CAF2CC0"/>
    <w:rsid w:val="2CBF6292"/>
    <w:rsid w:val="2CC26919"/>
    <w:rsid w:val="2CE35D0C"/>
    <w:rsid w:val="2D021B5F"/>
    <w:rsid w:val="2D054A90"/>
    <w:rsid w:val="2D1636DB"/>
    <w:rsid w:val="2D3B78F6"/>
    <w:rsid w:val="2D5703D9"/>
    <w:rsid w:val="2DDD7A3A"/>
    <w:rsid w:val="2E175D29"/>
    <w:rsid w:val="2EB86D24"/>
    <w:rsid w:val="2EC851B9"/>
    <w:rsid w:val="2EEF36AE"/>
    <w:rsid w:val="2EF559F6"/>
    <w:rsid w:val="2F063F34"/>
    <w:rsid w:val="2F1F59F9"/>
    <w:rsid w:val="2F4E4F57"/>
    <w:rsid w:val="2FA702A4"/>
    <w:rsid w:val="309B06AC"/>
    <w:rsid w:val="30BE2458"/>
    <w:rsid w:val="30D00355"/>
    <w:rsid w:val="30FA3624"/>
    <w:rsid w:val="3183186B"/>
    <w:rsid w:val="318F4D69"/>
    <w:rsid w:val="31A50F78"/>
    <w:rsid w:val="31F91B2E"/>
    <w:rsid w:val="321A2F2E"/>
    <w:rsid w:val="32537490"/>
    <w:rsid w:val="325F3EC0"/>
    <w:rsid w:val="3260653E"/>
    <w:rsid w:val="32BF42CE"/>
    <w:rsid w:val="32C91500"/>
    <w:rsid w:val="32D16607"/>
    <w:rsid w:val="32EC50D1"/>
    <w:rsid w:val="32F33427"/>
    <w:rsid w:val="330B1BD7"/>
    <w:rsid w:val="332B7087"/>
    <w:rsid w:val="337A0348"/>
    <w:rsid w:val="33D86B67"/>
    <w:rsid w:val="33FC7521"/>
    <w:rsid w:val="3419457F"/>
    <w:rsid w:val="343D21A6"/>
    <w:rsid w:val="34A71D15"/>
    <w:rsid w:val="34FA1E45"/>
    <w:rsid w:val="35000F2D"/>
    <w:rsid w:val="3524796A"/>
    <w:rsid w:val="353852AA"/>
    <w:rsid w:val="35410B17"/>
    <w:rsid w:val="35436F4B"/>
    <w:rsid w:val="35BF63CE"/>
    <w:rsid w:val="35CD7559"/>
    <w:rsid w:val="35DA3A24"/>
    <w:rsid w:val="35EB79DF"/>
    <w:rsid w:val="36D025A9"/>
    <w:rsid w:val="36D41B58"/>
    <w:rsid w:val="37357BBB"/>
    <w:rsid w:val="374816E3"/>
    <w:rsid w:val="37492C0F"/>
    <w:rsid w:val="379E11AD"/>
    <w:rsid w:val="37A8735F"/>
    <w:rsid w:val="37AE5168"/>
    <w:rsid w:val="37C87FD8"/>
    <w:rsid w:val="37FB18F7"/>
    <w:rsid w:val="380F3E59"/>
    <w:rsid w:val="38997BC6"/>
    <w:rsid w:val="38B267A9"/>
    <w:rsid w:val="38E94B45"/>
    <w:rsid w:val="38F4462F"/>
    <w:rsid w:val="390F1C37"/>
    <w:rsid w:val="39273424"/>
    <w:rsid w:val="39302310"/>
    <w:rsid w:val="39330222"/>
    <w:rsid w:val="394C42A5"/>
    <w:rsid w:val="395D0BF4"/>
    <w:rsid w:val="396275A5"/>
    <w:rsid w:val="397877DC"/>
    <w:rsid w:val="398C267E"/>
    <w:rsid w:val="39987E7E"/>
    <w:rsid w:val="39AF20D3"/>
    <w:rsid w:val="39C46996"/>
    <w:rsid w:val="39D3669E"/>
    <w:rsid w:val="39DA2245"/>
    <w:rsid w:val="39EC67CB"/>
    <w:rsid w:val="39FF1CAB"/>
    <w:rsid w:val="3A2152A4"/>
    <w:rsid w:val="3A345DF9"/>
    <w:rsid w:val="3A3A1D94"/>
    <w:rsid w:val="3A557B1D"/>
    <w:rsid w:val="3A791A5E"/>
    <w:rsid w:val="3A8D72B7"/>
    <w:rsid w:val="3A946425"/>
    <w:rsid w:val="3AD86EA7"/>
    <w:rsid w:val="3B084B8F"/>
    <w:rsid w:val="3B7B4CCA"/>
    <w:rsid w:val="3B802A7E"/>
    <w:rsid w:val="3B8F24C6"/>
    <w:rsid w:val="3C1128C7"/>
    <w:rsid w:val="3C17472B"/>
    <w:rsid w:val="3C30671E"/>
    <w:rsid w:val="3C8F5568"/>
    <w:rsid w:val="3C9856BF"/>
    <w:rsid w:val="3C9A445E"/>
    <w:rsid w:val="3CD112FD"/>
    <w:rsid w:val="3D041DCC"/>
    <w:rsid w:val="3D0937E8"/>
    <w:rsid w:val="3D2663FF"/>
    <w:rsid w:val="3D3A3C77"/>
    <w:rsid w:val="3D431EEA"/>
    <w:rsid w:val="3D605E5D"/>
    <w:rsid w:val="3D7F7A60"/>
    <w:rsid w:val="3D855259"/>
    <w:rsid w:val="3DA46DF1"/>
    <w:rsid w:val="3DB66B25"/>
    <w:rsid w:val="3DDB4D41"/>
    <w:rsid w:val="3E0D5116"/>
    <w:rsid w:val="3E500D27"/>
    <w:rsid w:val="3E8A2699"/>
    <w:rsid w:val="3EAD7F28"/>
    <w:rsid w:val="3EFF44D3"/>
    <w:rsid w:val="3F304E43"/>
    <w:rsid w:val="3F39449E"/>
    <w:rsid w:val="3F4447A8"/>
    <w:rsid w:val="3F514D57"/>
    <w:rsid w:val="3F7878C7"/>
    <w:rsid w:val="3FA70E1B"/>
    <w:rsid w:val="3FB92041"/>
    <w:rsid w:val="3FC348ED"/>
    <w:rsid w:val="3FD02C9D"/>
    <w:rsid w:val="3FDE6583"/>
    <w:rsid w:val="400E7372"/>
    <w:rsid w:val="401C5003"/>
    <w:rsid w:val="404170BA"/>
    <w:rsid w:val="40520D87"/>
    <w:rsid w:val="405B6F2C"/>
    <w:rsid w:val="40694322"/>
    <w:rsid w:val="408962B5"/>
    <w:rsid w:val="40DF2EB2"/>
    <w:rsid w:val="412F2E76"/>
    <w:rsid w:val="413F2436"/>
    <w:rsid w:val="417C12D8"/>
    <w:rsid w:val="41847E22"/>
    <w:rsid w:val="42042555"/>
    <w:rsid w:val="423F533B"/>
    <w:rsid w:val="424B1F31"/>
    <w:rsid w:val="425863FC"/>
    <w:rsid w:val="429E4757"/>
    <w:rsid w:val="42F10B0D"/>
    <w:rsid w:val="43016AF1"/>
    <w:rsid w:val="43435C82"/>
    <w:rsid w:val="43A543B5"/>
    <w:rsid w:val="43A75821"/>
    <w:rsid w:val="441427F7"/>
    <w:rsid w:val="441B5933"/>
    <w:rsid w:val="44292C6E"/>
    <w:rsid w:val="447C1C11"/>
    <w:rsid w:val="4499077C"/>
    <w:rsid w:val="44E645A0"/>
    <w:rsid w:val="44EE2F35"/>
    <w:rsid w:val="45271DC1"/>
    <w:rsid w:val="454B3B29"/>
    <w:rsid w:val="45BB03E2"/>
    <w:rsid w:val="45C80CAE"/>
    <w:rsid w:val="45DB01E5"/>
    <w:rsid w:val="45DD7344"/>
    <w:rsid w:val="4616792A"/>
    <w:rsid w:val="46551E72"/>
    <w:rsid w:val="465D0485"/>
    <w:rsid w:val="46E841F3"/>
    <w:rsid w:val="471F45EA"/>
    <w:rsid w:val="47321912"/>
    <w:rsid w:val="474B4FEC"/>
    <w:rsid w:val="47583F6E"/>
    <w:rsid w:val="47611B6E"/>
    <w:rsid w:val="47740874"/>
    <w:rsid w:val="477C2B8D"/>
    <w:rsid w:val="479779C7"/>
    <w:rsid w:val="47B8281D"/>
    <w:rsid w:val="47C127AB"/>
    <w:rsid w:val="47D35D55"/>
    <w:rsid w:val="47F92430"/>
    <w:rsid w:val="481425AB"/>
    <w:rsid w:val="48270D4B"/>
    <w:rsid w:val="48367BDF"/>
    <w:rsid w:val="484641FC"/>
    <w:rsid w:val="48537D92"/>
    <w:rsid w:val="486100AA"/>
    <w:rsid w:val="486138DC"/>
    <w:rsid w:val="489F7F75"/>
    <w:rsid w:val="48CC544E"/>
    <w:rsid w:val="48DA5DBD"/>
    <w:rsid w:val="48E14910"/>
    <w:rsid w:val="48E3021A"/>
    <w:rsid w:val="49004208"/>
    <w:rsid w:val="491312CF"/>
    <w:rsid w:val="49152E47"/>
    <w:rsid w:val="4916491B"/>
    <w:rsid w:val="49317997"/>
    <w:rsid w:val="49564263"/>
    <w:rsid w:val="49725DFD"/>
    <w:rsid w:val="499018C8"/>
    <w:rsid w:val="49B605D8"/>
    <w:rsid w:val="49DC4758"/>
    <w:rsid w:val="4A095AFF"/>
    <w:rsid w:val="4A0C3670"/>
    <w:rsid w:val="4A1E18DE"/>
    <w:rsid w:val="4A6A3C8C"/>
    <w:rsid w:val="4A723B47"/>
    <w:rsid w:val="4AEE27A1"/>
    <w:rsid w:val="4B3258B6"/>
    <w:rsid w:val="4B66236B"/>
    <w:rsid w:val="4B731C59"/>
    <w:rsid w:val="4BA623C3"/>
    <w:rsid w:val="4BE66D83"/>
    <w:rsid w:val="4C194E4E"/>
    <w:rsid w:val="4C3473A6"/>
    <w:rsid w:val="4C455C43"/>
    <w:rsid w:val="4C733B53"/>
    <w:rsid w:val="4C87625C"/>
    <w:rsid w:val="4C8A18A8"/>
    <w:rsid w:val="4CA613E0"/>
    <w:rsid w:val="4CAA3CF8"/>
    <w:rsid w:val="4CD55219"/>
    <w:rsid w:val="4CE4720A"/>
    <w:rsid w:val="4CEC2563"/>
    <w:rsid w:val="4D072EF9"/>
    <w:rsid w:val="4D2C2228"/>
    <w:rsid w:val="4D4E1345"/>
    <w:rsid w:val="4D704ADF"/>
    <w:rsid w:val="4DC16656"/>
    <w:rsid w:val="4E057EF8"/>
    <w:rsid w:val="4E2B55F2"/>
    <w:rsid w:val="4E541124"/>
    <w:rsid w:val="4E54575D"/>
    <w:rsid w:val="4E5528C1"/>
    <w:rsid w:val="4E632C9E"/>
    <w:rsid w:val="4E710BC6"/>
    <w:rsid w:val="4E96079B"/>
    <w:rsid w:val="4F1B2C8C"/>
    <w:rsid w:val="4F390C6D"/>
    <w:rsid w:val="4F686B13"/>
    <w:rsid w:val="4F7428C0"/>
    <w:rsid w:val="4F9E469C"/>
    <w:rsid w:val="4F9F3ABC"/>
    <w:rsid w:val="4FA703CD"/>
    <w:rsid w:val="4FE44CA0"/>
    <w:rsid w:val="4FED287A"/>
    <w:rsid w:val="500C5A05"/>
    <w:rsid w:val="501C078C"/>
    <w:rsid w:val="502555E0"/>
    <w:rsid w:val="502C0070"/>
    <w:rsid w:val="503B4B36"/>
    <w:rsid w:val="50546455"/>
    <w:rsid w:val="505E4EF4"/>
    <w:rsid w:val="50A2354C"/>
    <w:rsid w:val="50C05DEA"/>
    <w:rsid w:val="50FA2797"/>
    <w:rsid w:val="5102099E"/>
    <w:rsid w:val="51441C1B"/>
    <w:rsid w:val="514A79E2"/>
    <w:rsid w:val="51742590"/>
    <w:rsid w:val="517B767B"/>
    <w:rsid w:val="518124CB"/>
    <w:rsid w:val="51A67184"/>
    <w:rsid w:val="51AF2886"/>
    <w:rsid w:val="51B32B04"/>
    <w:rsid w:val="51B44DFB"/>
    <w:rsid w:val="51C63259"/>
    <w:rsid w:val="5221424D"/>
    <w:rsid w:val="52246B38"/>
    <w:rsid w:val="524E5316"/>
    <w:rsid w:val="525936B9"/>
    <w:rsid w:val="52A80CDA"/>
    <w:rsid w:val="52E857BB"/>
    <w:rsid w:val="530E39DC"/>
    <w:rsid w:val="535A014B"/>
    <w:rsid w:val="53A93C41"/>
    <w:rsid w:val="53B33C78"/>
    <w:rsid w:val="53EE1A4C"/>
    <w:rsid w:val="53EF597F"/>
    <w:rsid w:val="53F31786"/>
    <w:rsid w:val="54592086"/>
    <w:rsid w:val="54A92E0E"/>
    <w:rsid w:val="54DE09E3"/>
    <w:rsid w:val="54E47DDB"/>
    <w:rsid w:val="550F005C"/>
    <w:rsid w:val="552E1017"/>
    <w:rsid w:val="556411C8"/>
    <w:rsid w:val="5583158B"/>
    <w:rsid w:val="558A46C7"/>
    <w:rsid w:val="55AB1F57"/>
    <w:rsid w:val="55D8224D"/>
    <w:rsid w:val="55F941E4"/>
    <w:rsid w:val="560306FA"/>
    <w:rsid w:val="5651048E"/>
    <w:rsid w:val="567A0776"/>
    <w:rsid w:val="5698744F"/>
    <w:rsid w:val="56A744A0"/>
    <w:rsid w:val="56B55DEC"/>
    <w:rsid w:val="56EB51A7"/>
    <w:rsid w:val="56FC29CC"/>
    <w:rsid w:val="576158FB"/>
    <w:rsid w:val="576D24F2"/>
    <w:rsid w:val="5777712B"/>
    <w:rsid w:val="57C10DB7"/>
    <w:rsid w:val="57D62C8F"/>
    <w:rsid w:val="57F42347"/>
    <w:rsid w:val="58037FF6"/>
    <w:rsid w:val="580A3AD6"/>
    <w:rsid w:val="58306492"/>
    <w:rsid w:val="585B30E6"/>
    <w:rsid w:val="588A4390"/>
    <w:rsid w:val="58E64A51"/>
    <w:rsid w:val="592C5856"/>
    <w:rsid w:val="5963595B"/>
    <w:rsid w:val="5986602D"/>
    <w:rsid w:val="599B50F5"/>
    <w:rsid w:val="59F95B47"/>
    <w:rsid w:val="5A1D393A"/>
    <w:rsid w:val="5A227B7D"/>
    <w:rsid w:val="5AB75F5E"/>
    <w:rsid w:val="5AB94DBC"/>
    <w:rsid w:val="5AEC714A"/>
    <w:rsid w:val="5AF77878"/>
    <w:rsid w:val="5B4D15D2"/>
    <w:rsid w:val="5B977ED2"/>
    <w:rsid w:val="5C1F54B9"/>
    <w:rsid w:val="5C58565F"/>
    <w:rsid w:val="5C642250"/>
    <w:rsid w:val="5CC901CB"/>
    <w:rsid w:val="5D1F4CD0"/>
    <w:rsid w:val="5D221689"/>
    <w:rsid w:val="5D3807DB"/>
    <w:rsid w:val="5D445AA3"/>
    <w:rsid w:val="5D8D2FA6"/>
    <w:rsid w:val="5D9E7767"/>
    <w:rsid w:val="5E0F7B03"/>
    <w:rsid w:val="5E40270F"/>
    <w:rsid w:val="5E4E46C6"/>
    <w:rsid w:val="5E6F4FE1"/>
    <w:rsid w:val="5EF10A09"/>
    <w:rsid w:val="5EF61752"/>
    <w:rsid w:val="5F0E0117"/>
    <w:rsid w:val="5F205CC7"/>
    <w:rsid w:val="5F714F45"/>
    <w:rsid w:val="5F8E3006"/>
    <w:rsid w:val="60377A1E"/>
    <w:rsid w:val="60504B7E"/>
    <w:rsid w:val="605D3104"/>
    <w:rsid w:val="607246D5"/>
    <w:rsid w:val="60990D2B"/>
    <w:rsid w:val="60A15BF4"/>
    <w:rsid w:val="61026ABD"/>
    <w:rsid w:val="610A2B60"/>
    <w:rsid w:val="614B11AE"/>
    <w:rsid w:val="61560BC3"/>
    <w:rsid w:val="618F19E3"/>
    <w:rsid w:val="61CC03D8"/>
    <w:rsid w:val="621A794E"/>
    <w:rsid w:val="6241788D"/>
    <w:rsid w:val="62486FF6"/>
    <w:rsid w:val="624D53FA"/>
    <w:rsid w:val="625F2761"/>
    <w:rsid w:val="62726C0F"/>
    <w:rsid w:val="6280757E"/>
    <w:rsid w:val="62854B94"/>
    <w:rsid w:val="62B73A84"/>
    <w:rsid w:val="62DA5101"/>
    <w:rsid w:val="63020691"/>
    <w:rsid w:val="63253C81"/>
    <w:rsid w:val="63332842"/>
    <w:rsid w:val="634B329C"/>
    <w:rsid w:val="635C3B4F"/>
    <w:rsid w:val="63A85527"/>
    <w:rsid w:val="63AD5C13"/>
    <w:rsid w:val="63E33572"/>
    <w:rsid w:val="63E47698"/>
    <w:rsid w:val="64905788"/>
    <w:rsid w:val="6496564F"/>
    <w:rsid w:val="64B23A93"/>
    <w:rsid w:val="650C4D71"/>
    <w:rsid w:val="65263149"/>
    <w:rsid w:val="655D5954"/>
    <w:rsid w:val="65603872"/>
    <w:rsid w:val="6587477F"/>
    <w:rsid w:val="65896749"/>
    <w:rsid w:val="65C4649D"/>
    <w:rsid w:val="65EA433B"/>
    <w:rsid w:val="66055BA0"/>
    <w:rsid w:val="667C70A5"/>
    <w:rsid w:val="669E1392"/>
    <w:rsid w:val="66A70560"/>
    <w:rsid w:val="66AA4BC9"/>
    <w:rsid w:val="66C07984"/>
    <w:rsid w:val="66DA1157"/>
    <w:rsid w:val="66E06854"/>
    <w:rsid w:val="66F6446A"/>
    <w:rsid w:val="670A5668"/>
    <w:rsid w:val="672D6635"/>
    <w:rsid w:val="6748611A"/>
    <w:rsid w:val="678C2521"/>
    <w:rsid w:val="679D472E"/>
    <w:rsid w:val="680D3662"/>
    <w:rsid w:val="6830062A"/>
    <w:rsid w:val="68352BB8"/>
    <w:rsid w:val="683C5CF5"/>
    <w:rsid w:val="685400CF"/>
    <w:rsid w:val="686C1D74"/>
    <w:rsid w:val="688575DB"/>
    <w:rsid w:val="688F051A"/>
    <w:rsid w:val="68B0223F"/>
    <w:rsid w:val="68DC4E5C"/>
    <w:rsid w:val="690015AA"/>
    <w:rsid w:val="691427CE"/>
    <w:rsid w:val="69142C80"/>
    <w:rsid w:val="69594D5C"/>
    <w:rsid w:val="69FB30FB"/>
    <w:rsid w:val="6A0607F1"/>
    <w:rsid w:val="6A060CC9"/>
    <w:rsid w:val="6A197BB4"/>
    <w:rsid w:val="6A2A054E"/>
    <w:rsid w:val="6A42336B"/>
    <w:rsid w:val="6A523A86"/>
    <w:rsid w:val="6B3C34E7"/>
    <w:rsid w:val="6B4D1FC7"/>
    <w:rsid w:val="6B6774F9"/>
    <w:rsid w:val="6B9B2D32"/>
    <w:rsid w:val="6BCE135A"/>
    <w:rsid w:val="6BD32365"/>
    <w:rsid w:val="6C3E2907"/>
    <w:rsid w:val="6C621AA2"/>
    <w:rsid w:val="6CA23B1B"/>
    <w:rsid w:val="6CD504C6"/>
    <w:rsid w:val="6CE90D14"/>
    <w:rsid w:val="6D140FEE"/>
    <w:rsid w:val="6D2356D5"/>
    <w:rsid w:val="6D4F30B5"/>
    <w:rsid w:val="6D4F3A89"/>
    <w:rsid w:val="6D527D69"/>
    <w:rsid w:val="6D7950A6"/>
    <w:rsid w:val="6DF36E56"/>
    <w:rsid w:val="6E15208A"/>
    <w:rsid w:val="6EEF1D13"/>
    <w:rsid w:val="6F0278E1"/>
    <w:rsid w:val="6F086E98"/>
    <w:rsid w:val="6F153B2F"/>
    <w:rsid w:val="6F8E48C7"/>
    <w:rsid w:val="6F985188"/>
    <w:rsid w:val="6FB30AAA"/>
    <w:rsid w:val="6FEA24DA"/>
    <w:rsid w:val="6FF04E1F"/>
    <w:rsid w:val="701442D9"/>
    <w:rsid w:val="70180DF5"/>
    <w:rsid w:val="70781F23"/>
    <w:rsid w:val="70934920"/>
    <w:rsid w:val="70A94143"/>
    <w:rsid w:val="70BD5D25"/>
    <w:rsid w:val="70FA674D"/>
    <w:rsid w:val="71386683"/>
    <w:rsid w:val="71AD7EE4"/>
    <w:rsid w:val="71C16E23"/>
    <w:rsid w:val="71DD284A"/>
    <w:rsid w:val="720F6228"/>
    <w:rsid w:val="722E01A0"/>
    <w:rsid w:val="724E22B9"/>
    <w:rsid w:val="72930C07"/>
    <w:rsid w:val="73085B1F"/>
    <w:rsid w:val="732D79D1"/>
    <w:rsid w:val="734F591D"/>
    <w:rsid w:val="73915D89"/>
    <w:rsid w:val="739509AF"/>
    <w:rsid w:val="739E1645"/>
    <w:rsid w:val="73AF56E9"/>
    <w:rsid w:val="73C01B0B"/>
    <w:rsid w:val="73CA0659"/>
    <w:rsid w:val="73E033D8"/>
    <w:rsid w:val="73EB2D6F"/>
    <w:rsid w:val="73FB1304"/>
    <w:rsid w:val="7425710E"/>
    <w:rsid w:val="744E3F6C"/>
    <w:rsid w:val="746849B8"/>
    <w:rsid w:val="747B18F9"/>
    <w:rsid w:val="74A93BDB"/>
    <w:rsid w:val="74AB5B98"/>
    <w:rsid w:val="74C57072"/>
    <w:rsid w:val="74F96D29"/>
    <w:rsid w:val="750E5B9D"/>
    <w:rsid w:val="75257945"/>
    <w:rsid w:val="75541D0B"/>
    <w:rsid w:val="756C19BE"/>
    <w:rsid w:val="75801955"/>
    <w:rsid w:val="758427D2"/>
    <w:rsid w:val="75C7339B"/>
    <w:rsid w:val="75E71E1F"/>
    <w:rsid w:val="76111B63"/>
    <w:rsid w:val="764C7DC9"/>
    <w:rsid w:val="769446C1"/>
    <w:rsid w:val="770242DE"/>
    <w:rsid w:val="772177A0"/>
    <w:rsid w:val="77444BC6"/>
    <w:rsid w:val="77642B72"/>
    <w:rsid w:val="77737259"/>
    <w:rsid w:val="779C4760"/>
    <w:rsid w:val="77A15B74"/>
    <w:rsid w:val="77F9775E"/>
    <w:rsid w:val="783F6DB8"/>
    <w:rsid w:val="784D3606"/>
    <w:rsid w:val="78AB1B91"/>
    <w:rsid w:val="78F527AA"/>
    <w:rsid w:val="79502FEA"/>
    <w:rsid w:val="79790F33"/>
    <w:rsid w:val="797B41A3"/>
    <w:rsid w:val="79A359C7"/>
    <w:rsid w:val="79D97982"/>
    <w:rsid w:val="79F208E7"/>
    <w:rsid w:val="7A09127E"/>
    <w:rsid w:val="7A2B3E1B"/>
    <w:rsid w:val="7A3A1D5B"/>
    <w:rsid w:val="7A583B2A"/>
    <w:rsid w:val="7A5F639F"/>
    <w:rsid w:val="7AA55D01"/>
    <w:rsid w:val="7AA82509"/>
    <w:rsid w:val="7AB21E46"/>
    <w:rsid w:val="7ACF7AC3"/>
    <w:rsid w:val="7AD955BA"/>
    <w:rsid w:val="7ADB139D"/>
    <w:rsid w:val="7AE3293B"/>
    <w:rsid w:val="7AFF7867"/>
    <w:rsid w:val="7B1B485F"/>
    <w:rsid w:val="7B92124D"/>
    <w:rsid w:val="7BA75723"/>
    <w:rsid w:val="7C5C2010"/>
    <w:rsid w:val="7C9148B7"/>
    <w:rsid w:val="7C9C51C5"/>
    <w:rsid w:val="7CA038CF"/>
    <w:rsid w:val="7CA777EF"/>
    <w:rsid w:val="7CAC0188"/>
    <w:rsid w:val="7CED7166"/>
    <w:rsid w:val="7D3E5C13"/>
    <w:rsid w:val="7D7500E4"/>
    <w:rsid w:val="7D771E48"/>
    <w:rsid w:val="7DAF3C2E"/>
    <w:rsid w:val="7DB20677"/>
    <w:rsid w:val="7DC225BC"/>
    <w:rsid w:val="7DDF2F52"/>
    <w:rsid w:val="7DEB7B49"/>
    <w:rsid w:val="7E4B683A"/>
    <w:rsid w:val="7E5A0659"/>
    <w:rsid w:val="7E894217"/>
    <w:rsid w:val="7EA14D0E"/>
    <w:rsid w:val="7EB20667"/>
    <w:rsid w:val="7EC36672"/>
    <w:rsid w:val="7EC37CA1"/>
    <w:rsid w:val="7EEC1916"/>
    <w:rsid w:val="7F141322"/>
    <w:rsid w:val="7F2E18A8"/>
    <w:rsid w:val="7F313903"/>
    <w:rsid w:val="7F3E3C5B"/>
    <w:rsid w:val="7F7D0304"/>
    <w:rsid w:val="7F9044A5"/>
    <w:rsid w:val="7F9E352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qFormat="1" w:unhideWhenUsed="0" w:uiPriority="0" w:semiHidden="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99"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0" w:name="Note Heading"/>
    <w:lsdException w:uiPriority="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99" w:semiHidden="0" w:name="Hyperlink"/>
    <w:lsdException w:qFormat="1" w:unhideWhenUsed="0" w:uiPriority="99"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link w:val="57"/>
    <w:qFormat/>
    <w:uiPriority w:val="0"/>
    <w:pPr>
      <w:keepNext/>
      <w:keepLines/>
      <w:spacing w:line="360" w:lineRule="auto"/>
      <w:outlineLvl w:val="0"/>
    </w:pPr>
    <w:rPr>
      <w:rFonts w:eastAsia="黑体"/>
      <w:b/>
      <w:bCs/>
      <w:kern w:val="44"/>
      <w:sz w:val="32"/>
      <w:szCs w:val="44"/>
    </w:rPr>
  </w:style>
  <w:style w:type="paragraph" w:styleId="5">
    <w:name w:val="heading 2"/>
    <w:basedOn w:val="1"/>
    <w:next w:val="1"/>
    <w:link w:val="56"/>
    <w:qFormat/>
    <w:uiPriority w:val="0"/>
    <w:pPr>
      <w:keepNext/>
      <w:keepLines/>
      <w:spacing w:before="60" w:after="60" w:line="413" w:lineRule="auto"/>
      <w:outlineLvl w:val="1"/>
    </w:pPr>
    <w:rPr>
      <w:rFonts w:ascii="Arial" w:hAnsi="Arial"/>
      <w:b/>
      <w:bCs/>
      <w:szCs w:val="32"/>
    </w:rPr>
  </w:style>
  <w:style w:type="paragraph" w:styleId="6">
    <w:name w:val="heading 3"/>
    <w:basedOn w:val="1"/>
    <w:next w:val="1"/>
    <w:link w:val="55"/>
    <w:qFormat/>
    <w:uiPriority w:val="0"/>
    <w:pPr>
      <w:keepNext/>
      <w:keepLines/>
      <w:spacing w:line="360" w:lineRule="auto"/>
      <w:outlineLvl w:val="2"/>
    </w:pPr>
    <w:rPr>
      <w:b/>
      <w:bCs/>
      <w:szCs w:val="32"/>
    </w:rPr>
  </w:style>
  <w:style w:type="paragraph" w:styleId="7">
    <w:name w:val="heading 4"/>
    <w:basedOn w:val="1"/>
    <w:next w:val="1"/>
    <w:link w:val="58"/>
    <w:qFormat/>
    <w:uiPriority w:val="0"/>
    <w:pPr>
      <w:keepNext/>
      <w:keepLines/>
      <w:spacing w:line="360" w:lineRule="auto"/>
      <w:outlineLvl w:val="3"/>
    </w:pPr>
    <w:rPr>
      <w:rFonts w:ascii="Arial" w:hAnsi="Arial"/>
      <w:b/>
      <w:bCs/>
      <w:szCs w:val="28"/>
    </w:rPr>
  </w:style>
  <w:style w:type="paragraph" w:styleId="8">
    <w:name w:val="heading 5"/>
    <w:basedOn w:val="1"/>
    <w:next w:val="1"/>
    <w:link w:val="62"/>
    <w:qFormat/>
    <w:uiPriority w:val="0"/>
    <w:pPr>
      <w:keepNext/>
      <w:keepLines/>
      <w:spacing w:before="280" w:after="290" w:line="376" w:lineRule="auto"/>
      <w:outlineLvl w:val="4"/>
    </w:pPr>
    <w:rPr>
      <w:b/>
      <w:bCs/>
      <w:sz w:val="28"/>
      <w:szCs w:val="28"/>
    </w:rPr>
  </w:style>
  <w:style w:type="paragraph" w:styleId="9">
    <w:name w:val="heading 6"/>
    <w:basedOn w:val="1"/>
    <w:next w:val="1"/>
    <w:link w:val="165"/>
    <w:qFormat/>
    <w:uiPriority w:val="0"/>
    <w:pPr>
      <w:keepNext/>
      <w:keepLines/>
      <w:spacing w:before="240" w:after="64" w:line="317" w:lineRule="auto"/>
      <w:outlineLvl w:val="5"/>
    </w:pPr>
    <w:rPr>
      <w:rFonts w:ascii="Cambria" w:hAnsi="Cambria"/>
      <w:b/>
      <w:bCs/>
      <w:sz w:val="24"/>
    </w:rPr>
  </w:style>
  <w:style w:type="paragraph" w:styleId="10">
    <w:name w:val="heading 7"/>
    <w:basedOn w:val="1"/>
    <w:next w:val="1"/>
    <w:link w:val="166"/>
    <w:qFormat/>
    <w:uiPriority w:val="0"/>
    <w:pPr>
      <w:keepNext/>
      <w:keepLines/>
      <w:spacing w:before="240" w:after="64" w:line="317" w:lineRule="auto"/>
      <w:outlineLvl w:val="6"/>
    </w:pPr>
    <w:rPr>
      <w:rFonts w:ascii="Calibri" w:hAnsi="Calibri"/>
      <w:b/>
      <w:bCs/>
      <w:sz w:val="24"/>
    </w:rPr>
  </w:style>
  <w:style w:type="paragraph" w:styleId="11">
    <w:name w:val="heading 8"/>
    <w:basedOn w:val="1"/>
    <w:next w:val="1"/>
    <w:link w:val="167"/>
    <w:qFormat/>
    <w:uiPriority w:val="0"/>
    <w:pPr>
      <w:keepNext/>
      <w:keepLines/>
      <w:spacing w:before="240" w:after="64" w:line="317" w:lineRule="auto"/>
      <w:outlineLvl w:val="7"/>
    </w:pPr>
    <w:rPr>
      <w:rFonts w:ascii="Cambria" w:hAnsi="Cambria"/>
      <w:sz w:val="24"/>
    </w:rPr>
  </w:style>
  <w:style w:type="paragraph" w:styleId="12">
    <w:name w:val="heading 9"/>
    <w:basedOn w:val="1"/>
    <w:next w:val="1"/>
    <w:link w:val="168"/>
    <w:qFormat/>
    <w:uiPriority w:val="0"/>
    <w:pPr>
      <w:keepNext/>
      <w:keepLines/>
      <w:spacing w:before="240" w:after="64" w:line="317" w:lineRule="auto"/>
      <w:outlineLvl w:val="8"/>
    </w:pPr>
    <w:rPr>
      <w:rFonts w:ascii="Cambria" w:hAnsi="Cambria"/>
      <w:szCs w:val="21"/>
    </w:rPr>
  </w:style>
  <w:style w:type="character" w:default="1" w:styleId="46">
    <w:name w:val="Default Paragraph Font"/>
    <w:semiHidden/>
    <w:unhideWhenUsed/>
    <w:qFormat/>
    <w:uiPriority w:val="1"/>
  </w:style>
  <w:style w:type="table" w:default="1" w:styleId="44">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qFormat/>
    <w:uiPriority w:val="0"/>
    <w:pPr>
      <w:ind w:firstLine="420" w:firstLineChars="200"/>
    </w:pPr>
  </w:style>
  <w:style w:type="paragraph" w:styleId="3">
    <w:name w:val="Body Text Indent"/>
    <w:basedOn w:val="1"/>
    <w:link w:val="121"/>
    <w:qFormat/>
    <w:uiPriority w:val="0"/>
    <w:pPr>
      <w:spacing w:before="240" w:line="360" w:lineRule="auto"/>
      <w:ind w:firstLine="552" w:firstLineChars="263"/>
    </w:pPr>
    <w:rPr>
      <w:rFonts w:ascii="宋体" w:hAnsi="宋体"/>
      <w:szCs w:val="20"/>
    </w:rPr>
  </w:style>
  <w:style w:type="paragraph" w:styleId="13">
    <w:name w:val="toc 7"/>
    <w:basedOn w:val="1"/>
    <w:next w:val="1"/>
    <w:qFormat/>
    <w:uiPriority w:val="39"/>
    <w:pPr>
      <w:ind w:left="2520" w:leftChars="1200"/>
    </w:pPr>
    <w:rPr>
      <w:rFonts w:ascii="Calibri" w:hAnsi="Calibri"/>
      <w:szCs w:val="22"/>
    </w:rPr>
  </w:style>
  <w:style w:type="paragraph" w:styleId="14">
    <w:name w:val="Normal Indent"/>
    <w:basedOn w:val="1"/>
    <w:qFormat/>
    <w:uiPriority w:val="0"/>
    <w:pPr>
      <w:widowControl/>
      <w:ind w:firstLine="420"/>
      <w:jc w:val="left"/>
    </w:pPr>
    <w:rPr>
      <w:sz w:val="20"/>
    </w:rPr>
  </w:style>
  <w:style w:type="paragraph" w:styleId="15">
    <w:name w:val="caption"/>
    <w:basedOn w:val="1"/>
    <w:next w:val="1"/>
    <w:qFormat/>
    <w:uiPriority w:val="0"/>
    <w:rPr>
      <w:rFonts w:ascii="Cambria" w:hAnsi="Cambria" w:eastAsia="黑体"/>
      <w:sz w:val="20"/>
      <w:szCs w:val="20"/>
    </w:rPr>
  </w:style>
  <w:style w:type="paragraph" w:styleId="16">
    <w:name w:val="Document Map"/>
    <w:basedOn w:val="1"/>
    <w:link w:val="82"/>
    <w:qFormat/>
    <w:uiPriority w:val="0"/>
    <w:pPr>
      <w:shd w:val="clear" w:color="auto" w:fill="000080"/>
    </w:pPr>
    <w:rPr>
      <w:shd w:val="clear" w:color="auto" w:fill="000080"/>
    </w:rPr>
  </w:style>
  <w:style w:type="paragraph" w:styleId="17">
    <w:name w:val="annotation text"/>
    <w:basedOn w:val="1"/>
    <w:link w:val="72"/>
    <w:qFormat/>
    <w:uiPriority w:val="99"/>
    <w:pPr>
      <w:jc w:val="left"/>
    </w:pPr>
  </w:style>
  <w:style w:type="paragraph" w:styleId="18">
    <w:name w:val="Body Text 3"/>
    <w:basedOn w:val="1"/>
    <w:link w:val="171"/>
    <w:qFormat/>
    <w:uiPriority w:val="0"/>
    <w:pPr>
      <w:spacing w:after="120"/>
    </w:pPr>
    <w:rPr>
      <w:sz w:val="16"/>
      <w:szCs w:val="16"/>
    </w:rPr>
  </w:style>
  <w:style w:type="paragraph" w:styleId="19">
    <w:name w:val="Body Text"/>
    <w:basedOn w:val="1"/>
    <w:link w:val="115"/>
    <w:qFormat/>
    <w:uiPriority w:val="0"/>
    <w:pPr>
      <w:adjustRightInd w:val="0"/>
      <w:spacing w:after="60" w:line="360" w:lineRule="atLeast"/>
      <w:ind w:left="72" w:leftChars="30" w:right="30" w:rightChars="30"/>
      <w:jc w:val="center"/>
      <w:textAlignment w:val="baseline"/>
    </w:pPr>
    <w:rPr>
      <w:szCs w:val="22"/>
    </w:rPr>
  </w:style>
  <w:style w:type="paragraph" w:styleId="20">
    <w:name w:val="index 4"/>
    <w:basedOn w:val="1"/>
    <w:next w:val="1"/>
    <w:qFormat/>
    <w:uiPriority w:val="0"/>
    <w:pPr>
      <w:ind w:left="600" w:leftChars="600"/>
    </w:pPr>
  </w:style>
  <w:style w:type="paragraph" w:styleId="21">
    <w:name w:val="toc 5"/>
    <w:basedOn w:val="1"/>
    <w:next w:val="1"/>
    <w:qFormat/>
    <w:uiPriority w:val="39"/>
    <w:pPr>
      <w:ind w:left="1680" w:leftChars="800"/>
    </w:pPr>
    <w:rPr>
      <w:rFonts w:ascii="Calibri" w:hAnsi="Calibri"/>
      <w:szCs w:val="22"/>
    </w:rPr>
  </w:style>
  <w:style w:type="paragraph" w:styleId="22">
    <w:name w:val="toc 3"/>
    <w:basedOn w:val="23"/>
    <w:next w:val="23"/>
    <w:qFormat/>
    <w:uiPriority w:val="39"/>
    <w:pPr>
      <w:ind w:left="840" w:leftChars="400"/>
    </w:pPr>
  </w:style>
  <w:style w:type="paragraph" w:customStyle="1" w:styleId="23">
    <w:name w:val="正文_0"/>
    <w:qFormat/>
    <w:uiPriority w:val="0"/>
    <w:pPr>
      <w:widowControl w:val="0"/>
      <w:jc w:val="both"/>
    </w:pPr>
    <w:rPr>
      <w:rFonts w:ascii="Calibri" w:hAnsi="Calibri" w:eastAsia="宋体" w:cs="Times New Roman"/>
      <w:kern w:val="2"/>
      <w:sz w:val="21"/>
      <w:szCs w:val="22"/>
      <w:lang w:val="en-US" w:eastAsia="zh-CN" w:bidi="ar-SA"/>
    </w:rPr>
  </w:style>
  <w:style w:type="paragraph" w:styleId="24">
    <w:name w:val="Plain Text"/>
    <w:basedOn w:val="1"/>
    <w:link w:val="73"/>
    <w:qFormat/>
    <w:uiPriority w:val="0"/>
    <w:rPr>
      <w:rFonts w:ascii="宋体" w:hAnsi="Courier New"/>
    </w:rPr>
  </w:style>
  <w:style w:type="paragraph" w:styleId="25">
    <w:name w:val="toc 8"/>
    <w:basedOn w:val="1"/>
    <w:next w:val="1"/>
    <w:qFormat/>
    <w:uiPriority w:val="39"/>
    <w:pPr>
      <w:ind w:left="2940" w:leftChars="1400"/>
    </w:pPr>
    <w:rPr>
      <w:rFonts w:ascii="Calibri" w:hAnsi="Calibri"/>
      <w:szCs w:val="22"/>
    </w:rPr>
  </w:style>
  <w:style w:type="paragraph" w:styleId="26">
    <w:name w:val="Date"/>
    <w:basedOn w:val="1"/>
    <w:next w:val="1"/>
    <w:link w:val="61"/>
    <w:qFormat/>
    <w:uiPriority w:val="0"/>
    <w:pPr>
      <w:ind w:left="100" w:leftChars="2500"/>
    </w:pPr>
  </w:style>
  <w:style w:type="paragraph" w:styleId="27">
    <w:name w:val="Body Text Indent 2"/>
    <w:basedOn w:val="1"/>
    <w:link w:val="128"/>
    <w:qFormat/>
    <w:uiPriority w:val="0"/>
    <w:pPr>
      <w:spacing w:after="120" w:line="480" w:lineRule="auto"/>
      <w:ind w:left="420" w:leftChars="200"/>
    </w:pPr>
  </w:style>
  <w:style w:type="paragraph" w:styleId="28">
    <w:name w:val="Balloon Text"/>
    <w:basedOn w:val="1"/>
    <w:link w:val="70"/>
    <w:qFormat/>
    <w:uiPriority w:val="0"/>
    <w:rPr>
      <w:sz w:val="18"/>
      <w:szCs w:val="18"/>
    </w:rPr>
  </w:style>
  <w:style w:type="paragraph" w:styleId="29">
    <w:name w:val="footer"/>
    <w:basedOn w:val="1"/>
    <w:link w:val="63"/>
    <w:qFormat/>
    <w:uiPriority w:val="99"/>
    <w:pPr>
      <w:tabs>
        <w:tab w:val="center" w:pos="4153"/>
        <w:tab w:val="right" w:pos="8306"/>
      </w:tabs>
      <w:snapToGrid w:val="0"/>
      <w:jc w:val="left"/>
    </w:pPr>
    <w:rPr>
      <w:sz w:val="18"/>
      <w:szCs w:val="18"/>
    </w:rPr>
  </w:style>
  <w:style w:type="paragraph" w:styleId="30">
    <w:name w:val="header"/>
    <w:basedOn w:val="1"/>
    <w:link w:val="117"/>
    <w:qFormat/>
    <w:uiPriority w:val="0"/>
    <w:pPr>
      <w:pBdr>
        <w:bottom w:val="single" w:color="auto" w:sz="6" w:space="1"/>
      </w:pBdr>
      <w:tabs>
        <w:tab w:val="center" w:pos="4153"/>
        <w:tab w:val="right" w:pos="8306"/>
      </w:tabs>
      <w:snapToGrid w:val="0"/>
      <w:jc w:val="center"/>
    </w:pPr>
    <w:rPr>
      <w:sz w:val="18"/>
      <w:szCs w:val="18"/>
    </w:rPr>
  </w:style>
  <w:style w:type="paragraph" w:styleId="31">
    <w:name w:val="toc 1"/>
    <w:basedOn w:val="1"/>
    <w:next w:val="1"/>
    <w:qFormat/>
    <w:uiPriority w:val="39"/>
    <w:pPr>
      <w:spacing w:before="60" w:line="400" w:lineRule="exact"/>
    </w:pPr>
    <w:rPr>
      <w:rFonts w:eastAsia="黑体"/>
    </w:rPr>
  </w:style>
  <w:style w:type="paragraph" w:styleId="32">
    <w:name w:val="toc 4"/>
    <w:basedOn w:val="23"/>
    <w:next w:val="23"/>
    <w:qFormat/>
    <w:uiPriority w:val="39"/>
    <w:pPr>
      <w:ind w:left="1260" w:leftChars="600"/>
    </w:pPr>
  </w:style>
  <w:style w:type="paragraph" w:styleId="33">
    <w:name w:val="Subtitle"/>
    <w:basedOn w:val="1"/>
    <w:next w:val="1"/>
    <w:link w:val="169"/>
    <w:qFormat/>
    <w:uiPriority w:val="0"/>
    <w:pPr>
      <w:spacing w:before="240" w:after="60" w:line="312" w:lineRule="auto"/>
      <w:jc w:val="center"/>
      <w:outlineLvl w:val="1"/>
    </w:pPr>
    <w:rPr>
      <w:rFonts w:ascii="Cambria" w:hAnsi="Cambria"/>
      <w:b/>
      <w:bCs/>
      <w:kern w:val="28"/>
      <w:sz w:val="32"/>
      <w:szCs w:val="32"/>
    </w:rPr>
  </w:style>
  <w:style w:type="paragraph" w:styleId="34">
    <w:name w:val="footnote text"/>
    <w:basedOn w:val="1"/>
    <w:link w:val="93"/>
    <w:qFormat/>
    <w:uiPriority w:val="0"/>
    <w:pPr>
      <w:adjustRightInd w:val="0"/>
      <w:spacing w:line="312" w:lineRule="atLeast"/>
      <w:jc w:val="left"/>
      <w:textAlignment w:val="baseline"/>
    </w:pPr>
    <w:rPr>
      <w:kern w:val="0"/>
      <w:sz w:val="18"/>
      <w:szCs w:val="20"/>
    </w:rPr>
  </w:style>
  <w:style w:type="paragraph" w:styleId="35">
    <w:name w:val="toc 6"/>
    <w:basedOn w:val="1"/>
    <w:next w:val="1"/>
    <w:qFormat/>
    <w:uiPriority w:val="39"/>
    <w:pPr>
      <w:ind w:left="2100" w:leftChars="1000"/>
    </w:pPr>
    <w:rPr>
      <w:rFonts w:ascii="Calibri" w:hAnsi="Calibri"/>
      <w:szCs w:val="22"/>
    </w:rPr>
  </w:style>
  <w:style w:type="paragraph" w:styleId="36">
    <w:name w:val="Body Text Indent 3"/>
    <w:basedOn w:val="1"/>
    <w:link w:val="175"/>
    <w:qFormat/>
    <w:uiPriority w:val="0"/>
    <w:pPr>
      <w:spacing w:after="120"/>
      <w:ind w:left="420" w:leftChars="200"/>
    </w:pPr>
    <w:rPr>
      <w:sz w:val="16"/>
      <w:szCs w:val="16"/>
    </w:rPr>
  </w:style>
  <w:style w:type="paragraph" w:styleId="37">
    <w:name w:val="toc 2"/>
    <w:basedOn w:val="1"/>
    <w:next w:val="1"/>
    <w:qFormat/>
    <w:uiPriority w:val="39"/>
    <w:pPr>
      <w:ind w:left="420" w:leftChars="200"/>
    </w:pPr>
    <w:rPr>
      <w:rFonts w:ascii="Calibri" w:hAnsi="Calibri"/>
      <w:szCs w:val="22"/>
    </w:rPr>
  </w:style>
  <w:style w:type="paragraph" w:styleId="38">
    <w:name w:val="toc 9"/>
    <w:basedOn w:val="1"/>
    <w:next w:val="1"/>
    <w:qFormat/>
    <w:uiPriority w:val="39"/>
    <w:pPr>
      <w:ind w:left="3360" w:leftChars="1600"/>
    </w:pPr>
    <w:rPr>
      <w:rFonts w:ascii="Calibri" w:hAnsi="Calibri"/>
      <w:szCs w:val="22"/>
    </w:rPr>
  </w:style>
  <w:style w:type="paragraph" w:styleId="39">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40">
    <w:name w:val="index 1"/>
    <w:basedOn w:val="1"/>
    <w:next w:val="1"/>
    <w:qFormat/>
    <w:uiPriority w:val="0"/>
    <w:pPr>
      <w:spacing w:line="220" w:lineRule="exact"/>
      <w:jc w:val="center"/>
    </w:pPr>
    <w:rPr>
      <w:rFonts w:ascii="仿宋_GB2312" w:eastAsia="仿宋_GB2312"/>
      <w:szCs w:val="21"/>
    </w:rPr>
  </w:style>
  <w:style w:type="paragraph" w:styleId="41">
    <w:name w:val="Title"/>
    <w:basedOn w:val="1"/>
    <w:next w:val="1"/>
    <w:link w:val="127"/>
    <w:qFormat/>
    <w:uiPriority w:val="0"/>
    <w:pPr>
      <w:spacing w:before="240" w:after="60"/>
      <w:jc w:val="center"/>
      <w:outlineLvl w:val="0"/>
    </w:pPr>
    <w:rPr>
      <w:rFonts w:ascii="Cambria" w:hAnsi="Cambria"/>
      <w:b/>
      <w:bCs/>
      <w:sz w:val="32"/>
      <w:szCs w:val="32"/>
    </w:rPr>
  </w:style>
  <w:style w:type="paragraph" w:styleId="42">
    <w:name w:val="annotation subject"/>
    <w:basedOn w:val="17"/>
    <w:next w:val="17"/>
    <w:link w:val="69"/>
    <w:qFormat/>
    <w:uiPriority w:val="0"/>
    <w:rPr>
      <w:b/>
      <w:bCs/>
    </w:rPr>
  </w:style>
  <w:style w:type="paragraph" w:styleId="43">
    <w:name w:val="Body Text First Indent"/>
    <w:basedOn w:val="1"/>
    <w:link w:val="173"/>
    <w:qFormat/>
    <w:uiPriority w:val="0"/>
    <w:pPr>
      <w:spacing w:line="312" w:lineRule="auto"/>
      <w:ind w:firstLine="420"/>
    </w:pPr>
  </w:style>
  <w:style w:type="table" w:styleId="45">
    <w:name w:val="Table Grid"/>
    <w:basedOn w:val="4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7">
    <w:name w:val="Strong"/>
    <w:qFormat/>
    <w:uiPriority w:val="0"/>
    <w:rPr>
      <w:b/>
      <w:bCs/>
    </w:rPr>
  </w:style>
  <w:style w:type="character" w:styleId="48">
    <w:name w:val="page number"/>
    <w:basedOn w:val="46"/>
    <w:qFormat/>
    <w:uiPriority w:val="0"/>
  </w:style>
  <w:style w:type="character" w:styleId="49">
    <w:name w:val="FollowedHyperlink"/>
    <w:qFormat/>
    <w:uiPriority w:val="99"/>
    <w:rPr>
      <w:color w:val="DD8905"/>
      <w:u w:val="none"/>
    </w:rPr>
  </w:style>
  <w:style w:type="character" w:styleId="50">
    <w:name w:val="Emphasis"/>
    <w:qFormat/>
    <w:uiPriority w:val="0"/>
    <w:rPr>
      <w:i/>
      <w:iCs/>
    </w:rPr>
  </w:style>
  <w:style w:type="character" w:styleId="51">
    <w:name w:val="Hyperlink"/>
    <w:qFormat/>
    <w:uiPriority w:val="99"/>
    <w:rPr>
      <w:color w:val="000000"/>
      <w:u w:val="none"/>
    </w:rPr>
  </w:style>
  <w:style w:type="character" w:styleId="52">
    <w:name w:val="annotation reference"/>
    <w:qFormat/>
    <w:uiPriority w:val="0"/>
    <w:rPr>
      <w:sz w:val="21"/>
      <w:szCs w:val="21"/>
    </w:rPr>
  </w:style>
  <w:style w:type="character" w:styleId="53">
    <w:name w:val="footnote reference"/>
    <w:basedOn w:val="46"/>
    <w:qFormat/>
    <w:uiPriority w:val="0"/>
    <w:rPr>
      <w:vertAlign w:val="superscript"/>
    </w:rPr>
  </w:style>
  <w:style w:type="paragraph" w:customStyle="1" w:styleId="54">
    <w:name w:val="样式2"/>
    <w:basedOn w:val="6"/>
    <w:next w:val="1"/>
    <w:qFormat/>
    <w:uiPriority w:val="0"/>
    <w:pPr>
      <w:spacing w:before="260" w:after="260" w:line="415" w:lineRule="auto"/>
      <w:ind w:firstLine="137" w:firstLineChars="49"/>
    </w:pPr>
    <w:rPr>
      <w:rFonts w:ascii="黑体" w:hAnsi="宋体"/>
      <w:b w:val="0"/>
      <w:i/>
      <w:sz w:val="28"/>
      <w:szCs w:val="28"/>
    </w:rPr>
  </w:style>
  <w:style w:type="character" w:customStyle="1" w:styleId="55">
    <w:name w:val="标题 3 Char"/>
    <w:link w:val="6"/>
    <w:qFormat/>
    <w:uiPriority w:val="0"/>
    <w:rPr>
      <w:rFonts w:eastAsia="宋体"/>
      <w:b/>
      <w:bCs/>
      <w:kern w:val="2"/>
      <w:sz w:val="21"/>
      <w:szCs w:val="32"/>
      <w:lang w:bidi="ar-SA"/>
    </w:rPr>
  </w:style>
  <w:style w:type="character" w:customStyle="1" w:styleId="56">
    <w:name w:val="标题 2 Char"/>
    <w:link w:val="5"/>
    <w:qFormat/>
    <w:uiPriority w:val="9"/>
    <w:rPr>
      <w:rFonts w:ascii="Arial" w:hAnsi="Arial" w:eastAsia="宋体"/>
      <w:b/>
      <w:bCs/>
      <w:kern w:val="2"/>
      <w:sz w:val="21"/>
      <w:szCs w:val="32"/>
      <w:lang w:bidi="ar-SA"/>
    </w:rPr>
  </w:style>
  <w:style w:type="character" w:customStyle="1" w:styleId="57">
    <w:name w:val="标题 1 Char"/>
    <w:link w:val="4"/>
    <w:qFormat/>
    <w:uiPriority w:val="0"/>
    <w:rPr>
      <w:rFonts w:eastAsia="黑体"/>
      <w:b/>
      <w:bCs/>
      <w:kern w:val="44"/>
      <w:sz w:val="32"/>
      <w:szCs w:val="44"/>
      <w:lang w:bidi="ar-SA"/>
    </w:rPr>
  </w:style>
  <w:style w:type="character" w:customStyle="1" w:styleId="58">
    <w:name w:val="标题 4 Char"/>
    <w:link w:val="7"/>
    <w:qFormat/>
    <w:uiPriority w:val="0"/>
    <w:rPr>
      <w:rFonts w:ascii="Arial" w:hAnsi="Arial" w:eastAsia="宋体"/>
      <w:b/>
      <w:bCs/>
      <w:kern w:val="2"/>
      <w:sz w:val="21"/>
      <w:szCs w:val="28"/>
      <w:lang w:val="en-US" w:eastAsia="zh-CN" w:bidi="ar-SA"/>
    </w:rPr>
  </w:style>
  <w:style w:type="character" w:customStyle="1" w:styleId="59">
    <w:name w:val="Char Char91"/>
    <w:qFormat/>
    <w:uiPriority w:val="0"/>
    <w:rPr>
      <w:rFonts w:eastAsia="宋体"/>
      <w:b/>
      <w:bCs/>
      <w:kern w:val="44"/>
      <w:sz w:val="32"/>
      <w:szCs w:val="44"/>
      <w:lang w:val="en-US" w:eastAsia="zh-CN" w:bidi="ar-SA"/>
    </w:rPr>
  </w:style>
  <w:style w:type="character" w:customStyle="1" w:styleId="60">
    <w:name w:val="纯文本 Char1"/>
    <w:qFormat/>
    <w:uiPriority w:val="0"/>
    <w:rPr>
      <w:rFonts w:ascii="宋体" w:hAnsi="Courier New" w:eastAsia="宋体" w:cs="Courier New"/>
      <w:szCs w:val="21"/>
    </w:rPr>
  </w:style>
  <w:style w:type="character" w:customStyle="1" w:styleId="61">
    <w:name w:val="日期 Char"/>
    <w:link w:val="26"/>
    <w:qFormat/>
    <w:uiPriority w:val="0"/>
    <w:rPr>
      <w:kern w:val="2"/>
      <w:sz w:val="21"/>
      <w:szCs w:val="24"/>
      <w:lang w:bidi="ar-SA"/>
    </w:rPr>
  </w:style>
  <w:style w:type="character" w:customStyle="1" w:styleId="62">
    <w:name w:val="标题 5 Char"/>
    <w:link w:val="8"/>
    <w:qFormat/>
    <w:uiPriority w:val="0"/>
    <w:rPr>
      <w:rFonts w:eastAsia="宋体"/>
      <w:b/>
      <w:bCs/>
      <w:kern w:val="2"/>
      <w:sz w:val="28"/>
      <w:szCs w:val="28"/>
      <w:lang w:val="en-US" w:eastAsia="zh-CN" w:bidi="ar-SA"/>
    </w:rPr>
  </w:style>
  <w:style w:type="character" w:customStyle="1" w:styleId="63">
    <w:name w:val="页脚 Char"/>
    <w:link w:val="29"/>
    <w:qFormat/>
    <w:uiPriority w:val="99"/>
    <w:rPr>
      <w:kern w:val="2"/>
      <w:sz w:val="18"/>
      <w:szCs w:val="18"/>
      <w:lang w:bidi="ar-SA"/>
    </w:rPr>
  </w:style>
  <w:style w:type="character" w:customStyle="1" w:styleId="64">
    <w:name w:val="批注框文本 Char1"/>
    <w:qFormat/>
    <w:uiPriority w:val="0"/>
    <w:rPr>
      <w:rFonts w:ascii="Times New Roman" w:hAnsi="Times New Roman" w:eastAsia="宋体" w:cs="Times New Roman"/>
      <w:sz w:val="18"/>
      <w:szCs w:val="18"/>
    </w:rPr>
  </w:style>
  <w:style w:type="character" w:customStyle="1" w:styleId="65">
    <w:name w:val="Plain Text Char"/>
    <w:qFormat/>
    <w:uiPriority w:val="0"/>
    <w:rPr>
      <w:rFonts w:ascii="宋体" w:hAnsi="Courier New" w:eastAsia="宋体"/>
      <w:sz w:val="24"/>
      <w:lang w:bidi="ar-SA"/>
    </w:rPr>
  </w:style>
  <w:style w:type="character" w:customStyle="1" w:styleId="66">
    <w:name w:val="Body Text Indent Char"/>
    <w:qFormat/>
    <w:uiPriority w:val="0"/>
    <w:rPr>
      <w:rFonts w:ascii="宋体" w:hAnsi="宋体" w:eastAsia="宋体"/>
      <w:kern w:val="2"/>
      <w:sz w:val="21"/>
      <w:lang w:val="en-US" w:eastAsia="zh-CN" w:bidi="ar-SA"/>
    </w:rPr>
  </w:style>
  <w:style w:type="character" w:customStyle="1" w:styleId="67">
    <w:name w:val="批注文字 Char1"/>
    <w:qFormat/>
    <w:uiPriority w:val="0"/>
    <w:rPr>
      <w:rFonts w:ascii="Times New Roman" w:hAnsi="Times New Roman" w:eastAsia="宋体" w:cs="Times New Roman"/>
      <w:szCs w:val="24"/>
    </w:rPr>
  </w:style>
  <w:style w:type="character" w:customStyle="1" w:styleId="68">
    <w:name w:val="Body Text Indent 2 Char"/>
    <w:qFormat/>
    <w:uiPriority w:val="0"/>
    <w:rPr>
      <w:rFonts w:eastAsia="宋体"/>
      <w:kern w:val="2"/>
      <w:sz w:val="21"/>
      <w:szCs w:val="24"/>
      <w:lang w:val="en-US" w:eastAsia="zh-CN" w:bidi="ar-SA"/>
    </w:rPr>
  </w:style>
  <w:style w:type="character" w:customStyle="1" w:styleId="69">
    <w:name w:val="批注主题 Char"/>
    <w:link w:val="42"/>
    <w:qFormat/>
    <w:uiPriority w:val="0"/>
    <w:rPr>
      <w:b/>
      <w:bCs/>
      <w:kern w:val="2"/>
      <w:sz w:val="21"/>
      <w:szCs w:val="24"/>
      <w:lang w:bidi="ar-SA"/>
    </w:rPr>
  </w:style>
  <w:style w:type="character" w:customStyle="1" w:styleId="70">
    <w:name w:val="批注框文本 Char"/>
    <w:link w:val="28"/>
    <w:qFormat/>
    <w:uiPriority w:val="0"/>
    <w:rPr>
      <w:kern w:val="2"/>
      <w:sz w:val="18"/>
      <w:szCs w:val="18"/>
      <w:lang w:bidi="ar-SA"/>
    </w:rPr>
  </w:style>
  <w:style w:type="character" w:customStyle="1" w:styleId="71">
    <w:name w:val="Char Char23"/>
    <w:qFormat/>
    <w:uiPriority w:val="0"/>
    <w:rPr>
      <w:rFonts w:eastAsia="宋体"/>
      <w:b/>
      <w:bCs/>
      <w:kern w:val="44"/>
      <w:sz w:val="32"/>
      <w:szCs w:val="44"/>
      <w:lang w:val="en-US" w:eastAsia="zh-CN" w:bidi="ar-SA"/>
    </w:rPr>
  </w:style>
  <w:style w:type="character" w:customStyle="1" w:styleId="72">
    <w:name w:val="批注文字 Char2"/>
    <w:link w:val="17"/>
    <w:qFormat/>
    <w:uiPriority w:val="0"/>
    <w:rPr>
      <w:rFonts w:eastAsia="宋体"/>
      <w:kern w:val="2"/>
      <w:sz w:val="21"/>
      <w:szCs w:val="24"/>
      <w:lang w:val="en-US" w:eastAsia="zh-CN" w:bidi="ar-SA"/>
    </w:rPr>
  </w:style>
  <w:style w:type="character" w:customStyle="1" w:styleId="73">
    <w:name w:val="纯文本 Char"/>
    <w:link w:val="24"/>
    <w:qFormat/>
    <w:uiPriority w:val="0"/>
    <w:rPr>
      <w:rFonts w:ascii="宋体" w:hAnsi="Courier New" w:eastAsia="宋体"/>
      <w:kern w:val="2"/>
      <w:sz w:val="21"/>
      <w:szCs w:val="24"/>
      <w:lang w:val="en-US" w:eastAsia="zh-CN" w:bidi="ar-SA"/>
    </w:rPr>
  </w:style>
  <w:style w:type="character" w:customStyle="1" w:styleId="74">
    <w:name w:val="Heading 4 Char"/>
    <w:qFormat/>
    <w:uiPriority w:val="0"/>
    <w:rPr>
      <w:rFonts w:ascii="Arial" w:hAnsi="Arial" w:eastAsia="宋体"/>
      <w:b/>
      <w:bCs/>
      <w:kern w:val="2"/>
      <w:sz w:val="21"/>
      <w:szCs w:val="28"/>
      <w:lang w:val="en-US" w:eastAsia="zh-CN" w:bidi="ar-SA"/>
    </w:rPr>
  </w:style>
  <w:style w:type="character" w:customStyle="1" w:styleId="75">
    <w:name w:val="书籍标题1"/>
    <w:qFormat/>
    <w:uiPriority w:val="0"/>
    <w:rPr>
      <w:b/>
      <w:bCs/>
      <w:smallCaps/>
      <w:spacing w:val="5"/>
    </w:rPr>
  </w:style>
  <w:style w:type="character" w:customStyle="1" w:styleId="76">
    <w:name w:val="Heading 3 Char"/>
    <w:qFormat/>
    <w:uiPriority w:val="0"/>
    <w:rPr>
      <w:rFonts w:cs="Times New Roman"/>
      <w:b/>
      <w:bCs/>
      <w:kern w:val="2"/>
      <w:sz w:val="32"/>
      <w:szCs w:val="32"/>
    </w:rPr>
  </w:style>
  <w:style w:type="character" w:customStyle="1" w:styleId="77">
    <w:name w:val="明显强调1"/>
    <w:qFormat/>
    <w:uiPriority w:val="0"/>
    <w:rPr>
      <w:b/>
      <w:bCs/>
      <w:i/>
      <w:iCs/>
      <w:color w:val="4F81BD"/>
    </w:rPr>
  </w:style>
  <w:style w:type="character" w:customStyle="1" w:styleId="78">
    <w:name w:val="标题4 Char Char"/>
    <w:link w:val="79"/>
    <w:qFormat/>
    <w:uiPriority w:val="0"/>
    <w:rPr>
      <w:rFonts w:ascii="Arial" w:hAnsi="Arial"/>
      <w:b/>
      <w:bCs/>
      <w:sz w:val="24"/>
      <w:szCs w:val="32"/>
      <w:lang w:bidi="ar-SA"/>
    </w:rPr>
  </w:style>
  <w:style w:type="paragraph" w:customStyle="1" w:styleId="79">
    <w:name w:val="标题4"/>
    <w:basedOn w:val="5"/>
    <w:next w:val="20"/>
    <w:link w:val="78"/>
    <w:qFormat/>
    <w:uiPriority w:val="0"/>
    <w:rPr>
      <w:kern w:val="0"/>
      <w:sz w:val="24"/>
    </w:rPr>
  </w:style>
  <w:style w:type="character" w:customStyle="1" w:styleId="80">
    <w:name w:val="正文文本 Char1"/>
    <w:qFormat/>
    <w:uiPriority w:val="0"/>
    <w:rPr>
      <w:kern w:val="2"/>
      <w:sz w:val="21"/>
      <w:szCs w:val="22"/>
    </w:rPr>
  </w:style>
  <w:style w:type="character" w:customStyle="1" w:styleId="81">
    <w:name w:val="Footnote Text Char"/>
    <w:qFormat/>
    <w:uiPriority w:val="0"/>
    <w:rPr>
      <w:rFonts w:eastAsia="宋体"/>
      <w:sz w:val="18"/>
      <w:lang w:val="en-US" w:eastAsia="zh-CN" w:bidi="ar-SA"/>
    </w:rPr>
  </w:style>
  <w:style w:type="character" w:customStyle="1" w:styleId="82">
    <w:name w:val="文档结构图 Char"/>
    <w:link w:val="16"/>
    <w:qFormat/>
    <w:uiPriority w:val="0"/>
    <w:rPr>
      <w:kern w:val="2"/>
      <w:sz w:val="21"/>
      <w:szCs w:val="24"/>
      <w:shd w:val="clear" w:color="auto" w:fill="000080"/>
      <w:lang w:bidi="ar-SA"/>
    </w:rPr>
  </w:style>
  <w:style w:type="character" w:customStyle="1" w:styleId="83">
    <w:name w:val="Comment Subject Char"/>
    <w:qFormat/>
    <w:uiPriority w:val="0"/>
    <w:rPr>
      <w:b/>
      <w:sz w:val="24"/>
      <w:lang w:bidi="ar-SA"/>
    </w:rPr>
  </w:style>
  <w:style w:type="character" w:customStyle="1" w:styleId="84">
    <w:name w:val="明显引用 Char1"/>
    <w:qFormat/>
    <w:uiPriority w:val="30"/>
    <w:rPr>
      <w:rFonts w:ascii="Times New Roman" w:hAnsi="Times New Roman" w:eastAsia="宋体" w:cs="Times New Roman"/>
      <w:b/>
      <w:bCs/>
      <w:i/>
      <w:iCs/>
      <w:color w:val="4F81BD"/>
      <w:szCs w:val="24"/>
    </w:rPr>
  </w:style>
  <w:style w:type="character" w:customStyle="1" w:styleId="85">
    <w:name w:val="Char Char18"/>
    <w:qFormat/>
    <w:uiPriority w:val="0"/>
    <w:rPr>
      <w:rFonts w:ascii="Times New Roman" w:hAnsi="Times New Roman" w:eastAsia="宋体" w:cs="Times New Roman"/>
      <w:b/>
      <w:bCs/>
      <w:sz w:val="28"/>
      <w:szCs w:val="28"/>
    </w:rPr>
  </w:style>
  <w:style w:type="character" w:customStyle="1" w:styleId="86">
    <w:name w:val="明显参考1"/>
    <w:qFormat/>
    <w:uiPriority w:val="0"/>
    <w:rPr>
      <w:b/>
      <w:bCs/>
      <w:smallCaps/>
      <w:color w:val="C0504D"/>
      <w:spacing w:val="5"/>
      <w:u w:val="single"/>
    </w:rPr>
  </w:style>
  <w:style w:type="character" w:customStyle="1" w:styleId="87">
    <w:name w:val="超链接_0"/>
    <w:qFormat/>
    <w:uiPriority w:val="99"/>
    <w:rPr>
      <w:rFonts w:ascii="Calibri" w:hAnsi="Calibri" w:cs="Times New Roman"/>
      <w:color w:val="0000FF"/>
      <w:u w:val="single"/>
    </w:rPr>
  </w:style>
  <w:style w:type="character" w:customStyle="1" w:styleId="88">
    <w:name w:val="Title Char"/>
    <w:qFormat/>
    <w:uiPriority w:val="0"/>
    <w:rPr>
      <w:rFonts w:ascii="Cambria" w:hAnsi="Cambria"/>
      <w:b/>
      <w:sz w:val="32"/>
      <w:lang w:bidi="ar-SA"/>
    </w:rPr>
  </w:style>
  <w:style w:type="character" w:customStyle="1" w:styleId="89">
    <w:name w:val="Balloon Text Char"/>
    <w:qFormat/>
    <w:uiPriority w:val="0"/>
    <w:rPr>
      <w:sz w:val="18"/>
      <w:lang w:bidi="ar-SA"/>
    </w:rPr>
  </w:style>
  <w:style w:type="character" w:customStyle="1" w:styleId="90">
    <w:name w:val="Char Char20"/>
    <w:qFormat/>
    <w:uiPriority w:val="0"/>
    <w:rPr>
      <w:rFonts w:ascii="Times New Roman" w:hAnsi="Times New Roman" w:eastAsia="宋体" w:cs="Times New Roman"/>
      <w:b/>
      <w:bCs/>
      <w:sz w:val="24"/>
      <w:szCs w:val="32"/>
    </w:rPr>
  </w:style>
  <w:style w:type="character" w:customStyle="1" w:styleId="91">
    <w:name w:val="Header Char"/>
    <w:qFormat/>
    <w:uiPriority w:val="0"/>
    <w:rPr>
      <w:rFonts w:eastAsia="宋体"/>
      <w:kern w:val="2"/>
      <w:sz w:val="18"/>
      <w:szCs w:val="18"/>
      <w:lang w:val="en-US" w:eastAsia="zh-CN" w:bidi="ar-SA"/>
    </w:rPr>
  </w:style>
  <w:style w:type="character" w:customStyle="1" w:styleId="92">
    <w:name w:val="文档结构图 Char1"/>
    <w:qFormat/>
    <w:uiPriority w:val="0"/>
    <w:rPr>
      <w:rFonts w:ascii="宋体" w:hAnsi="Times New Roman" w:eastAsia="宋体" w:cs="Times New Roman"/>
      <w:sz w:val="18"/>
      <w:szCs w:val="18"/>
    </w:rPr>
  </w:style>
  <w:style w:type="character" w:customStyle="1" w:styleId="93">
    <w:name w:val="脚注文本 Char"/>
    <w:link w:val="34"/>
    <w:qFormat/>
    <w:uiPriority w:val="0"/>
    <w:rPr>
      <w:sz w:val="18"/>
      <w:lang w:bidi="ar-SA"/>
    </w:rPr>
  </w:style>
  <w:style w:type="character" w:customStyle="1" w:styleId="94">
    <w:name w:val="Heading 5 Char"/>
    <w:qFormat/>
    <w:uiPriority w:val="0"/>
    <w:rPr>
      <w:rFonts w:eastAsia="宋体"/>
      <w:b/>
      <w:bCs/>
      <w:kern w:val="2"/>
      <w:sz w:val="28"/>
      <w:szCs w:val="28"/>
      <w:lang w:val="en-US" w:eastAsia="zh-CN" w:bidi="ar-SA"/>
    </w:rPr>
  </w:style>
  <w:style w:type="character" w:customStyle="1" w:styleId="95">
    <w:name w:val="Heading 1 Char"/>
    <w:qFormat/>
    <w:uiPriority w:val="0"/>
    <w:rPr>
      <w:rFonts w:eastAsia="宋体"/>
      <w:b/>
      <w:bCs/>
      <w:kern w:val="44"/>
      <w:sz w:val="32"/>
      <w:szCs w:val="44"/>
      <w:lang w:val="en-US" w:eastAsia="zh-CN" w:bidi="ar-SA"/>
    </w:rPr>
  </w:style>
  <w:style w:type="character" w:customStyle="1" w:styleId="96">
    <w:name w:val="引用 Char"/>
    <w:link w:val="97"/>
    <w:qFormat/>
    <w:uiPriority w:val="0"/>
    <w:rPr>
      <w:i/>
      <w:iCs/>
      <w:color w:val="000000"/>
      <w:lang w:bidi="ar-SA"/>
    </w:rPr>
  </w:style>
  <w:style w:type="paragraph" w:styleId="97">
    <w:name w:val="Quote"/>
    <w:basedOn w:val="1"/>
    <w:next w:val="1"/>
    <w:link w:val="96"/>
    <w:qFormat/>
    <w:uiPriority w:val="0"/>
    <w:rPr>
      <w:i/>
      <w:iCs/>
      <w:color w:val="000000"/>
      <w:kern w:val="0"/>
      <w:sz w:val="20"/>
      <w:szCs w:val="20"/>
    </w:rPr>
  </w:style>
  <w:style w:type="character" w:customStyle="1" w:styleId="98">
    <w:name w:val="Char Char22"/>
    <w:qFormat/>
    <w:uiPriority w:val="0"/>
    <w:rPr>
      <w:rFonts w:ascii="Times New Roman" w:hAnsi="Times New Roman" w:eastAsia="宋体" w:cs="Times New Roman"/>
      <w:b/>
      <w:bCs/>
      <w:kern w:val="44"/>
      <w:sz w:val="32"/>
      <w:szCs w:val="44"/>
    </w:rPr>
  </w:style>
  <w:style w:type="character" w:customStyle="1" w:styleId="99">
    <w:name w:val="Heading 3 Char1"/>
    <w:qFormat/>
    <w:uiPriority w:val="0"/>
    <w:rPr>
      <w:rFonts w:eastAsia="宋体"/>
      <w:b/>
      <w:bCs/>
      <w:kern w:val="2"/>
      <w:sz w:val="24"/>
      <w:szCs w:val="32"/>
      <w:lang w:val="en-US" w:eastAsia="zh-CN" w:bidi="ar-SA"/>
    </w:rPr>
  </w:style>
  <w:style w:type="character" w:customStyle="1" w:styleId="100">
    <w:name w:val="明显引用 Char"/>
    <w:link w:val="101"/>
    <w:qFormat/>
    <w:uiPriority w:val="0"/>
    <w:rPr>
      <w:b/>
      <w:bCs/>
      <w:i/>
      <w:iCs/>
      <w:color w:val="4F81BD"/>
      <w:lang w:bidi="ar-SA"/>
    </w:rPr>
  </w:style>
  <w:style w:type="paragraph" w:styleId="101">
    <w:name w:val="Intense Quote"/>
    <w:basedOn w:val="1"/>
    <w:next w:val="1"/>
    <w:link w:val="100"/>
    <w:qFormat/>
    <w:uiPriority w:val="0"/>
    <w:pPr>
      <w:pBdr>
        <w:bottom w:val="single" w:color="4F81BD" w:sz="4" w:space="4"/>
      </w:pBdr>
      <w:spacing w:before="200" w:after="280"/>
      <w:ind w:left="936" w:right="936"/>
    </w:pPr>
    <w:rPr>
      <w:b/>
      <w:bCs/>
      <w:i/>
      <w:iCs/>
      <w:color w:val="4F81BD"/>
      <w:kern w:val="0"/>
      <w:sz w:val="20"/>
      <w:szCs w:val="20"/>
    </w:rPr>
  </w:style>
  <w:style w:type="character" w:customStyle="1" w:styleId="102">
    <w:name w:val="标题5 Char Char"/>
    <w:link w:val="103"/>
    <w:qFormat/>
    <w:uiPriority w:val="0"/>
    <w:rPr>
      <w:rFonts w:ascii="Arial" w:hAnsi="Arial"/>
      <w:b/>
      <w:bCs/>
      <w:sz w:val="24"/>
      <w:szCs w:val="32"/>
      <w:lang w:bidi="ar-SA"/>
    </w:rPr>
  </w:style>
  <w:style w:type="paragraph" w:customStyle="1" w:styleId="103">
    <w:name w:val="标题5"/>
    <w:basedOn w:val="6"/>
    <w:link w:val="102"/>
    <w:qFormat/>
    <w:uiPriority w:val="0"/>
    <w:pPr>
      <w:spacing w:before="260" w:after="260" w:line="413" w:lineRule="auto"/>
    </w:pPr>
    <w:rPr>
      <w:rFonts w:ascii="Arial" w:hAnsi="Arial"/>
      <w:kern w:val="0"/>
      <w:sz w:val="24"/>
    </w:rPr>
  </w:style>
  <w:style w:type="character" w:customStyle="1" w:styleId="104">
    <w:name w:val="Char Char181"/>
    <w:qFormat/>
    <w:uiPriority w:val="0"/>
    <w:rPr>
      <w:b/>
      <w:bCs/>
      <w:kern w:val="44"/>
      <w:sz w:val="44"/>
      <w:szCs w:val="44"/>
    </w:rPr>
  </w:style>
  <w:style w:type="character" w:customStyle="1" w:styleId="105">
    <w:name w:val="Char Char9"/>
    <w:qFormat/>
    <w:uiPriority w:val="0"/>
    <w:rPr>
      <w:rFonts w:eastAsia="宋体"/>
      <w:b/>
      <w:bCs/>
      <w:kern w:val="44"/>
      <w:sz w:val="32"/>
      <w:szCs w:val="44"/>
      <w:lang w:val="en-US" w:eastAsia="zh-CN" w:bidi="ar-SA"/>
    </w:rPr>
  </w:style>
  <w:style w:type="character" w:customStyle="1" w:styleId="106">
    <w:name w:val="Char Char19"/>
    <w:qFormat/>
    <w:uiPriority w:val="0"/>
    <w:rPr>
      <w:rFonts w:ascii="Arial" w:hAnsi="Arial" w:eastAsia="宋体" w:cs="Times New Roman"/>
      <w:b/>
      <w:bCs/>
      <w:szCs w:val="28"/>
    </w:rPr>
  </w:style>
  <w:style w:type="character" w:customStyle="1" w:styleId="107">
    <w:name w:val="标题 Char1"/>
    <w:qFormat/>
    <w:uiPriority w:val="10"/>
    <w:rPr>
      <w:rFonts w:ascii="Cambria" w:hAnsi="Cambria" w:eastAsia="宋体" w:cs="Times New Roman"/>
      <w:b/>
      <w:bCs/>
      <w:sz w:val="32"/>
      <w:szCs w:val="32"/>
    </w:rPr>
  </w:style>
  <w:style w:type="character" w:customStyle="1" w:styleId="108">
    <w:name w:val="Document Map Char"/>
    <w:qFormat/>
    <w:uiPriority w:val="0"/>
    <w:rPr>
      <w:rFonts w:eastAsia="宋体"/>
      <w:kern w:val="2"/>
      <w:sz w:val="21"/>
      <w:szCs w:val="24"/>
      <w:lang w:val="en-US" w:eastAsia="zh-CN" w:bidi="ar-SA"/>
    </w:rPr>
  </w:style>
  <w:style w:type="character" w:customStyle="1" w:styleId="109">
    <w:name w:val="标题 Char2"/>
    <w:qFormat/>
    <w:uiPriority w:val="0"/>
    <w:rPr>
      <w:rFonts w:ascii="Cambria" w:hAnsi="Cambria" w:eastAsia="宋体" w:cs="Times New Roman"/>
      <w:b/>
      <w:bCs/>
      <w:sz w:val="32"/>
      <w:szCs w:val="32"/>
    </w:rPr>
  </w:style>
  <w:style w:type="character" w:customStyle="1" w:styleId="110">
    <w:name w:val="批注文字 Char"/>
    <w:qFormat/>
    <w:uiPriority w:val="0"/>
    <w:rPr>
      <w:kern w:val="2"/>
      <w:sz w:val="21"/>
      <w:szCs w:val="24"/>
    </w:rPr>
  </w:style>
  <w:style w:type="character" w:customStyle="1" w:styleId="111">
    <w:name w:val="Comment Text Char1"/>
    <w:qFormat/>
    <w:uiPriority w:val="0"/>
    <w:rPr>
      <w:sz w:val="24"/>
      <w:lang w:bidi="ar-SA"/>
    </w:rPr>
  </w:style>
  <w:style w:type="character" w:customStyle="1" w:styleId="112">
    <w:name w:val="批注主题 Char1"/>
    <w:qFormat/>
    <w:uiPriority w:val="0"/>
    <w:rPr>
      <w:rFonts w:ascii="Times New Roman" w:hAnsi="Times New Roman" w:eastAsia="宋体" w:cs="Times New Roman"/>
      <w:b/>
      <w:bCs/>
      <w:szCs w:val="24"/>
    </w:rPr>
  </w:style>
  <w:style w:type="character" w:customStyle="1" w:styleId="113">
    <w:name w:val="批注文字 Char Char"/>
    <w:qFormat/>
    <w:uiPriority w:val="0"/>
    <w:rPr>
      <w:rFonts w:ascii="宋体" w:hAnsi="Times New Roman" w:eastAsia="宋体" w:cs="Times New Roman"/>
      <w:sz w:val="28"/>
      <w:szCs w:val="20"/>
    </w:rPr>
  </w:style>
  <w:style w:type="character" w:customStyle="1" w:styleId="114">
    <w:name w:val="Footer Char"/>
    <w:qFormat/>
    <w:uiPriority w:val="0"/>
    <w:rPr>
      <w:rFonts w:eastAsia="宋体"/>
      <w:kern w:val="2"/>
      <w:sz w:val="18"/>
      <w:szCs w:val="18"/>
      <w:lang w:val="en-US" w:eastAsia="zh-CN" w:bidi="ar-SA"/>
    </w:rPr>
  </w:style>
  <w:style w:type="character" w:customStyle="1" w:styleId="115">
    <w:name w:val="正文文本 Char"/>
    <w:link w:val="19"/>
    <w:qFormat/>
    <w:uiPriority w:val="0"/>
    <w:rPr>
      <w:rFonts w:eastAsia="宋体"/>
      <w:kern w:val="2"/>
      <w:sz w:val="21"/>
      <w:szCs w:val="22"/>
      <w:lang w:val="en-US" w:eastAsia="zh-CN" w:bidi="ar-SA"/>
    </w:rPr>
  </w:style>
  <w:style w:type="character" w:customStyle="1" w:styleId="116">
    <w:name w:val="Char Char6"/>
    <w:qFormat/>
    <w:uiPriority w:val="0"/>
    <w:rPr>
      <w:rFonts w:eastAsia="宋体"/>
      <w:b/>
      <w:bCs/>
      <w:kern w:val="44"/>
      <w:sz w:val="32"/>
      <w:szCs w:val="44"/>
      <w:lang w:val="en-US" w:eastAsia="zh-CN" w:bidi="ar-SA"/>
    </w:rPr>
  </w:style>
  <w:style w:type="character" w:customStyle="1" w:styleId="117">
    <w:name w:val="页眉 Char"/>
    <w:link w:val="30"/>
    <w:qFormat/>
    <w:uiPriority w:val="0"/>
    <w:rPr>
      <w:kern w:val="2"/>
      <w:sz w:val="18"/>
      <w:szCs w:val="18"/>
      <w:lang w:bidi="ar-SA"/>
    </w:rPr>
  </w:style>
  <w:style w:type="character" w:customStyle="1" w:styleId="118">
    <w:name w:val="日期 Char1"/>
    <w:qFormat/>
    <w:uiPriority w:val="0"/>
    <w:rPr>
      <w:rFonts w:ascii="Times New Roman" w:hAnsi="Times New Roman" w:eastAsia="宋体" w:cs="Times New Roman"/>
      <w:szCs w:val="24"/>
    </w:rPr>
  </w:style>
  <w:style w:type="character" w:customStyle="1" w:styleId="119">
    <w:name w:val="不明显强调1"/>
    <w:qFormat/>
    <w:uiPriority w:val="0"/>
    <w:rPr>
      <w:i/>
      <w:iCs/>
      <w:color w:val="808080"/>
    </w:rPr>
  </w:style>
  <w:style w:type="character" w:customStyle="1" w:styleId="120">
    <w:name w:val="不明显参考1"/>
    <w:qFormat/>
    <w:uiPriority w:val="0"/>
    <w:rPr>
      <w:smallCaps/>
      <w:color w:val="C0504D"/>
      <w:u w:val="single"/>
    </w:rPr>
  </w:style>
  <w:style w:type="character" w:customStyle="1" w:styleId="121">
    <w:name w:val="正文文本缩进 Char"/>
    <w:link w:val="3"/>
    <w:qFormat/>
    <w:uiPriority w:val="0"/>
    <w:rPr>
      <w:rFonts w:ascii="宋体" w:hAnsi="宋体"/>
      <w:kern w:val="2"/>
      <w:sz w:val="21"/>
      <w:lang w:bidi="ar-SA"/>
    </w:rPr>
  </w:style>
  <w:style w:type="character" w:customStyle="1" w:styleId="122">
    <w:name w:val="Char Char21"/>
    <w:qFormat/>
    <w:uiPriority w:val="0"/>
    <w:rPr>
      <w:rFonts w:ascii="Arial" w:hAnsi="Arial" w:eastAsia="黑体" w:cs="Times New Roman"/>
      <w:b/>
      <w:bCs/>
      <w:sz w:val="32"/>
      <w:szCs w:val="32"/>
    </w:rPr>
  </w:style>
  <w:style w:type="character" w:customStyle="1" w:styleId="123">
    <w:name w:val="Heading 2 Char"/>
    <w:qFormat/>
    <w:uiPriority w:val="0"/>
    <w:rPr>
      <w:rFonts w:ascii="Arial" w:hAnsi="Arial" w:eastAsia="黑体"/>
      <w:b/>
      <w:bCs/>
      <w:kern w:val="2"/>
      <w:sz w:val="32"/>
      <w:szCs w:val="32"/>
      <w:lang w:val="en-US" w:eastAsia="zh-CN" w:bidi="ar-SA"/>
    </w:rPr>
  </w:style>
  <w:style w:type="character" w:customStyle="1" w:styleId="124">
    <w:name w:val="Comment Text Char"/>
    <w:qFormat/>
    <w:uiPriority w:val="0"/>
    <w:rPr>
      <w:rFonts w:cs="Times New Roman"/>
      <w:sz w:val="24"/>
      <w:szCs w:val="24"/>
    </w:rPr>
  </w:style>
  <w:style w:type="character" w:customStyle="1" w:styleId="125">
    <w:name w:val="引用 Char1"/>
    <w:qFormat/>
    <w:uiPriority w:val="29"/>
    <w:rPr>
      <w:rFonts w:ascii="Times New Roman" w:hAnsi="Times New Roman" w:eastAsia="宋体" w:cs="Times New Roman"/>
      <w:i/>
      <w:iCs/>
      <w:color w:val="000000"/>
      <w:szCs w:val="24"/>
    </w:rPr>
  </w:style>
  <w:style w:type="character" w:customStyle="1" w:styleId="126">
    <w:name w:val="Date Char"/>
    <w:qFormat/>
    <w:uiPriority w:val="0"/>
    <w:rPr>
      <w:rFonts w:eastAsia="宋体"/>
      <w:kern w:val="2"/>
      <w:sz w:val="21"/>
      <w:szCs w:val="24"/>
      <w:lang w:val="en-US" w:eastAsia="zh-CN" w:bidi="ar-SA"/>
    </w:rPr>
  </w:style>
  <w:style w:type="character" w:customStyle="1" w:styleId="127">
    <w:name w:val="标题 Char"/>
    <w:link w:val="41"/>
    <w:qFormat/>
    <w:uiPriority w:val="0"/>
    <w:rPr>
      <w:rFonts w:ascii="Cambria" w:hAnsi="Cambria"/>
      <w:b/>
      <w:bCs/>
      <w:kern w:val="2"/>
      <w:sz w:val="32"/>
      <w:szCs w:val="32"/>
      <w:lang w:bidi="ar-SA"/>
    </w:rPr>
  </w:style>
  <w:style w:type="character" w:customStyle="1" w:styleId="128">
    <w:name w:val="正文文本缩进 2 Char"/>
    <w:link w:val="27"/>
    <w:qFormat/>
    <w:uiPriority w:val="0"/>
    <w:rPr>
      <w:kern w:val="2"/>
      <w:sz w:val="21"/>
      <w:szCs w:val="24"/>
      <w:lang w:bidi="ar-SA"/>
    </w:rPr>
  </w:style>
  <w:style w:type="character" w:customStyle="1" w:styleId="129">
    <w:name w:val="textcontents"/>
    <w:qFormat/>
    <w:uiPriority w:val="0"/>
    <w:rPr>
      <w:rFonts w:cs="Times New Roman"/>
    </w:rPr>
  </w:style>
  <w:style w:type="character" w:customStyle="1" w:styleId="130">
    <w:name w:val="Char Char24"/>
    <w:qFormat/>
    <w:uiPriority w:val="0"/>
    <w:rPr>
      <w:rFonts w:eastAsia="宋体"/>
      <w:b/>
      <w:bCs/>
      <w:kern w:val="44"/>
      <w:sz w:val="32"/>
      <w:szCs w:val="44"/>
      <w:lang w:val="en-US" w:eastAsia="zh-CN" w:bidi="ar-SA"/>
    </w:rPr>
  </w:style>
  <w:style w:type="paragraph" w:customStyle="1" w:styleId="131">
    <w:name w:val="标题_0"/>
    <w:basedOn w:val="132"/>
    <w:qFormat/>
    <w:uiPriority w:val="0"/>
    <w:pPr>
      <w:spacing w:before="120" w:after="120" w:line="360" w:lineRule="auto"/>
      <w:jc w:val="center"/>
      <w:outlineLvl w:val="0"/>
    </w:pPr>
    <w:rPr>
      <w:rFonts w:ascii="黑体" w:hAnsi="Arial" w:eastAsia="黑体"/>
      <w:b/>
      <w:bCs/>
      <w:kern w:val="2"/>
      <w:sz w:val="32"/>
      <w:szCs w:val="32"/>
    </w:rPr>
  </w:style>
  <w:style w:type="paragraph" w:customStyle="1" w:styleId="132">
    <w:name w:val="正文_1"/>
    <w:qFormat/>
    <w:uiPriority w:val="0"/>
    <w:rPr>
      <w:rFonts w:ascii="Times New Roman" w:hAnsi="Times New Roman" w:eastAsia="宋体" w:cs="Times New Roman"/>
      <w:sz w:val="21"/>
      <w:szCs w:val="22"/>
      <w:lang w:val="en-US" w:eastAsia="zh-CN" w:bidi="ar-SA"/>
    </w:rPr>
  </w:style>
  <w:style w:type="paragraph" w:customStyle="1" w:styleId="133">
    <w:name w:val="1"/>
    <w:basedOn w:val="1"/>
    <w:next w:val="1"/>
    <w:qFormat/>
    <w:uiPriority w:val="0"/>
  </w:style>
  <w:style w:type="paragraph" w:customStyle="1" w:styleId="134">
    <w:name w:val="p0"/>
    <w:basedOn w:val="1"/>
    <w:qFormat/>
    <w:uiPriority w:val="0"/>
    <w:pPr>
      <w:widowControl/>
    </w:pPr>
    <w:rPr>
      <w:rFonts w:ascii="Calibri" w:hAnsi="Calibri" w:cs="宋体"/>
      <w:kern w:val="0"/>
      <w:szCs w:val="21"/>
    </w:rPr>
  </w:style>
  <w:style w:type="paragraph" w:customStyle="1" w:styleId="135">
    <w:name w:val="样式 标题 3 + (中文) 黑体 小四 非加粗 段前: 7.8 磅 段后: 0 磅 行距: 固定值 20 磅"/>
    <w:basedOn w:val="6"/>
    <w:qFormat/>
    <w:uiPriority w:val="0"/>
    <w:pPr>
      <w:spacing w:line="400" w:lineRule="exact"/>
    </w:pPr>
    <w:rPr>
      <w:rFonts w:cs="宋体"/>
      <w:b w:val="0"/>
      <w:bCs w:val="0"/>
      <w:szCs w:val="20"/>
    </w:rPr>
  </w:style>
  <w:style w:type="paragraph" w:customStyle="1" w:styleId="136">
    <w:name w:val="标题 3_0"/>
    <w:basedOn w:val="23"/>
    <w:next w:val="23"/>
    <w:qFormat/>
    <w:uiPriority w:val="0"/>
    <w:pPr>
      <w:keepNext/>
      <w:keepLines/>
      <w:spacing w:before="260" w:after="260" w:line="413" w:lineRule="auto"/>
      <w:outlineLvl w:val="2"/>
    </w:pPr>
    <w:rPr>
      <w:rFonts w:ascii="Times New Roman" w:hAnsi="Times New Roman"/>
      <w:b/>
      <w:bCs/>
      <w:sz w:val="32"/>
      <w:szCs w:val="32"/>
    </w:rPr>
  </w:style>
  <w:style w:type="paragraph" w:customStyle="1" w:styleId="137">
    <w:name w:val="样式1"/>
    <w:basedOn w:val="1"/>
    <w:next w:val="7"/>
    <w:qFormat/>
    <w:uiPriority w:val="0"/>
    <w:pPr>
      <w:spacing w:line="360" w:lineRule="auto"/>
      <w:ind w:firstLine="420" w:firstLineChars="200"/>
    </w:pPr>
    <w:rPr>
      <w:rFonts w:ascii="宋体" w:hAnsi="宋体"/>
      <w:szCs w:val="21"/>
    </w:rPr>
  </w:style>
  <w:style w:type="paragraph" w:customStyle="1" w:styleId="138">
    <w:name w:val="Char Char Char Char"/>
    <w:basedOn w:val="1"/>
    <w:qFormat/>
    <w:uiPriority w:val="0"/>
    <w:pPr>
      <w:widowControl/>
      <w:spacing w:line="500" w:lineRule="exact"/>
      <w:outlineLvl w:val="2"/>
    </w:pPr>
    <w:rPr>
      <w:rFonts w:ascii="黑体" w:hAnsi="Verdana" w:eastAsia="黑体" w:cs="黑体"/>
      <w:kern w:val="0"/>
      <w:sz w:val="28"/>
      <w:szCs w:val="28"/>
      <w:lang w:eastAsia="en-US"/>
    </w:rPr>
  </w:style>
  <w:style w:type="paragraph" w:customStyle="1" w:styleId="139">
    <w:name w:val="正文缩进_0"/>
    <w:basedOn w:val="132"/>
    <w:qFormat/>
    <w:uiPriority w:val="0"/>
    <w:pPr>
      <w:widowControl w:val="0"/>
      <w:ind w:firstLine="420"/>
      <w:jc w:val="both"/>
    </w:pPr>
    <w:rPr>
      <w:kern w:val="2"/>
      <w:u w:val="single"/>
    </w:rPr>
  </w:style>
  <w:style w:type="paragraph" w:customStyle="1" w:styleId="140">
    <w:name w:val="标题 4_0"/>
    <w:basedOn w:val="23"/>
    <w:next w:val="23"/>
    <w:qFormat/>
    <w:uiPriority w:val="0"/>
    <w:pPr>
      <w:keepNext/>
      <w:keepLines/>
      <w:spacing w:before="280" w:after="290" w:line="372" w:lineRule="auto"/>
      <w:outlineLvl w:val="3"/>
    </w:pPr>
    <w:rPr>
      <w:rFonts w:ascii="Cambria" w:hAnsi="Cambria"/>
      <w:b/>
      <w:bCs/>
      <w:sz w:val="28"/>
      <w:szCs w:val="28"/>
    </w:rPr>
  </w:style>
  <w:style w:type="paragraph" w:customStyle="1" w:styleId="141">
    <w:name w:val="flNote"/>
    <w:basedOn w:val="1"/>
    <w:qFormat/>
    <w:uiPriority w:val="0"/>
    <w:pPr>
      <w:adjustRightInd w:val="0"/>
      <w:spacing w:before="320" w:after="160" w:line="360" w:lineRule="atLeast"/>
      <w:jc w:val="center"/>
      <w:textAlignment w:val="baseline"/>
    </w:pPr>
    <w:rPr>
      <w:rFonts w:ascii="Arial" w:eastAsia="黑体"/>
      <w:kern w:val="0"/>
      <w:sz w:val="30"/>
      <w:szCs w:val="20"/>
    </w:rPr>
  </w:style>
  <w:style w:type="paragraph" w:customStyle="1" w:styleId="142">
    <w:name w:val="修订1"/>
    <w:qFormat/>
    <w:uiPriority w:val="0"/>
    <w:rPr>
      <w:rFonts w:ascii="Times New Roman" w:hAnsi="Times New Roman" w:eastAsia="宋体" w:cs="Times New Roman"/>
      <w:kern w:val="2"/>
      <w:sz w:val="21"/>
      <w:szCs w:val="24"/>
      <w:lang w:val="en-US" w:eastAsia="zh-CN" w:bidi="ar-SA"/>
    </w:rPr>
  </w:style>
  <w:style w:type="paragraph" w:customStyle="1" w:styleId="143">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4">
    <w:name w:val="reader-word-layer"/>
    <w:basedOn w:val="1"/>
    <w:qFormat/>
    <w:uiPriority w:val="0"/>
    <w:pPr>
      <w:widowControl/>
      <w:spacing w:before="100" w:beforeAutospacing="1" w:after="100" w:afterAutospacing="1"/>
      <w:jc w:val="left"/>
    </w:pPr>
    <w:rPr>
      <w:rFonts w:ascii="宋体" w:hAnsi="宋体" w:cs="宋体"/>
      <w:kern w:val="0"/>
      <w:sz w:val="24"/>
    </w:rPr>
  </w:style>
  <w:style w:type="paragraph" w:customStyle="1" w:styleId="145">
    <w:name w:val="TOC 标题1"/>
    <w:basedOn w:val="4"/>
    <w:next w:val="1"/>
    <w:qFormat/>
    <w:uiPriority w:val="0"/>
    <w:pPr>
      <w:spacing w:before="340" w:after="330" w:line="576" w:lineRule="auto"/>
      <w:outlineLvl w:val="9"/>
    </w:pPr>
    <w:rPr>
      <w:rFonts w:ascii="Calibri" w:hAnsi="Calibri"/>
      <w:sz w:val="44"/>
    </w:rPr>
  </w:style>
  <w:style w:type="paragraph" w:customStyle="1" w:styleId="146">
    <w:name w:val="正文文本_0"/>
    <w:basedOn w:val="23"/>
    <w:qFormat/>
    <w:uiPriority w:val="0"/>
    <w:pPr>
      <w:adjustRightInd w:val="0"/>
      <w:spacing w:after="60" w:line="360" w:lineRule="atLeast"/>
      <w:ind w:left="72" w:leftChars="30" w:right="30" w:rightChars="30"/>
      <w:jc w:val="center"/>
      <w:textAlignment w:val="baseline"/>
    </w:pPr>
    <w:rPr>
      <w:rFonts w:ascii="Times New Roman" w:hAnsi="Times New Roman"/>
      <w:kern w:val="0"/>
      <w:sz w:val="20"/>
      <w:szCs w:val="20"/>
    </w:rPr>
  </w:style>
  <w:style w:type="paragraph" w:customStyle="1" w:styleId="147">
    <w:name w:val="Char Char Char Char Char Char Char"/>
    <w:basedOn w:val="1"/>
    <w:qFormat/>
    <w:uiPriority w:val="0"/>
    <w:pPr>
      <w:widowControl/>
      <w:spacing w:after="160" w:line="240" w:lineRule="exact"/>
      <w:jc w:val="left"/>
    </w:pPr>
  </w:style>
  <w:style w:type="paragraph" w:styleId="148">
    <w:name w:val="No Spacing"/>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9">
    <w:name w:val="列出段落1"/>
    <w:basedOn w:val="1"/>
    <w:qFormat/>
    <w:uiPriority w:val="0"/>
    <w:pPr>
      <w:ind w:firstLine="420" w:firstLineChars="200"/>
    </w:pPr>
    <w:rPr>
      <w:rFonts w:ascii="Calibri" w:hAnsi="Calibri"/>
      <w:szCs w:val="22"/>
    </w:rPr>
  </w:style>
  <w:style w:type="paragraph" w:customStyle="1" w:styleId="150">
    <w:name w:val="_Style 37"/>
    <w:basedOn w:val="1"/>
    <w:next w:val="1"/>
    <w:qFormat/>
    <w:uiPriority w:val="0"/>
  </w:style>
  <w:style w:type="paragraph" w:customStyle="1" w:styleId="151">
    <w:name w:val="样式 标题 2 + Times New Roman 四号 非加粗 段前: 5 磅 段后: 0 磅 行距: 固定值 20..."/>
    <w:basedOn w:val="5"/>
    <w:qFormat/>
    <w:uiPriority w:val="0"/>
    <w:pPr>
      <w:spacing w:before="100" w:after="0" w:line="400" w:lineRule="exact"/>
    </w:pPr>
    <w:rPr>
      <w:rFonts w:ascii="Times New Roman" w:hAnsi="Times New Roman" w:cs="宋体"/>
      <w:b w:val="0"/>
      <w:bCs w:val="0"/>
      <w:kern w:val="0"/>
      <w:sz w:val="28"/>
      <w:szCs w:val="20"/>
    </w:rPr>
  </w:style>
  <w:style w:type="paragraph" w:customStyle="1" w:styleId="152">
    <w:name w:val="2-2ji"/>
    <w:basedOn w:val="5"/>
    <w:qFormat/>
    <w:uiPriority w:val="0"/>
    <w:pPr>
      <w:spacing w:before="0" w:after="0" w:line="360" w:lineRule="auto"/>
      <w:jc w:val="center"/>
    </w:pPr>
    <w:rPr>
      <w:rFonts w:ascii="宋体" w:hAnsi="宋体"/>
      <w:sz w:val="36"/>
      <w:szCs w:val="24"/>
    </w:rPr>
  </w:style>
  <w:style w:type="paragraph" w:customStyle="1" w:styleId="153">
    <w:name w:val="Char"/>
    <w:basedOn w:val="1"/>
    <w:qFormat/>
    <w:uiPriority w:val="0"/>
    <w:pPr>
      <w:widowControl/>
      <w:spacing w:after="160" w:line="240" w:lineRule="exact"/>
      <w:jc w:val="left"/>
    </w:pPr>
  </w:style>
  <w:style w:type="paragraph" w:customStyle="1" w:styleId="154">
    <w:name w:val="Char1"/>
    <w:basedOn w:val="1"/>
    <w:qFormat/>
    <w:uiPriority w:val="0"/>
    <w:pPr>
      <w:widowControl/>
      <w:spacing w:after="160" w:line="240" w:lineRule="exact"/>
      <w:jc w:val="left"/>
    </w:pPr>
  </w:style>
  <w:style w:type="paragraph" w:customStyle="1" w:styleId="155">
    <w:name w:val="空半行"/>
    <w:basedOn w:val="1"/>
    <w:qFormat/>
    <w:uiPriority w:val="0"/>
    <w:pPr>
      <w:adjustRightInd w:val="0"/>
      <w:spacing w:line="120" w:lineRule="exact"/>
      <w:textAlignment w:val="baseline"/>
    </w:pPr>
    <w:rPr>
      <w:rFonts w:eastAsia="仿宋_GB2312"/>
      <w:color w:val="FFFFFF"/>
      <w:kern w:val="0"/>
      <w:sz w:val="30"/>
      <w:szCs w:val="20"/>
    </w:rPr>
  </w:style>
  <w:style w:type="paragraph" w:styleId="156">
    <w:name w:val="List Paragraph"/>
    <w:basedOn w:val="1"/>
    <w:qFormat/>
    <w:uiPriority w:val="0"/>
    <w:pPr>
      <w:ind w:firstLine="420" w:firstLineChars="200"/>
    </w:pPr>
    <w:rPr>
      <w:rFonts w:ascii="Calibri" w:hAnsi="Calibri"/>
      <w:szCs w:val="22"/>
    </w:rPr>
  </w:style>
  <w:style w:type="paragraph" w:customStyle="1" w:styleId="157">
    <w:name w:val="Default"/>
    <w:qFormat/>
    <w:uiPriority w:val="0"/>
    <w:pPr>
      <w:widowControl w:val="0"/>
      <w:autoSpaceDE w:val="0"/>
      <w:autoSpaceDN w:val="0"/>
      <w:adjustRightInd w:val="0"/>
    </w:pPr>
    <w:rPr>
      <w:rFonts w:ascii="Times New Roman" w:hAnsi="Times New Roman" w:eastAsia="宋体" w:cs="Calibri"/>
      <w:color w:val="000000"/>
      <w:sz w:val="24"/>
      <w:szCs w:val="24"/>
      <w:lang w:val="en-US" w:eastAsia="zh-CN" w:bidi="ar-SA"/>
    </w:rPr>
  </w:style>
  <w:style w:type="paragraph" w:customStyle="1" w:styleId="158">
    <w:name w:val="TOC 标题_0"/>
    <w:basedOn w:val="159"/>
    <w:next w:val="23"/>
    <w:qFormat/>
    <w:uiPriority w:val="0"/>
    <w:pPr>
      <w:outlineLvl w:val="9"/>
    </w:pPr>
    <w:rPr>
      <w:rFonts w:ascii="Calibri" w:hAnsi="Calibri"/>
    </w:rPr>
  </w:style>
  <w:style w:type="paragraph" w:customStyle="1" w:styleId="159">
    <w:name w:val="标题 1_0"/>
    <w:basedOn w:val="23"/>
    <w:next w:val="23"/>
    <w:qFormat/>
    <w:uiPriority w:val="0"/>
    <w:pPr>
      <w:keepNext/>
      <w:keepLines/>
      <w:spacing w:before="340" w:after="330" w:line="576" w:lineRule="auto"/>
      <w:outlineLvl w:val="0"/>
    </w:pPr>
    <w:rPr>
      <w:rFonts w:ascii="Times New Roman" w:hAnsi="Times New Roman"/>
      <w:b/>
      <w:bCs/>
      <w:kern w:val="44"/>
      <w:sz w:val="44"/>
      <w:szCs w:val="44"/>
    </w:rPr>
  </w:style>
  <w:style w:type="character" w:customStyle="1" w:styleId="160">
    <w:name w:val="标题 2 Char1"/>
    <w:qFormat/>
    <w:uiPriority w:val="0"/>
    <w:rPr>
      <w:rFonts w:ascii="Arial" w:hAnsi="Arial" w:eastAsia="黑体" w:cs="Calibri"/>
      <w:b/>
      <w:kern w:val="0"/>
      <w:sz w:val="32"/>
      <w:szCs w:val="20"/>
    </w:rPr>
  </w:style>
  <w:style w:type="character" w:customStyle="1" w:styleId="161">
    <w:name w:val="标题 1 Char1"/>
    <w:qFormat/>
    <w:uiPriority w:val="0"/>
    <w:rPr>
      <w:rFonts w:ascii="Calibri" w:hAnsi="Calibri" w:eastAsia="宋体" w:cs="Arial"/>
      <w:b/>
      <w:kern w:val="44"/>
      <w:sz w:val="44"/>
      <w:szCs w:val="20"/>
    </w:rPr>
  </w:style>
  <w:style w:type="character" w:customStyle="1" w:styleId="162">
    <w:name w:val="标题 3 Char1"/>
    <w:qFormat/>
    <w:uiPriority w:val="0"/>
    <w:rPr>
      <w:rFonts w:ascii="Calibri" w:hAnsi="Calibri" w:eastAsia="宋体" w:cs="Arial"/>
      <w:b/>
      <w:kern w:val="0"/>
      <w:sz w:val="32"/>
      <w:szCs w:val="20"/>
    </w:rPr>
  </w:style>
  <w:style w:type="character" w:customStyle="1" w:styleId="163">
    <w:name w:val="样式 Char"/>
    <w:link w:val="164"/>
    <w:qFormat/>
    <w:locked/>
    <w:uiPriority w:val="0"/>
    <w:rPr>
      <w:rFonts w:ascii="宋体" w:hAnsi="宋体" w:cs="宋体"/>
      <w:sz w:val="24"/>
      <w:szCs w:val="24"/>
    </w:rPr>
  </w:style>
  <w:style w:type="paragraph" w:customStyle="1" w:styleId="164">
    <w:name w:val="样式"/>
    <w:link w:val="163"/>
    <w:qFormat/>
    <w:uiPriority w:val="0"/>
    <w:pPr>
      <w:widowControl w:val="0"/>
      <w:autoSpaceDE w:val="0"/>
      <w:autoSpaceDN w:val="0"/>
      <w:adjustRightInd w:val="0"/>
    </w:pPr>
    <w:rPr>
      <w:rFonts w:ascii="宋体" w:hAnsi="宋体" w:eastAsia="宋体" w:cs="宋体"/>
      <w:sz w:val="24"/>
      <w:szCs w:val="24"/>
      <w:lang w:val="en-US" w:eastAsia="zh-CN" w:bidi="ar-SA"/>
    </w:rPr>
  </w:style>
  <w:style w:type="character" w:customStyle="1" w:styleId="165">
    <w:name w:val="标题 6 Char"/>
    <w:link w:val="9"/>
    <w:qFormat/>
    <w:uiPriority w:val="0"/>
    <w:rPr>
      <w:rFonts w:ascii="Cambria" w:hAnsi="Cambria"/>
      <w:b/>
      <w:bCs/>
      <w:kern w:val="2"/>
      <w:sz w:val="24"/>
      <w:szCs w:val="24"/>
    </w:rPr>
  </w:style>
  <w:style w:type="character" w:customStyle="1" w:styleId="166">
    <w:name w:val="标题 7 Char"/>
    <w:link w:val="10"/>
    <w:qFormat/>
    <w:uiPriority w:val="0"/>
    <w:rPr>
      <w:rFonts w:ascii="Calibri" w:hAnsi="Calibri"/>
      <w:b/>
      <w:bCs/>
      <w:kern w:val="2"/>
      <w:sz w:val="24"/>
      <w:szCs w:val="24"/>
    </w:rPr>
  </w:style>
  <w:style w:type="character" w:customStyle="1" w:styleId="167">
    <w:name w:val="标题 8 Char"/>
    <w:link w:val="11"/>
    <w:qFormat/>
    <w:uiPriority w:val="0"/>
    <w:rPr>
      <w:rFonts w:ascii="Cambria" w:hAnsi="Cambria"/>
      <w:kern w:val="2"/>
      <w:sz w:val="24"/>
      <w:szCs w:val="24"/>
    </w:rPr>
  </w:style>
  <w:style w:type="character" w:customStyle="1" w:styleId="168">
    <w:name w:val="标题 9 Char"/>
    <w:link w:val="12"/>
    <w:qFormat/>
    <w:uiPriority w:val="0"/>
    <w:rPr>
      <w:rFonts w:ascii="Cambria" w:hAnsi="Cambria"/>
      <w:kern w:val="2"/>
      <w:sz w:val="21"/>
      <w:szCs w:val="21"/>
    </w:rPr>
  </w:style>
  <w:style w:type="character" w:customStyle="1" w:styleId="169">
    <w:name w:val="副标题 Char"/>
    <w:link w:val="33"/>
    <w:qFormat/>
    <w:uiPriority w:val="0"/>
    <w:rPr>
      <w:rFonts w:ascii="Cambria" w:hAnsi="Cambria"/>
      <w:b/>
      <w:bCs/>
      <w:kern w:val="28"/>
      <w:sz w:val="32"/>
      <w:szCs w:val="32"/>
    </w:rPr>
  </w:style>
  <w:style w:type="character" w:customStyle="1" w:styleId="170">
    <w:name w:val="副标题 Char1"/>
    <w:qFormat/>
    <w:uiPriority w:val="11"/>
    <w:rPr>
      <w:rFonts w:hint="default" w:ascii="Cambria" w:hAnsi="Cambria" w:cs="Times New Roman"/>
      <w:b/>
      <w:bCs/>
      <w:kern w:val="28"/>
      <w:sz w:val="32"/>
      <w:szCs w:val="32"/>
    </w:rPr>
  </w:style>
  <w:style w:type="character" w:customStyle="1" w:styleId="171">
    <w:name w:val="正文文本 3 Char"/>
    <w:basedOn w:val="46"/>
    <w:link w:val="18"/>
    <w:qFormat/>
    <w:uiPriority w:val="0"/>
    <w:rPr>
      <w:kern w:val="2"/>
      <w:sz w:val="16"/>
      <w:szCs w:val="16"/>
    </w:rPr>
  </w:style>
  <w:style w:type="character" w:customStyle="1" w:styleId="172">
    <w:name w:val="font161"/>
    <w:basedOn w:val="46"/>
    <w:qFormat/>
    <w:uiPriority w:val="0"/>
    <w:rPr>
      <w:b/>
      <w:bCs/>
      <w:sz w:val="32"/>
      <w:szCs w:val="32"/>
    </w:rPr>
  </w:style>
  <w:style w:type="character" w:customStyle="1" w:styleId="173">
    <w:name w:val="正文首行缩进 Char"/>
    <w:basedOn w:val="115"/>
    <w:link w:val="43"/>
    <w:qFormat/>
    <w:uiPriority w:val="0"/>
    <w:rPr>
      <w:rFonts w:eastAsia="宋体"/>
      <w:kern w:val="2"/>
      <w:sz w:val="21"/>
      <w:szCs w:val="24"/>
      <w:lang w:val="en-US" w:eastAsia="zh-CN" w:bidi="ar-SA"/>
    </w:rPr>
  </w:style>
  <w:style w:type="character" w:customStyle="1" w:styleId="174">
    <w:name w:val="正文首行缩进 Char1"/>
    <w:basedOn w:val="115"/>
    <w:qFormat/>
    <w:uiPriority w:val="0"/>
    <w:rPr>
      <w:rFonts w:eastAsia="宋体"/>
      <w:kern w:val="2"/>
      <w:sz w:val="21"/>
      <w:szCs w:val="24"/>
      <w:lang w:val="en-US" w:eastAsia="zh-CN" w:bidi="ar-SA"/>
    </w:rPr>
  </w:style>
  <w:style w:type="character" w:customStyle="1" w:styleId="175">
    <w:name w:val="正文文本缩进 3 Char"/>
    <w:basedOn w:val="46"/>
    <w:link w:val="36"/>
    <w:qFormat/>
    <w:uiPriority w:val="0"/>
    <w:rPr>
      <w:kern w:val="2"/>
      <w:sz w:val="16"/>
      <w:szCs w:val="16"/>
    </w:rPr>
  </w:style>
  <w:style w:type="paragraph" w:customStyle="1" w:styleId="176">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177">
    <w:name w:val="表格文字"/>
    <w:basedOn w:val="1"/>
    <w:qFormat/>
    <w:uiPriority w:val="0"/>
    <w:pPr>
      <w:adjustRightInd w:val="0"/>
      <w:spacing w:line="420" w:lineRule="atLeast"/>
      <w:jc w:val="left"/>
      <w:textAlignment w:val="baseline"/>
    </w:pPr>
    <w:rPr>
      <w:kern w:val="0"/>
      <w:szCs w:val="20"/>
    </w:rPr>
  </w:style>
  <w:style w:type="paragraph" w:customStyle="1" w:styleId="178">
    <w:name w:val="样式 标题 1 + 黑体 三号 非加粗 居中 段前: 6 磅 段后: 6 磅 行距: 固定值 20 磅"/>
    <w:basedOn w:val="4"/>
    <w:qFormat/>
    <w:uiPriority w:val="0"/>
    <w:pPr>
      <w:spacing w:before="120" w:after="120" w:line="400" w:lineRule="exact"/>
      <w:jc w:val="center"/>
    </w:pPr>
    <w:rPr>
      <w:rFonts w:ascii="黑体" w:hAnsi="黑体" w:cs="宋体"/>
      <w:b w:val="0"/>
      <w:bCs w:val="0"/>
      <w:szCs w:val="20"/>
    </w:rPr>
  </w:style>
  <w:style w:type="paragraph" w:customStyle="1" w:styleId="179">
    <w:name w:val="修订11"/>
    <w:qFormat/>
    <w:uiPriority w:val="0"/>
    <w:rPr>
      <w:rFonts w:ascii="Times New Roman" w:hAnsi="Times New Roman" w:eastAsia="宋体" w:cs="Times New Roman"/>
      <w:kern w:val="2"/>
      <w:sz w:val="21"/>
      <w:szCs w:val="24"/>
      <w:lang w:val="en-US" w:eastAsia="zh-CN" w:bidi="ar-SA"/>
    </w:rPr>
  </w:style>
  <w:style w:type="paragraph" w:customStyle="1" w:styleId="180">
    <w:name w:val="表格"/>
    <w:basedOn w:val="1"/>
    <w:qFormat/>
    <w:uiPriority w:val="0"/>
    <w:pPr>
      <w:jc w:val="center"/>
      <w:textAlignment w:val="center"/>
    </w:pPr>
    <w:rPr>
      <w:rFonts w:ascii="华文细黑" w:hAnsi="华文细黑"/>
      <w:kern w:val="0"/>
      <w:szCs w:val="20"/>
    </w:rPr>
  </w:style>
  <w:style w:type="paragraph" w:customStyle="1" w:styleId="181">
    <w:name w:val="修订2"/>
    <w:hidden/>
    <w:unhideWhenUsed/>
    <w:qFormat/>
    <w:uiPriority w:val="99"/>
    <w:rPr>
      <w:rFonts w:ascii="Times New Roman" w:hAnsi="Times New Roman" w:eastAsia="宋体" w:cs="Times New Roman"/>
      <w:kern w:val="2"/>
      <w:sz w:val="21"/>
      <w:szCs w:val="24"/>
      <w:lang w:val="en-US" w:eastAsia="zh-CN" w:bidi="ar-SA"/>
    </w:rPr>
  </w:style>
  <w:style w:type="paragraph" w:customStyle="1" w:styleId="182">
    <w:name w:val="协议书标题2"/>
    <w:basedOn w:val="5"/>
    <w:next w:val="1"/>
    <w:qFormat/>
    <w:uiPriority w:val="0"/>
    <w:pPr>
      <w:keepNext w:val="0"/>
      <w:keepLines w:val="0"/>
      <w:numPr>
        <w:ilvl w:val="0"/>
        <w:numId w:val="1"/>
      </w:numPr>
      <w:tabs>
        <w:tab w:val="left" w:pos="567"/>
      </w:tabs>
      <w:spacing w:line="360" w:lineRule="auto"/>
      <w:ind w:firstLine="0"/>
      <w:jc w:val="left"/>
    </w:pPr>
    <w:rPr>
      <w:rFonts w:ascii="宋体" w:hAnsi="宋体"/>
      <w:sz w:val="24"/>
    </w:rPr>
  </w:style>
  <w:style w:type="paragraph" w:customStyle="1" w:styleId="183">
    <w:name w:val="table"/>
    <w:qFormat/>
    <w:uiPriority w:val="0"/>
    <w:pPr>
      <w:framePr w:hSpace="180" w:wrap="around" w:vAnchor="text" w:hAnchor="margin" w:y="1418"/>
      <w:adjustRightInd w:val="0"/>
      <w:snapToGrid w:val="0"/>
    </w:pPr>
    <w:rPr>
      <w:rFonts w:ascii="宋体" w:hAnsi="Calibri" w:eastAsia="宋体" w:cs="Times New Roman"/>
      <w:kern w:val="2"/>
      <w:sz w:val="24"/>
      <w:szCs w:val="22"/>
      <w:lang w:val="en-US" w:eastAsia="zh-CN" w:bidi="ar-SA"/>
    </w:rPr>
  </w:style>
  <w:style w:type="paragraph" w:customStyle="1" w:styleId="184">
    <w:name w:val="通用标题4"/>
    <w:next w:val="1"/>
    <w:qFormat/>
    <w:uiPriority w:val="0"/>
    <w:pPr>
      <w:numPr>
        <w:ilvl w:val="2"/>
        <w:numId w:val="2"/>
      </w:numPr>
      <w:tabs>
        <w:tab w:val="left" w:pos="851"/>
      </w:tabs>
      <w:adjustRightInd w:val="0"/>
      <w:snapToGrid w:val="0"/>
      <w:spacing w:after="120" w:afterLines="50" w:line="360" w:lineRule="auto"/>
      <w:jc w:val="both"/>
      <w:outlineLvl w:val="3"/>
    </w:pPr>
    <w:rPr>
      <w:rFonts w:ascii="宋体" w:hAnsi="宋体" w:eastAsia="宋体" w:cs="Times New Roman"/>
      <w:kern w:val="2"/>
      <w:sz w:val="24"/>
      <w:szCs w:val="21"/>
      <w:lang w:val="en-US" w:eastAsia="zh-CN" w:bidi="ar-SA"/>
    </w:rPr>
  </w:style>
  <w:style w:type="paragraph" w:customStyle="1" w:styleId="185">
    <w:name w:val="通用标题5"/>
    <w:qFormat/>
    <w:uiPriority w:val="0"/>
    <w:pPr>
      <w:widowControl w:val="0"/>
      <w:numPr>
        <w:ilvl w:val="3"/>
        <w:numId w:val="2"/>
      </w:numPr>
      <w:tabs>
        <w:tab w:val="left" w:pos="1134"/>
      </w:tabs>
      <w:autoSpaceDE w:val="0"/>
      <w:autoSpaceDN w:val="0"/>
      <w:adjustRightInd w:val="0"/>
      <w:snapToGrid w:val="0"/>
      <w:spacing w:after="120" w:afterLines="50" w:line="360" w:lineRule="auto"/>
      <w:jc w:val="both"/>
    </w:pPr>
    <w:rPr>
      <w:rFonts w:ascii="宋体" w:hAnsi="宋体" w:eastAsia="宋体" w:cs="Times New Roman"/>
      <w:kern w:val="2"/>
      <w:sz w:val="24"/>
      <w:szCs w:val="21"/>
      <w:lang w:val="en-US" w:eastAsia="zh-CN" w:bidi="ar-SA"/>
    </w:rPr>
  </w:style>
  <w:style w:type="paragraph" w:customStyle="1" w:styleId="186">
    <w:name w:val="专用标题2"/>
    <w:basedOn w:val="5"/>
    <w:next w:val="1"/>
    <w:qFormat/>
    <w:uiPriority w:val="0"/>
    <w:pPr>
      <w:keepNext w:val="0"/>
      <w:keepLines w:val="0"/>
      <w:tabs>
        <w:tab w:val="left" w:pos="993"/>
      </w:tabs>
      <w:spacing w:line="360" w:lineRule="auto"/>
    </w:pPr>
    <w:rPr>
      <w:rFonts w:ascii="宋体" w:hAnsi="宋体" w:cs="Times"/>
    </w:rPr>
  </w:style>
  <w:style w:type="paragraph" w:customStyle="1" w:styleId="187">
    <w:name w:val="Table Paragraph"/>
    <w:basedOn w:val="1"/>
    <w:qFormat/>
    <w:uiPriority w:val="99"/>
    <w:pPr>
      <w:autoSpaceDE w:val="0"/>
      <w:autoSpaceDN w:val="0"/>
      <w:jc w:val="left"/>
    </w:pPr>
    <w:rPr>
      <w:rFonts w:ascii="宋体" w:hAnsi="宋体" w:cs="宋体"/>
      <w:kern w:val="0"/>
      <w:sz w:val="22"/>
      <w:szCs w:val="22"/>
      <w:lang w:val="zh-CN"/>
    </w:rPr>
  </w:style>
  <w:style w:type="paragraph" w:customStyle="1" w:styleId="188">
    <w:name w:val="TOC 标题2"/>
    <w:basedOn w:val="4"/>
    <w:next w:val="1"/>
    <w:qFormat/>
    <w:uiPriority w:val="0"/>
    <w:pPr>
      <w:keepNext/>
      <w:keepLines/>
      <w:widowControl w:val="0"/>
      <w:adjustRightInd/>
      <w:snapToGrid/>
      <w:spacing w:before="260" w:after="260" w:line="413" w:lineRule="auto"/>
    </w:pPr>
    <w:rPr>
      <w:rFonts w:ascii="宋体" w:hAnsi="宋体" w:eastAsia="宋体" w:cs="Times New Roman"/>
      <w:sz w:val="36"/>
      <w:szCs w:val="44"/>
      <w:lang w:val="zh-CN"/>
    </w:rPr>
  </w:style>
  <w:style w:type="paragraph" w:customStyle="1" w:styleId="189">
    <w:name w:val="附件标题"/>
    <w:basedOn w:val="5"/>
    <w:next w:val="1"/>
    <w:qFormat/>
    <w:uiPriority w:val="0"/>
    <w:pPr>
      <w:numPr>
        <w:ilvl w:val="0"/>
        <w:numId w:val="3"/>
      </w:numPr>
      <w:tabs>
        <w:tab w:val="left" w:pos="1134"/>
      </w:tabs>
      <w:spacing w:line="360" w:lineRule="auto"/>
      <w:ind w:firstLine="0" w:firstLineChars="0"/>
      <w:jc w:val="center"/>
    </w:pPr>
    <w:rPr>
      <w:rFonts w:ascii="黑体" w:hAnsi="黑体"/>
      <w:sz w:val="30"/>
      <w:szCs w:val="30"/>
    </w:rPr>
  </w:style>
  <w:style w:type="paragraph" w:customStyle="1" w:styleId="190">
    <w:name w:val="文本正文"/>
    <w:basedOn w:val="1"/>
    <w:qFormat/>
    <w:uiPriority w:val="0"/>
    <w:pPr>
      <w:jc w:val="left"/>
    </w:pPr>
    <w:rPr>
      <w:rFonts w:ascii="宋体" w:hAnsi="宋体"/>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theme" Target="theme/theme1.xml"/><Relationship Id="rId21" Type="http://schemas.openxmlformats.org/officeDocument/2006/relationships/header" Target="header7.xml"/><Relationship Id="rId20" Type="http://schemas.openxmlformats.org/officeDocument/2006/relationships/header" Target="header6.xml"/><Relationship Id="rId2" Type="http://schemas.openxmlformats.org/officeDocument/2006/relationships/settings" Target="settings.xml"/><Relationship Id="rId19" Type="http://schemas.openxmlformats.org/officeDocument/2006/relationships/footer" Target="footer12.xml"/><Relationship Id="rId18" Type="http://schemas.openxmlformats.org/officeDocument/2006/relationships/footer" Target="footer11.xml"/><Relationship Id="rId17" Type="http://schemas.openxmlformats.org/officeDocument/2006/relationships/footer" Target="footer10.xml"/><Relationship Id="rId16" Type="http://schemas.openxmlformats.org/officeDocument/2006/relationships/header" Target="header5.xml"/><Relationship Id="rId15" Type="http://schemas.openxmlformats.org/officeDocument/2006/relationships/header" Target="header4.xml"/><Relationship Id="rId14" Type="http://schemas.openxmlformats.org/officeDocument/2006/relationships/footer" Target="footer9.xml"/><Relationship Id="rId13" Type="http://schemas.openxmlformats.org/officeDocument/2006/relationships/footer" Target="footer8.xml"/><Relationship Id="rId12" Type="http://schemas.openxmlformats.org/officeDocument/2006/relationships/footer" Target="footer7.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F0F667-A606-4038-9076-23F79215658A}">
  <ds:schemaRefs/>
</ds:datastoreItem>
</file>

<file path=docProps/app.xml><?xml version="1.0" encoding="utf-8"?>
<Properties xmlns="http://schemas.openxmlformats.org/officeDocument/2006/extended-properties" xmlns:vt="http://schemas.openxmlformats.org/officeDocument/2006/docPropsVTypes">
  <Template>Normal</Template>
  <Company>MC SYSTEM</Company>
  <Pages>158</Pages>
  <Words>73411</Words>
  <Characters>77630</Characters>
  <Lines>457</Lines>
  <Paragraphs>128</Paragraphs>
  <TotalTime>35</TotalTime>
  <ScaleCrop>false</ScaleCrop>
  <LinksUpToDate>false</LinksUpToDate>
  <CharactersWithSpaces>89721</CharactersWithSpaces>
  <Application>WPS Office_12.1.0.15358_F1E327BC-269C-435d-A152-05C5408002CA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2019-02-25T05:56:00Z</dcterms:created>
  <dc:creator>微软用户</dc:creator>
  <cp:lastModifiedBy>WPS_1660893095</cp:lastModifiedBy>
  <cp:lastPrinted>2017-03-09T02:28:00Z</cp:lastPrinted>
  <dcterms:modified xsi:type="dcterms:W3CDTF">2023-09-22T08:22:34Z</dcterms:modified>
  <dc:title>广西壮族自治区房屋建筑和市政工程施工电子招标文件范本（2015年版）</dc:title>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2052-12.1.0.15358</vt:lpwstr>
  </property>
  <property fmtid="{D5CDD505-2E9C-101B-9397-08002B2CF9AE}" pid="3" name="ICV">
    <vt:lpwstr>0D729950CE18461599EB2D3D4CF83FA3</vt:lpwstr>
  </property>
</Properties>
</file>