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eastAsia="方正小标宋简体" w:cs="Times New Roman"/>
          <w:sz w:val="44"/>
          <w:szCs w:val="44"/>
          <w:lang w:val="en-US" w:eastAsia="zh-CN"/>
        </w:rPr>
        <w:t>建设工程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绿色施工安全防护措施项目清单</w:t>
      </w:r>
    </w:p>
    <w:p>
      <w:pPr>
        <w:spacing w:line="620" w:lineRule="exact"/>
        <w:rPr>
          <w:kern w:val="0"/>
          <w:sz w:val="31"/>
          <w:szCs w:val="31"/>
        </w:rPr>
      </w:pP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配备和更新现场作业人员安全防护用品支出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，含各类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安全防护用具：安全网、安全带、安全帽等；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（二）洞口和临边防护设施：楼梯口、电梯口、通道口、预留洞口、阳台周边、楼层周边、屋面周边、基坑周边、卸料平台两侧以及上下通道等临边安全防护设施；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（三）全钢质内外脚手架及配套防护设施、结构模板的全钢质主体支撑杆件；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（四）塔式起重机、外用电梯、井字架提升机等建筑施工起重设备及配套防护设施；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（五）施工用电：符合规范要求的临时用电系统、标准化电箱、电器保护装置、电源线路的敷设、外电防护措施等；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（六）施工机具；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（七）安全检测费：包括对建筑施工起重设备与外用电梯、安全网、钢管脚手架等的检测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；及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安全设施及特种设备检测检验、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检定校准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（八）安全生产宣传、教育、培训和从业人员发现并报告事故隐患的奖励支出；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（九）安全标志、标牌及安全宣传栏；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（十）文明施工及环境保护：施工现场围墙围护及场地硬地化、粉尘控制、噪音控制、排水措施、垃圾排放；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（十一）临时设施：包括办公室、宿舍、食堂、卫生间、淋浴间等；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（十二）消防器材设施；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（十三）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应急救援技术装备、设施配置及维护保养支出，事故逃生和紧急避难设施设备的配置和应急救援队伍建设、应急预案制修订与应急演练支出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（十四）基坑支护的变形监测；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（十五）地下作业中的安全防护和监测；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（十六）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施工作业现场视频监控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widowControl/>
        <w:shd w:val="clear" w:color="auto" w:fill="FFFFFF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十七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）开展施工现场重大危险源检测、评估、监控支出，安全风险分级管控和事故隐患排查整改支出，工程项目安全生产信息化建设、运维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和网络安全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支出；</w:t>
      </w:r>
    </w:p>
    <w:p>
      <w:pPr>
        <w:widowControl/>
        <w:shd w:val="clear" w:color="auto" w:fill="FFFFFF"/>
        <w:ind w:firstLine="640" w:firstLineChars="200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（十八）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安全生产检查、评估评价（不含新建、改建、扩建项目安全评价）、咨询和标准化建设支出；</w:t>
      </w:r>
    </w:p>
    <w:p>
      <w:pPr>
        <w:widowControl/>
        <w:shd w:val="clear" w:color="auto" w:fill="FFFFFF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十九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）安全生产适用的新技术、新标准、新工艺、新装备的推广应用支出；</w:t>
      </w:r>
    </w:p>
    <w:p>
      <w:pPr>
        <w:widowControl/>
        <w:shd w:val="clear" w:color="auto" w:fill="FFFFFF"/>
        <w:ind w:firstLine="640" w:firstLineChars="200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二十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）安全生产责任保险支出；</w:t>
      </w:r>
    </w:p>
    <w:p>
      <w:pPr>
        <w:widowControl/>
        <w:shd w:val="clear" w:color="auto" w:fill="FFFFFF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eastAsia="zh-CN"/>
        </w:rPr>
        <w:t>二十一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）与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/>
        </w:rPr>
        <w:t>绿色施工安全防护</w:t>
      </w:r>
      <w:r>
        <w:rPr>
          <w:rFonts w:hint="eastAsia" w:ascii="仿宋_GB2312" w:hAnsi="仿宋_GB2312" w:cs="仿宋_GB2312"/>
          <w:bCs/>
          <w:color w:val="auto"/>
          <w:kern w:val="0"/>
          <w:sz w:val="32"/>
          <w:szCs w:val="32"/>
          <w:lang w:val="en-US" w:eastAsia="zh-CN"/>
        </w:rPr>
        <w:t>措施</w:t>
      </w:r>
      <w:r>
        <w:rPr>
          <w:rFonts w:hint="default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/>
        </w:rPr>
        <w:t>施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工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</w:rPr>
        <w:t>直接相关的其他支出。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0"/>
      <w:numFmt w:val="decimal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NjhhNmU5YzY1NDc4NWE3MDVhZDRmZTIwN2IxODIifQ=="/>
  </w:docVars>
  <w:rsids>
    <w:rsidRoot w:val="00000000"/>
    <w:rsid w:val="09E05303"/>
    <w:rsid w:val="32581D5F"/>
    <w:rsid w:val="36B1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779</Words>
  <Characters>779</Characters>
  <Lines>0</Lines>
  <Paragraphs>0</Paragraphs>
  <TotalTime>1</TotalTime>
  <ScaleCrop>false</ScaleCrop>
  <LinksUpToDate>false</LinksUpToDate>
  <CharactersWithSpaces>779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2023-03-28T08:42:00Z</dcterms:created>
  <dc:creator>Lenovo</dc:creator>
  <cp:lastModifiedBy>Lenovo</cp:lastModifiedBy>
  <dcterms:modified xsi:type="dcterms:W3CDTF">2023-04-12T11:29:38Z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510F7F4134D647FF9B0D111C281C7217</vt:lpwstr>
  </property>
</Properties>
</file>